
<file path=[Content_Types].xml><?xml version="1.0" encoding="utf-8"?>
<Types xmlns="http://schemas.openxmlformats.org/package/2006/content-types">
  <Default Extension="xml" ContentType="application/xml"/>
  <Default Extension="doc" ContentType="application/msword"/>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shd w:val="clear" w:color="auto" w:fill="auto"/>
          </w:tcPr>
          <w:p>
            <w:pPr>
              <w:pStyle w:val="114"/>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3</w:t>
            </w:r>
            <w:r>
              <w:rPr>
                <w:sz w:val="64"/>
                <w:lang w:val="en-US"/>
              </w:rPr>
              <w:t>6</w:t>
            </w:r>
            <w:r>
              <w:rPr>
                <w:sz w:val="64"/>
              </w:rPr>
              <w:t>.521-</w:t>
            </w:r>
            <w:bookmarkEnd w:id="2"/>
            <w:r>
              <w:rPr>
                <w:sz w:val="64"/>
                <w:lang w:val="en-US"/>
              </w:rPr>
              <w:t>4</w:t>
            </w:r>
            <w:r>
              <w:rPr>
                <w:sz w:val="64"/>
              </w:rPr>
              <w:t xml:space="preserve"> </w:t>
            </w:r>
            <w:r>
              <w:t>V</w:t>
            </w:r>
            <w:bookmarkStart w:id="3" w:name="specVersion"/>
            <w:r>
              <w:rPr>
                <w:rFonts w:hint="eastAsia" w:eastAsia="宋体"/>
                <w:lang w:val="en-US" w:eastAsia="zh-CN"/>
              </w:rPr>
              <w:t>1</w:t>
            </w:r>
            <w:r>
              <w:t>.</w:t>
            </w:r>
            <w:r>
              <w:rPr>
                <w:rFonts w:hint="eastAsia" w:eastAsia="宋体"/>
                <w:lang w:val="en-US" w:eastAsia="zh-CN"/>
              </w:rPr>
              <w:t>0</w:t>
            </w:r>
            <w:bookmarkStart w:id="2704" w:name="_GoBack"/>
            <w:bookmarkEnd w:id="2704"/>
            <w:r>
              <w:t>.</w:t>
            </w:r>
            <w:bookmarkEnd w:id="3"/>
            <w:r>
              <w:rPr>
                <w:lang w:val="en-US"/>
              </w:rPr>
              <w:t>0</w:t>
            </w:r>
            <w:r>
              <w:t xml:space="preserve"> </w:t>
            </w:r>
            <w:r>
              <w:rPr>
                <w:sz w:val="32"/>
              </w:rPr>
              <w:t>(</w:t>
            </w:r>
            <w:bookmarkStart w:id="4" w:name="issueDate"/>
            <w:r>
              <w:rPr>
                <w:sz w:val="32"/>
              </w:rPr>
              <w:t>202</w:t>
            </w:r>
            <w:r>
              <w:rPr>
                <w:sz w:val="32"/>
                <w:lang w:val="en-US"/>
              </w:rPr>
              <w:t>3</w:t>
            </w:r>
            <w:r>
              <w:rPr>
                <w:sz w:val="32"/>
              </w:rPr>
              <w:t>-</w:t>
            </w:r>
            <w:bookmarkEnd w:id="4"/>
            <w:r>
              <w:rPr>
                <w:rFonts w:hint="eastAsia" w:eastAsia="宋体"/>
                <w:sz w:val="32"/>
                <w:lang w:val="en-US" w:eastAsia="zh-CN"/>
              </w:rPr>
              <w:t>12</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5"/>
              <w:framePr w:w="0" w:hRule="auto" w:wrap="auto" w:vAnchor="margin" w:hAnchor="text" w:yAlign="inline"/>
            </w:pPr>
            <w:r>
              <w:t xml:space="preserve">Technical </w:t>
            </w:r>
            <w:bookmarkStart w:id="5" w:name="spectype2"/>
            <w:r>
              <w:t>Specification</w:t>
            </w:r>
            <w:bookmarkEnd w:id="5"/>
          </w:p>
          <w:p>
            <w:pPr>
              <w:pStyle w:val="129"/>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6"/>
              <w:framePr w:wrap="auto" w:vAnchor="margin" w:hAnchor="text" w:yAlign="inline"/>
            </w:pPr>
            <w:r>
              <w:t>3rd Generation Partnership Project;</w:t>
            </w:r>
          </w:p>
          <w:p>
            <w:pPr>
              <w:pStyle w:val="116"/>
              <w:framePr w:wrap="auto" w:vAnchor="margin" w:hAnchor="text" w:yAlign="inline"/>
            </w:pPr>
            <w:r>
              <w:t xml:space="preserve">Technical Specification Group </w:t>
            </w:r>
            <w:bookmarkStart w:id="6" w:name="specTitle"/>
            <w:r>
              <w:t>Radio Access Network;</w:t>
            </w:r>
          </w:p>
          <w:p>
            <w:pPr>
              <w:pStyle w:val="116"/>
              <w:framePr w:wrap="auto" w:vAnchor="margin" w:hAnchor="text" w:yAlign="inline"/>
            </w:pPr>
            <w:r>
              <w:rPr>
                <w:rFonts w:hint="eastAsia"/>
              </w:rPr>
              <w:t>Evolved Universal Terrestrial Radio Access (E-UTRA)</w:t>
            </w:r>
            <w:r>
              <w:t>;</w:t>
            </w:r>
          </w:p>
          <w:p>
            <w:pPr>
              <w:pStyle w:val="116"/>
              <w:framePr w:wrap="auto" w:vAnchor="margin" w:hAnchor="text" w:yAlign="inline"/>
            </w:pPr>
            <w:r>
              <w:t>User Equipment (UE) conformance specification;</w:t>
            </w:r>
          </w:p>
          <w:p>
            <w:pPr>
              <w:pStyle w:val="116"/>
              <w:framePr w:wrap="auto" w:vAnchor="margin" w:hAnchor="text" w:yAlign="inline"/>
            </w:pPr>
            <w:r>
              <w:t>Radio transmission and reception;</w:t>
            </w:r>
          </w:p>
          <w:p>
            <w:pPr>
              <w:pStyle w:val="116"/>
              <w:framePr w:wrap="auto" w:vAnchor="margin" w:hAnchor="text" w:yAlign="inline"/>
            </w:pPr>
            <w:r>
              <w:t xml:space="preserve">Part </w:t>
            </w:r>
            <w:r>
              <w:rPr>
                <w:lang w:val="en-US"/>
              </w:rPr>
              <w:t>4</w:t>
            </w:r>
            <w:r>
              <w:t xml:space="preserve">: Satellite access Radio Frequency (RF) and performance </w:t>
            </w:r>
            <w:r>
              <w:rPr>
                <w:rFonts w:cs="Arial"/>
              </w:rPr>
              <w:t>Conformance Testing</w:t>
            </w:r>
          </w:p>
          <w:bookmarkEnd w:id="6"/>
          <w:p>
            <w:pPr>
              <w:pStyle w:val="116"/>
              <w:framePr w:wrap="auto" w:vAnchor="margin" w:hAnchor="text" w:yAlign="inline"/>
              <w:rPr>
                <w:i/>
                <w:sz w:val="28"/>
              </w:rPr>
            </w:pPr>
            <w:r>
              <w:t>(</w:t>
            </w:r>
            <w:r>
              <w:rPr>
                <w:rStyle w:val="96"/>
              </w:rPr>
              <w:t xml:space="preserve">Release </w:t>
            </w:r>
            <w:bookmarkStart w:id="7" w:name="specRelease"/>
            <w:r>
              <w:rPr>
                <w:rStyle w:val="96"/>
              </w:rPr>
              <w:t>1</w:t>
            </w:r>
            <w:bookmarkEnd w:id="7"/>
            <w:r>
              <w:rPr>
                <w:rStyle w:val="96"/>
                <w:lang w:val="en-US"/>
              </w:rPr>
              <w:t>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2"/>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3"/>
            </w:pPr>
            <w:bookmarkStart w:id="8" w:name="_MON_1710316271"/>
            <w:bookmarkEnd w:id="8"/>
            <w:r>
              <w:object>
                <v:shape id="_x0000_i1025" o:spt="75" type="#_x0000_t75" style="height:66pt;width:95.4pt;" o:ole="t" filled="f" o:preferrelative="t" stroked="f" coordsize="21600,21600">
                  <v:path/>
                  <v:fill on="f" focussize="0,0"/>
                  <v:stroke on="f" joinstyle="miter"/>
                  <v:imagedata r:id="rId14" o:title=""/>
                  <o:lock v:ext="edit" aspectratio="t"/>
                  <w10:wrap type="none"/>
                  <w10:anchorlock/>
                </v:shape>
                <o:OLEObject Type="Embed" ProgID="Word.Picture.8" ShapeID="_x0000_i1025" DrawAspect="Content" ObjectID="_1468075725" r:id="rId13">
                  <o:LockedField>false</o:LockedField>
                </o:OLEObject>
              </w:object>
            </w:r>
          </w:p>
        </w:tc>
        <w:tc>
          <w:tcPr>
            <w:tcW w:w="5212" w:type="dxa"/>
            <w:tcBorders>
              <w:top w:val="dashed" w:color="auto" w:sz="4" w:space="0"/>
              <w:bottom w:val="dashed" w:color="auto" w:sz="4" w:space="0"/>
            </w:tcBorders>
            <w:shd w:val="clear" w:color="auto" w:fill="auto"/>
          </w:tcPr>
          <w:p>
            <w:pPr>
              <w:pStyle w:val="102"/>
            </w:pPr>
            <w:r>
              <w:object>
                <v:shape id="_x0000_i1026" o:spt="75" type="#_x0000_t75" style="height:74.4pt;width:129pt;" o:ole="t" filled="f" o:preferrelative="t" stroked="f" coordsize="21600,21600">
                  <v:path/>
                  <v:fill on="f" focussize="0,0"/>
                  <v:stroke on="f" joinstyle="miter"/>
                  <v:imagedata r:id="rId16" o:title=""/>
                  <o:lock v:ext="edit" aspectratio="t"/>
                  <w10:wrap type="none"/>
                  <w10:anchorlock/>
                </v:shape>
                <o:OLEObject Type="Embed" ProgID="Word.Picture.8" ShapeID="_x0000_i1026" DrawAspect="Content" ObjectID="_1468075726" r:id="rId15">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shd w:val="clear" w:color="auto" w:fill="auto"/>
          </w:tcPr>
          <w:p>
            <w:pPr>
              <w:pStyle w:val="103"/>
            </w:pPr>
            <w:bookmarkStart w:id="9" w:name="_Hlk99699974"/>
            <w:bookmarkEnd w:id="9"/>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417" w:right="1134" w:bottom="1134" w:left="1134"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129"/>
            </w:pPr>
            <w:bookmarkStart w:id="11"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8"/>
              <w:spacing w:after="240"/>
              <w:ind w:left="2835" w:right="2835"/>
              <w:jc w:val="center"/>
              <w:rPr>
                <w:rFonts w:ascii="Arial" w:hAnsi="Arial"/>
                <w:b/>
                <w:i/>
              </w:rPr>
            </w:pPr>
            <w:bookmarkStart w:id="12" w:name="coords3gpp"/>
            <w:r>
              <w:rPr>
                <w:rFonts w:ascii="Arial" w:hAnsi="Arial"/>
                <w:b/>
                <w:i/>
              </w:rPr>
              <w:t>3GPP</w:t>
            </w:r>
          </w:p>
          <w:p>
            <w:pPr>
              <w:pStyle w:val="108"/>
              <w:pBdr>
                <w:bottom w:val="single" w:color="auto" w:sz="6" w:space="1"/>
              </w:pBdr>
              <w:ind w:left="2835" w:right="2835"/>
              <w:jc w:val="center"/>
            </w:pPr>
            <w:r>
              <w:t>Postal address</w:t>
            </w:r>
          </w:p>
          <w:p>
            <w:pPr>
              <w:pStyle w:val="108"/>
              <w:ind w:left="2835" w:right="2835"/>
              <w:jc w:val="center"/>
              <w:rPr>
                <w:rFonts w:ascii="Arial" w:hAnsi="Arial"/>
                <w:sz w:val="18"/>
              </w:rPr>
            </w:pPr>
          </w:p>
          <w:p>
            <w:pPr>
              <w:pStyle w:val="108"/>
              <w:pBdr>
                <w:bottom w:val="single" w:color="auto" w:sz="6" w:space="1"/>
              </w:pBdr>
              <w:spacing w:before="240"/>
              <w:ind w:left="2835" w:right="2835"/>
              <w:jc w:val="center"/>
            </w:pPr>
            <w:r>
              <w:t>3GPP support office address</w:t>
            </w:r>
          </w:p>
          <w:p>
            <w:pPr>
              <w:pStyle w:val="108"/>
              <w:ind w:left="2835" w:right="2835"/>
              <w:jc w:val="center"/>
              <w:rPr>
                <w:rFonts w:ascii="Arial" w:hAnsi="Arial"/>
                <w:sz w:val="18"/>
                <w:lang w:val="fr-FR"/>
              </w:rPr>
            </w:pPr>
            <w:r>
              <w:rPr>
                <w:rFonts w:ascii="Arial" w:hAnsi="Arial"/>
                <w:sz w:val="18"/>
                <w:lang w:val="fr-FR"/>
              </w:rPr>
              <w:t>650 Route des Lucioles - Sophia Antipolis</w:t>
            </w:r>
          </w:p>
          <w:p>
            <w:pPr>
              <w:pStyle w:val="108"/>
              <w:ind w:left="2835" w:right="2835"/>
              <w:jc w:val="center"/>
              <w:rPr>
                <w:rFonts w:ascii="Arial" w:hAnsi="Arial"/>
                <w:sz w:val="18"/>
                <w:lang w:val="fr-FR"/>
              </w:rPr>
            </w:pPr>
            <w:r>
              <w:rPr>
                <w:rFonts w:ascii="Arial" w:hAnsi="Arial"/>
                <w:sz w:val="18"/>
                <w:lang w:val="fr-FR"/>
              </w:rPr>
              <w:t>Valbonne - FRANCE</w:t>
            </w:r>
          </w:p>
          <w:p>
            <w:pPr>
              <w:pStyle w:val="108"/>
              <w:spacing w:after="20"/>
              <w:ind w:left="2835" w:right="2835"/>
              <w:jc w:val="center"/>
              <w:rPr>
                <w:rFonts w:ascii="Arial" w:hAnsi="Arial"/>
                <w:sz w:val="18"/>
              </w:rPr>
            </w:pPr>
            <w:r>
              <w:rPr>
                <w:rFonts w:ascii="Arial" w:hAnsi="Arial"/>
                <w:sz w:val="18"/>
              </w:rPr>
              <w:t>Tel.: +33 4 92 94 42 00 Fax: +33 4 93 65 47 16</w:t>
            </w:r>
          </w:p>
          <w:p>
            <w:pPr>
              <w:pStyle w:val="108"/>
              <w:pBdr>
                <w:bottom w:val="single" w:color="auto" w:sz="6" w:space="1"/>
              </w:pBdr>
              <w:spacing w:before="240"/>
              <w:ind w:left="2835" w:right="2835"/>
              <w:jc w:val="center"/>
            </w:pPr>
            <w:r>
              <w:t>Internet</w:t>
            </w:r>
          </w:p>
          <w:p>
            <w:pPr>
              <w:pStyle w:val="108"/>
              <w:ind w:left="2835" w:right="2835"/>
              <w:jc w:val="center"/>
              <w:rPr>
                <w:rFonts w:ascii="Arial" w:hAnsi="Arial"/>
                <w:sz w:val="18"/>
              </w:rPr>
            </w:pPr>
            <w:r>
              <w:rPr>
                <w:rFonts w:ascii="Arial" w:hAnsi="Arial"/>
                <w:sz w:val="18"/>
              </w:rPr>
              <w:t>http://www.3gpp.org</w:t>
            </w:r>
            <w:bookmarkEnd w:id="12"/>
          </w:p>
          <w:p/>
        </w:tc>
      </w:tr>
      <w:tr>
        <w:tblPrEx>
          <w:tblCellMar>
            <w:top w:w="0" w:type="dxa"/>
            <w:left w:w="108" w:type="dxa"/>
            <w:bottom w:w="0" w:type="dxa"/>
            <w:right w:w="108" w:type="dxa"/>
          </w:tblCellMar>
        </w:tblPrEx>
        <w:tc>
          <w:tcPr>
            <w:tcW w:w="10423" w:type="dxa"/>
            <w:shd w:val="clear" w:color="auto" w:fill="auto"/>
            <w:vAlign w:val="bottom"/>
          </w:tcPr>
          <w:p>
            <w:pPr>
              <w:pStyle w:val="108"/>
              <w:pBdr>
                <w:bottom w:val="single" w:color="auto" w:sz="6" w:space="1"/>
              </w:pBdr>
              <w:spacing w:after="240"/>
              <w:jc w:val="center"/>
              <w:rPr>
                <w:rFonts w:ascii="Arial" w:hAnsi="Arial"/>
                <w:b/>
                <w:i/>
              </w:rPr>
            </w:pPr>
            <w:bookmarkStart w:id="13" w:name="copyrightNotification"/>
            <w:r>
              <w:rPr>
                <w:rFonts w:ascii="Arial" w:hAnsi="Arial"/>
                <w:b/>
                <w:i/>
              </w:rPr>
              <w:t>Copyright Notification</w:t>
            </w:r>
          </w:p>
          <w:p>
            <w:pPr>
              <w:pStyle w:val="108"/>
              <w:jc w:val="center"/>
            </w:pPr>
            <w:r>
              <w:t>No part may be reproduced except as authorized by written permission.</w:t>
            </w:r>
            <w:r>
              <w:br w:type="textWrapping"/>
            </w:r>
            <w:r>
              <w:t>The copyright and the foregoing restriction extend to reproduction in all media.</w:t>
            </w:r>
          </w:p>
          <w:p>
            <w:pPr>
              <w:pStyle w:val="108"/>
              <w:jc w:val="center"/>
            </w:pPr>
          </w:p>
          <w:p>
            <w:pPr>
              <w:pStyle w:val="108"/>
              <w:jc w:val="center"/>
              <w:rPr>
                <w:sz w:val="18"/>
              </w:rPr>
            </w:pPr>
            <w:r>
              <w:rPr>
                <w:sz w:val="18"/>
              </w:rPr>
              <w:t xml:space="preserve">© </w:t>
            </w:r>
            <w:bookmarkStart w:id="14" w:name="copyrightDate"/>
            <w:r>
              <w:rPr>
                <w:sz w:val="18"/>
              </w:rPr>
              <w:t>202</w:t>
            </w:r>
            <w:bookmarkEnd w:id="14"/>
            <w:r>
              <w:rPr>
                <w:sz w:val="18"/>
                <w:lang w:val="en-US"/>
              </w:rPr>
              <w:t>3</w:t>
            </w:r>
            <w:r>
              <w:rPr>
                <w:sz w:val="18"/>
              </w:rPr>
              <w:t>, 3GPP Organizational Partners (ARIB, ATIS, CCSA, ETSI, TSDSI, TTA, TTC).</w:t>
            </w:r>
            <w:bookmarkStart w:id="15" w:name="copyrightaddon"/>
            <w:bookmarkEnd w:id="15"/>
          </w:p>
          <w:p>
            <w:pPr>
              <w:pStyle w:val="108"/>
              <w:jc w:val="center"/>
              <w:rPr>
                <w:sz w:val="18"/>
              </w:rPr>
            </w:pPr>
            <w:r>
              <w:rPr>
                <w:sz w:val="18"/>
              </w:rPr>
              <w:t>All rights reserved.</w:t>
            </w:r>
          </w:p>
          <w:p>
            <w:pPr>
              <w:pStyle w:val="108"/>
              <w:rPr>
                <w:sz w:val="18"/>
              </w:rPr>
            </w:pPr>
          </w:p>
          <w:p>
            <w:pPr>
              <w:pStyle w:val="108"/>
              <w:rPr>
                <w:sz w:val="18"/>
              </w:rPr>
            </w:pPr>
            <w:r>
              <w:rPr>
                <w:sz w:val="18"/>
              </w:rPr>
              <w:t>UMTS™ is a Trade Mark of ETSI registered for the benefit of its members</w:t>
            </w:r>
          </w:p>
          <w:p>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8"/>
              <w:rPr>
                <w:sz w:val="18"/>
              </w:rPr>
            </w:pPr>
            <w:r>
              <w:rPr>
                <w:sz w:val="18"/>
              </w:rPr>
              <w:t>GSM® and the GSM logo are registered and owned by the GSM Association</w:t>
            </w:r>
            <w:bookmarkEnd w:id="13"/>
          </w:p>
          <w:p/>
        </w:tc>
      </w:tr>
      <w:bookmarkEnd w:id="11"/>
    </w:tbl>
    <w:p>
      <w:pPr>
        <w:pStyle w:val="98"/>
      </w:pPr>
      <w:r>
        <w:br w:type="page"/>
      </w:r>
      <w:bookmarkStart w:id="16" w:name="tableOfContents"/>
      <w:bookmarkEnd w:id="16"/>
      <w:r>
        <w:t>Contents</w:t>
      </w:r>
    </w:p>
    <w:p>
      <w:pPr>
        <w:pStyle w:val="22"/>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_Toc29397 \h </w:instrText>
      </w:r>
      <w:r>
        <w:fldChar w:fldCharType="separate"/>
      </w:r>
      <w:r>
        <w:t>10</w:t>
      </w:r>
      <w:r>
        <w:fldChar w:fldCharType="end"/>
      </w:r>
    </w:p>
    <w:p>
      <w:pPr>
        <w:pStyle w:val="22"/>
        <w:tabs>
          <w:tab w:val="right" w:leader="dot" w:pos="9641"/>
          <w:tab w:val="clear" w:pos="9639"/>
        </w:tabs>
      </w:pPr>
      <w:r>
        <w:t>Introduction</w:t>
      </w:r>
      <w:r>
        <w:tab/>
      </w:r>
      <w:r>
        <w:fldChar w:fldCharType="begin"/>
      </w:r>
      <w:r>
        <w:instrText xml:space="preserve"> PAGEREF _Toc14492 \h </w:instrText>
      </w:r>
      <w:r>
        <w:fldChar w:fldCharType="separate"/>
      </w:r>
      <w:r>
        <w:t>10</w:t>
      </w:r>
      <w:r>
        <w:fldChar w:fldCharType="end"/>
      </w:r>
    </w:p>
    <w:p>
      <w:pPr>
        <w:pStyle w:val="22"/>
        <w:tabs>
          <w:tab w:val="right" w:pos="2000"/>
          <w:tab w:val="right" w:leader="dot" w:pos="9641"/>
          <w:tab w:val="clear" w:pos="9639"/>
        </w:tabs>
      </w:pPr>
      <w:r>
        <w:t>1</w:t>
      </w:r>
      <w:r>
        <w:tab/>
      </w:r>
      <w:r>
        <w:t>Scope</w:t>
      </w:r>
      <w:r>
        <w:tab/>
      </w:r>
      <w:r>
        <w:fldChar w:fldCharType="begin"/>
      </w:r>
      <w:r>
        <w:instrText xml:space="preserve"> PAGEREF _Toc28047 \h </w:instrText>
      </w:r>
      <w:r>
        <w:fldChar w:fldCharType="separate"/>
      </w:r>
      <w:r>
        <w:t>11</w:t>
      </w:r>
      <w:r>
        <w:fldChar w:fldCharType="end"/>
      </w:r>
    </w:p>
    <w:p>
      <w:pPr>
        <w:pStyle w:val="22"/>
        <w:tabs>
          <w:tab w:val="right" w:pos="2000"/>
          <w:tab w:val="right" w:leader="dot" w:pos="9641"/>
          <w:tab w:val="clear" w:pos="9639"/>
        </w:tabs>
      </w:pPr>
      <w:r>
        <w:t>2</w:t>
      </w:r>
      <w:r>
        <w:tab/>
      </w:r>
      <w:r>
        <w:t>References</w:t>
      </w:r>
      <w:r>
        <w:tab/>
      </w:r>
      <w:r>
        <w:fldChar w:fldCharType="begin"/>
      </w:r>
      <w:r>
        <w:instrText xml:space="preserve"> PAGEREF _Toc28148 \h </w:instrText>
      </w:r>
      <w:r>
        <w:fldChar w:fldCharType="separate"/>
      </w:r>
      <w:r>
        <w:t>11</w:t>
      </w:r>
      <w:r>
        <w:fldChar w:fldCharType="end"/>
      </w:r>
    </w:p>
    <w:p>
      <w:pPr>
        <w:pStyle w:val="22"/>
        <w:tabs>
          <w:tab w:val="right" w:pos="2000"/>
          <w:tab w:val="right" w:leader="dot" w:pos="9641"/>
          <w:tab w:val="clear" w:pos="9639"/>
        </w:tabs>
      </w:pPr>
      <w:r>
        <w:t>3</w:t>
      </w:r>
      <w:r>
        <w:tab/>
      </w:r>
      <w:r>
        <w:t>Definitions of terms, symbols and abbreviations</w:t>
      </w:r>
      <w:r>
        <w:tab/>
      </w:r>
      <w:r>
        <w:fldChar w:fldCharType="begin"/>
      </w:r>
      <w:r>
        <w:instrText xml:space="preserve"> PAGEREF _Toc25916 \h </w:instrText>
      </w:r>
      <w:r>
        <w:fldChar w:fldCharType="separate"/>
      </w:r>
      <w:r>
        <w:t>12</w:t>
      </w:r>
      <w:r>
        <w:fldChar w:fldCharType="end"/>
      </w:r>
    </w:p>
    <w:p>
      <w:pPr>
        <w:pStyle w:val="21"/>
        <w:tabs>
          <w:tab w:val="right" w:pos="2000"/>
          <w:tab w:val="right" w:leader="dot" w:pos="9641"/>
          <w:tab w:val="clear" w:pos="9639"/>
        </w:tabs>
      </w:pPr>
      <w:r>
        <w:t>3.1</w:t>
      </w:r>
      <w:r>
        <w:tab/>
      </w:r>
      <w:r>
        <w:t>Terms</w:t>
      </w:r>
      <w:r>
        <w:tab/>
      </w:r>
      <w:r>
        <w:fldChar w:fldCharType="begin"/>
      </w:r>
      <w:r>
        <w:instrText xml:space="preserve"> PAGEREF _Toc26869 \h </w:instrText>
      </w:r>
      <w:r>
        <w:fldChar w:fldCharType="separate"/>
      </w:r>
      <w:r>
        <w:t>12</w:t>
      </w:r>
      <w:r>
        <w:fldChar w:fldCharType="end"/>
      </w:r>
    </w:p>
    <w:p>
      <w:pPr>
        <w:pStyle w:val="21"/>
        <w:tabs>
          <w:tab w:val="right" w:pos="2000"/>
          <w:tab w:val="right" w:leader="dot" w:pos="9641"/>
          <w:tab w:val="clear" w:pos="9639"/>
        </w:tabs>
      </w:pPr>
      <w:r>
        <w:t>3.2</w:t>
      </w:r>
      <w:r>
        <w:tab/>
      </w:r>
      <w:r>
        <w:t>Symbols</w:t>
      </w:r>
      <w:r>
        <w:tab/>
      </w:r>
      <w:r>
        <w:fldChar w:fldCharType="begin"/>
      </w:r>
      <w:r>
        <w:instrText xml:space="preserve"> PAGEREF _Toc12169 \h </w:instrText>
      </w:r>
      <w:r>
        <w:fldChar w:fldCharType="separate"/>
      </w:r>
      <w:r>
        <w:t>13</w:t>
      </w:r>
      <w:r>
        <w:fldChar w:fldCharType="end"/>
      </w:r>
    </w:p>
    <w:p>
      <w:pPr>
        <w:pStyle w:val="21"/>
        <w:tabs>
          <w:tab w:val="right" w:pos="2000"/>
          <w:tab w:val="right" w:leader="dot" w:pos="9641"/>
          <w:tab w:val="clear" w:pos="9639"/>
        </w:tabs>
      </w:pPr>
      <w:r>
        <w:t>3.3</w:t>
      </w:r>
      <w:r>
        <w:tab/>
      </w:r>
      <w:r>
        <w:t>Abbreviations</w:t>
      </w:r>
      <w:r>
        <w:tab/>
      </w:r>
      <w:r>
        <w:fldChar w:fldCharType="begin"/>
      </w:r>
      <w:r>
        <w:instrText xml:space="preserve"> PAGEREF _Toc31558 \h </w:instrText>
      </w:r>
      <w:r>
        <w:fldChar w:fldCharType="separate"/>
      </w:r>
      <w:r>
        <w:t>13</w:t>
      </w:r>
      <w:r>
        <w:fldChar w:fldCharType="end"/>
      </w:r>
    </w:p>
    <w:p>
      <w:pPr>
        <w:pStyle w:val="22"/>
        <w:tabs>
          <w:tab w:val="right" w:pos="2000"/>
          <w:tab w:val="right" w:leader="dot" w:pos="9641"/>
          <w:tab w:val="clear" w:pos="9639"/>
        </w:tabs>
      </w:pPr>
      <w:r>
        <w:t>4</w:t>
      </w:r>
      <w:r>
        <w:tab/>
      </w:r>
      <w:r>
        <w:t>General</w:t>
      </w:r>
      <w:r>
        <w:tab/>
      </w:r>
      <w:r>
        <w:fldChar w:fldCharType="begin"/>
      </w:r>
      <w:r>
        <w:instrText xml:space="preserve"> PAGEREF _Toc15256 \h </w:instrText>
      </w:r>
      <w:r>
        <w:fldChar w:fldCharType="separate"/>
      </w:r>
      <w:r>
        <w:t>14</w:t>
      </w:r>
      <w:r>
        <w:fldChar w:fldCharType="end"/>
      </w:r>
    </w:p>
    <w:p>
      <w:pPr>
        <w:pStyle w:val="21"/>
        <w:tabs>
          <w:tab w:val="right" w:pos="2000"/>
          <w:tab w:val="right" w:leader="dot" w:pos="9641"/>
          <w:tab w:val="clear" w:pos="9639"/>
        </w:tabs>
      </w:pPr>
      <w:r>
        <w:t>4.1</w:t>
      </w:r>
      <w:r>
        <w:tab/>
      </w:r>
      <w:r>
        <w:t>Relationship between minimum requirements and test requirements</w:t>
      </w:r>
      <w:r>
        <w:tab/>
      </w:r>
      <w:r>
        <w:fldChar w:fldCharType="begin"/>
      </w:r>
      <w:r>
        <w:instrText xml:space="preserve"> PAGEREF _Toc18999 \h </w:instrText>
      </w:r>
      <w:r>
        <w:fldChar w:fldCharType="separate"/>
      </w:r>
      <w:r>
        <w:t>14</w:t>
      </w:r>
      <w:r>
        <w:fldChar w:fldCharType="end"/>
      </w:r>
    </w:p>
    <w:p>
      <w:pPr>
        <w:pStyle w:val="21"/>
        <w:tabs>
          <w:tab w:val="right" w:pos="2000"/>
          <w:tab w:val="right" w:leader="dot" w:pos="9641"/>
          <w:tab w:val="clear" w:pos="9639"/>
        </w:tabs>
      </w:pPr>
      <w:r>
        <w:t>4.2</w:t>
      </w:r>
      <w:r>
        <w:tab/>
      </w:r>
      <w:r>
        <w:t>Applicability of minimum requirements</w:t>
      </w:r>
      <w:r>
        <w:tab/>
      </w:r>
      <w:r>
        <w:fldChar w:fldCharType="begin"/>
      </w:r>
      <w:r>
        <w:instrText xml:space="preserve"> PAGEREF _Toc16650 \h </w:instrText>
      </w:r>
      <w:r>
        <w:fldChar w:fldCharType="separate"/>
      </w:r>
      <w:r>
        <w:t>15</w:t>
      </w:r>
      <w:r>
        <w:fldChar w:fldCharType="end"/>
      </w:r>
    </w:p>
    <w:p>
      <w:pPr>
        <w:pStyle w:val="21"/>
        <w:tabs>
          <w:tab w:val="right" w:pos="2000"/>
          <w:tab w:val="right" w:leader="dot" w:pos="9641"/>
          <w:tab w:val="clear" w:pos="9639"/>
        </w:tabs>
      </w:pPr>
      <w:r>
        <w:t>4.3</w:t>
      </w:r>
      <w:r>
        <w:tab/>
      </w:r>
      <w:r>
        <w:t>Specification suffix information</w:t>
      </w:r>
      <w:r>
        <w:tab/>
      </w:r>
      <w:r>
        <w:fldChar w:fldCharType="begin"/>
      </w:r>
      <w:r>
        <w:instrText xml:space="preserve"> PAGEREF _Toc51 \h </w:instrText>
      </w:r>
      <w:r>
        <w:fldChar w:fldCharType="separate"/>
      </w:r>
      <w:r>
        <w:t>15</w:t>
      </w:r>
      <w:r>
        <w:fldChar w:fldCharType="end"/>
      </w:r>
    </w:p>
    <w:p>
      <w:pPr>
        <w:pStyle w:val="21"/>
        <w:tabs>
          <w:tab w:val="right" w:pos="2000"/>
          <w:tab w:val="right" w:leader="dot" w:pos="9641"/>
          <w:tab w:val="clear" w:pos="9639"/>
        </w:tabs>
      </w:pPr>
      <w:r>
        <w:t>4.4</w:t>
      </w:r>
      <w:r>
        <w:tab/>
      </w:r>
      <w:r>
        <w:rPr>
          <w:rFonts w:hint="eastAsia"/>
        </w:rPr>
        <w:t>Relationship</w:t>
      </w:r>
      <w:r>
        <w:t xml:space="preserve"> with core specifications</w:t>
      </w:r>
      <w:r>
        <w:tab/>
      </w:r>
      <w:r>
        <w:fldChar w:fldCharType="begin"/>
      </w:r>
      <w:r>
        <w:instrText xml:space="preserve"> PAGEREF _Toc29888 \h </w:instrText>
      </w:r>
      <w:r>
        <w:fldChar w:fldCharType="separate"/>
      </w:r>
      <w:r>
        <w:t>15</w:t>
      </w:r>
      <w:r>
        <w:fldChar w:fldCharType="end"/>
      </w:r>
    </w:p>
    <w:p>
      <w:pPr>
        <w:pStyle w:val="22"/>
        <w:tabs>
          <w:tab w:val="right" w:pos="2000"/>
          <w:tab w:val="right" w:leader="dot" w:pos="9641"/>
          <w:tab w:val="clear" w:pos="9639"/>
        </w:tabs>
      </w:pPr>
      <w:r>
        <w:rPr>
          <w:rFonts w:hint="eastAsia"/>
        </w:rPr>
        <w:t>5</w:t>
      </w:r>
      <w:r>
        <w:tab/>
      </w:r>
      <w:r>
        <w:t>Operating bands and channel arrangement</w:t>
      </w:r>
      <w:r>
        <w:tab/>
      </w:r>
      <w:r>
        <w:fldChar w:fldCharType="begin"/>
      </w:r>
      <w:r>
        <w:instrText xml:space="preserve"> PAGEREF _Toc5395 \h </w:instrText>
      </w:r>
      <w:r>
        <w:fldChar w:fldCharType="separate"/>
      </w:r>
      <w:r>
        <w:t>15</w:t>
      </w:r>
      <w:r>
        <w:fldChar w:fldCharType="end"/>
      </w:r>
    </w:p>
    <w:p>
      <w:pPr>
        <w:pStyle w:val="21"/>
        <w:tabs>
          <w:tab w:val="right" w:pos="2000"/>
          <w:tab w:val="right" w:leader="dot" w:pos="9641"/>
          <w:tab w:val="clear" w:pos="9639"/>
        </w:tabs>
      </w:pPr>
      <w:r>
        <w:t>5.1</w:t>
      </w:r>
      <w:r>
        <w:tab/>
      </w:r>
      <w:r>
        <w:t>General</w:t>
      </w:r>
      <w:r>
        <w:tab/>
      </w:r>
      <w:r>
        <w:fldChar w:fldCharType="begin"/>
      </w:r>
      <w:r>
        <w:instrText xml:space="preserve"> PAGEREF _Toc9612 \h </w:instrText>
      </w:r>
      <w:r>
        <w:fldChar w:fldCharType="separate"/>
      </w:r>
      <w:r>
        <w:t>15</w:t>
      </w:r>
      <w:r>
        <w:fldChar w:fldCharType="end"/>
      </w:r>
    </w:p>
    <w:p>
      <w:pPr>
        <w:pStyle w:val="21"/>
        <w:tabs>
          <w:tab w:val="right" w:pos="2000"/>
          <w:tab w:val="right" w:leader="dot" w:pos="9641"/>
          <w:tab w:val="clear" w:pos="9639"/>
        </w:tabs>
      </w:pPr>
      <w:r>
        <w:t>5.2</w:t>
      </w:r>
      <w:r>
        <w:tab/>
      </w:r>
      <w:r>
        <w:t>Operating bands</w:t>
      </w:r>
      <w:r>
        <w:tab/>
      </w:r>
      <w:r>
        <w:fldChar w:fldCharType="begin"/>
      </w:r>
      <w:r>
        <w:instrText xml:space="preserve"> PAGEREF _Toc26773 \h </w:instrText>
      </w:r>
      <w:r>
        <w:fldChar w:fldCharType="separate"/>
      </w:r>
      <w:r>
        <w:t>15</w:t>
      </w:r>
      <w:r>
        <w:fldChar w:fldCharType="end"/>
      </w:r>
    </w:p>
    <w:p>
      <w:pPr>
        <w:pStyle w:val="21"/>
        <w:tabs>
          <w:tab w:val="right" w:pos="2000"/>
          <w:tab w:val="right" w:leader="dot" w:pos="9641"/>
          <w:tab w:val="clear" w:pos="9639"/>
        </w:tabs>
      </w:pPr>
      <w:r>
        <w:t>5.2</w:t>
      </w:r>
      <w:r>
        <w:rPr>
          <w:lang w:eastAsia="zh-CN"/>
        </w:rPr>
        <w:t>A</w:t>
      </w:r>
      <w:r>
        <w:tab/>
      </w:r>
      <w:r>
        <w:t>Operating bands</w:t>
      </w:r>
      <w:r>
        <w:rPr>
          <w:lang w:eastAsia="zh-CN"/>
        </w:rPr>
        <w:t xml:space="preserve"> for UE category M1</w:t>
      </w:r>
      <w:r>
        <w:tab/>
      </w:r>
      <w:r>
        <w:fldChar w:fldCharType="begin"/>
      </w:r>
      <w:r>
        <w:instrText xml:space="preserve"> PAGEREF _Toc2637 \h </w:instrText>
      </w:r>
      <w:r>
        <w:fldChar w:fldCharType="separate"/>
      </w:r>
      <w:r>
        <w:t>16</w:t>
      </w:r>
      <w:r>
        <w:fldChar w:fldCharType="end"/>
      </w:r>
    </w:p>
    <w:p>
      <w:pPr>
        <w:pStyle w:val="21"/>
        <w:tabs>
          <w:tab w:val="right" w:pos="2000"/>
          <w:tab w:val="right" w:leader="dot" w:pos="9641"/>
          <w:tab w:val="clear" w:pos="9639"/>
        </w:tabs>
      </w:pPr>
      <w:r>
        <w:t>5.2</w:t>
      </w:r>
      <w:r>
        <w:rPr>
          <w:lang w:eastAsia="zh-CN"/>
        </w:rPr>
        <w:t>B</w:t>
      </w:r>
      <w:r>
        <w:tab/>
      </w:r>
      <w:r>
        <w:t>Operating bands</w:t>
      </w:r>
      <w:r>
        <w:rPr>
          <w:lang w:eastAsia="zh-CN"/>
        </w:rPr>
        <w:t xml:space="preserve"> for </w:t>
      </w:r>
      <w:r>
        <w:t>category NB1 and NB2</w:t>
      </w:r>
      <w:r>
        <w:tab/>
      </w:r>
      <w:r>
        <w:fldChar w:fldCharType="begin"/>
      </w:r>
      <w:r>
        <w:instrText xml:space="preserve"> PAGEREF _Toc19484 \h </w:instrText>
      </w:r>
      <w:r>
        <w:fldChar w:fldCharType="separate"/>
      </w:r>
      <w:r>
        <w:t>16</w:t>
      </w:r>
      <w:r>
        <w:fldChar w:fldCharType="end"/>
      </w:r>
    </w:p>
    <w:p>
      <w:pPr>
        <w:pStyle w:val="21"/>
        <w:tabs>
          <w:tab w:val="right" w:pos="2000"/>
          <w:tab w:val="right" w:leader="dot" w:pos="9641"/>
          <w:tab w:val="clear" w:pos="9639"/>
        </w:tabs>
      </w:pPr>
      <w:r>
        <w:t>5.3</w:t>
      </w:r>
      <w:r>
        <w:tab/>
      </w:r>
      <w:r>
        <w:t>Channel bandwidth</w:t>
      </w:r>
      <w:r>
        <w:tab/>
      </w:r>
      <w:r>
        <w:fldChar w:fldCharType="begin"/>
      </w:r>
      <w:r>
        <w:instrText xml:space="preserve"> PAGEREF _Toc7036 \h </w:instrText>
      </w:r>
      <w:r>
        <w:fldChar w:fldCharType="separate"/>
      </w:r>
      <w:r>
        <w:t>16</w:t>
      </w:r>
      <w:r>
        <w:fldChar w:fldCharType="end"/>
      </w:r>
    </w:p>
    <w:p>
      <w:pPr>
        <w:pStyle w:val="21"/>
        <w:tabs>
          <w:tab w:val="right" w:pos="2000"/>
          <w:tab w:val="right" w:leader="dot" w:pos="9641"/>
          <w:tab w:val="clear" w:pos="9639"/>
        </w:tabs>
      </w:pPr>
      <w:r>
        <w:t>5.3A</w:t>
      </w:r>
      <w:r>
        <w:tab/>
      </w:r>
      <w:r>
        <w:t>Channel bandwidth for category M1</w:t>
      </w:r>
      <w:r>
        <w:tab/>
      </w:r>
      <w:r>
        <w:fldChar w:fldCharType="begin"/>
      </w:r>
      <w:r>
        <w:instrText xml:space="preserve"> PAGEREF _Toc4582 \h </w:instrText>
      </w:r>
      <w:r>
        <w:fldChar w:fldCharType="separate"/>
      </w:r>
      <w:r>
        <w:t>16</w:t>
      </w:r>
      <w:r>
        <w:fldChar w:fldCharType="end"/>
      </w:r>
    </w:p>
    <w:p>
      <w:pPr>
        <w:pStyle w:val="21"/>
        <w:tabs>
          <w:tab w:val="right" w:pos="2000"/>
          <w:tab w:val="right" w:leader="dot" w:pos="9641"/>
          <w:tab w:val="clear" w:pos="9639"/>
        </w:tabs>
      </w:pPr>
      <w:r>
        <w:t>5.3B</w:t>
      </w:r>
      <w:r>
        <w:tab/>
      </w:r>
      <w:r>
        <w:t>Channel bandwidth for category NB1 and NB2</w:t>
      </w:r>
      <w:r>
        <w:tab/>
      </w:r>
      <w:r>
        <w:fldChar w:fldCharType="begin"/>
      </w:r>
      <w:r>
        <w:instrText xml:space="preserve"> PAGEREF _Toc22580 \h </w:instrText>
      </w:r>
      <w:r>
        <w:fldChar w:fldCharType="separate"/>
      </w:r>
      <w:r>
        <w:t>17</w:t>
      </w:r>
      <w:r>
        <w:fldChar w:fldCharType="end"/>
      </w:r>
    </w:p>
    <w:p>
      <w:pPr>
        <w:pStyle w:val="21"/>
        <w:tabs>
          <w:tab w:val="right" w:pos="2000"/>
          <w:tab w:val="right" w:leader="dot" w:pos="9641"/>
          <w:tab w:val="clear" w:pos="9639"/>
        </w:tabs>
      </w:pPr>
      <w:r>
        <w:t>5.4</w:t>
      </w:r>
      <w:r>
        <w:tab/>
      </w:r>
      <w:r>
        <w:t>Channel arrangement</w:t>
      </w:r>
      <w:r>
        <w:tab/>
      </w:r>
      <w:r>
        <w:fldChar w:fldCharType="begin"/>
      </w:r>
      <w:r>
        <w:instrText xml:space="preserve"> PAGEREF _Toc17174 \h </w:instrText>
      </w:r>
      <w:r>
        <w:fldChar w:fldCharType="separate"/>
      </w:r>
      <w:r>
        <w:t>18</w:t>
      </w:r>
      <w:r>
        <w:fldChar w:fldCharType="end"/>
      </w:r>
    </w:p>
    <w:p>
      <w:pPr>
        <w:pStyle w:val="21"/>
        <w:tabs>
          <w:tab w:val="right" w:pos="2000"/>
          <w:tab w:val="right" w:leader="dot" w:pos="9641"/>
          <w:tab w:val="clear" w:pos="9639"/>
        </w:tabs>
      </w:pPr>
      <w:r>
        <w:t>5.4A</w:t>
      </w:r>
      <w:r>
        <w:tab/>
      </w:r>
      <w:r>
        <w:t>Channel arrangement for category M1</w:t>
      </w:r>
      <w:r>
        <w:tab/>
      </w:r>
      <w:r>
        <w:fldChar w:fldCharType="begin"/>
      </w:r>
      <w:r>
        <w:instrText xml:space="preserve"> PAGEREF _Toc22972 \h </w:instrText>
      </w:r>
      <w:r>
        <w:fldChar w:fldCharType="separate"/>
      </w:r>
      <w:r>
        <w:t>18</w:t>
      </w:r>
      <w:r>
        <w:fldChar w:fldCharType="end"/>
      </w:r>
    </w:p>
    <w:p>
      <w:pPr>
        <w:pStyle w:val="20"/>
        <w:tabs>
          <w:tab w:val="right" w:pos="2400"/>
          <w:tab w:val="right" w:leader="dot" w:pos="9641"/>
          <w:tab w:val="clear" w:pos="9639"/>
        </w:tabs>
      </w:pPr>
      <w:r>
        <w:t>5.4A.1</w:t>
      </w:r>
      <w:r>
        <w:tab/>
      </w:r>
      <w:r>
        <w:t>Channel spacing</w:t>
      </w:r>
      <w:r>
        <w:tab/>
      </w:r>
      <w:r>
        <w:fldChar w:fldCharType="begin"/>
      </w:r>
      <w:r>
        <w:instrText xml:space="preserve"> PAGEREF _Toc7641 \h </w:instrText>
      </w:r>
      <w:r>
        <w:fldChar w:fldCharType="separate"/>
      </w:r>
      <w:r>
        <w:t>18</w:t>
      </w:r>
      <w:r>
        <w:fldChar w:fldCharType="end"/>
      </w:r>
    </w:p>
    <w:p>
      <w:pPr>
        <w:pStyle w:val="20"/>
        <w:tabs>
          <w:tab w:val="right" w:pos="2400"/>
          <w:tab w:val="right" w:leader="dot" w:pos="9641"/>
          <w:tab w:val="clear" w:pos="9639"/>
        </w:tabs>
      </w:pPr>
      <w:r>
        <w:t>5.4A.2</w:t>
      </w:r>
      <w:r>
        <w:tab/>
      </w:r>
      <w:r>
        <w:t>Channel raster, carrier frequency and EARFCN</w:t>
      </w:r>
      <w:r>
        <w:tab/>
      </w:r>
      <w:r>
        <w:fldChar w:fldCharType="begin"/>
      </w:r>
      <w:r>
        <w:instrText xml:space="preserve"> PAGEREF _Toc20355 \h </w:instrText>
      </w:r>
      <w:r>
        <w:fldChar w:fldCharType="separate"/>
      </w:r>
      <w:r>
        <w:t>18</w:t>
      </w:r>
      <w:r>
        <w:fldChar w:fldCharType="end"/>
      </w:r>
    </w:p>
    <w:p>
      <w:pPr>
        <w:pStyle w:val="20"/>
        <w:tabs>
          <w:tab w:val="right" w:pos="2400"/>
          <w:tab w:val="right" w:leader="dot" w:pos="9641"/>
          <w:tab w:val="clear" w:pos="9639"/>
        </w:tabs>
      </w:pPr>
      <w:r>
        <w:t>5.4A.3</w:t>
      </w:r>
      <w:r>
        <w:tab/>
      </w:r>
      <w:r>
        <w:t>TX–RX frequency separation</w:t>
      </w:r>
      <w:r>
        <w:tab/>
      </w:r>
      <w:r>
        <w:fldChar w:fldCharType="begin"/>
      </w:r>
      <w:r>
        <w:instrText xml:space="preserve"> PAGEREF _Toc15860 \h </w:instrText>
      </w:r>
      <w:r>
        <w:fldChar w:fldCharType="separate"/>
      </w:r>
      <w:r>
        <w:t>19</w:t>
      </w:r>
      <w:r>
        <w:fldChar w:fldCharType="end"/>
      </w:r>
    </w:p>
    <w:p>
      <w:pPr>
        <w:pStyle w:val="21"/>
        <w:tabs>
          <w:tab w:val="right" w:pos="2000"/>
          <w:tab w:val="right" w:leader="dot" w:pos="9641"/>
          <w:tab w:val="clear" w:pos="9639"/>
        </w:tabs>
      </w:pPr>
      <w:r>
        <w:t>5.4B</w:t>
      </w:r>
      <w:r>
        <w:tab/>
      </w:r>
      <w:r>
        <w:t>Channel arrangement for category NB1 and NB2</w:t>
      </w:r>
      <w:r>
        <w:tab/>
      </w:r>
      <w:r>
        <w:fldChar w:fldCharType="begin"/>
      </w:r>
      <w:r>
        <w:instrText xml:space="preserve"> PAGEREF _Toc12295 \h </w:instrText>
      </w:r>
      <w:r>
        <w:fldChar w:fldCharType="separate"/>
      </w:r>
      <w:r>
        <w:t>19</w:t>
      </w:r>
      <w:r>
        <w:fldChar w:fldCharType="end"/>
      </w:r>
    </w:p>
    <w:p>
      <w:pPr>
        <w:pStyle w:val="20"/>
        <w:tabs>
          <w:tab w:val="right" w:pos="2400"/>
          <w:tab w:val="right" w:leader="dot" w:pos="9641"/>
          <w:tab w:val="clear" w:pos="9639"/>
        </w:tabs>
      </w:pPr>
      <w:r>
        <w:t>5.4B.1</w:t>
      </w:r>
      <w:r>
        <w:tab/>
      </w:r>
      <w:r>
        <w:t>Channel spacing</w:t>
      </w:r>
      <w:r>
        <w:tab/>
      </w:r>
      <w:r>
        <w:fldChar w:fldCharType="begin"/>
      </w:r>
      <w:r>
        <w:instrText xml:space="preserve"> PAGEREF _Toc2701 \h </w:instrText>
      </w:r>
      <w:r>
        <w:fldChar w:fldCharType="separate"/>
      </w:r>
      <w:r>
        <w:t>19</w:t>
      </w:r>
      <w:r>
        <w:fldChar w:fldCharType="end"/>
      </w:r>
    </w:p>
    <w:p>
      <w:pPr>
        <w:pStyle w:val="20"/>
        <w:tabs>
          <w:tab w:val="right" w:pos="2400"/>
          <w:tab w:val="right" w:leader="dot" w:pos="9641"/>
          <w:tab w:val="clear" w:pos="9639"/>
        </w:tabs>
      </w:pPr>
      <w:r>
        <w:t>5.4B.2</w:t>
      </w:r>
      <w:r>
        <w:tab/>
      </w:r>
      <w:r>
        <w:t>Channel raster, carrier frequency and EARFCN</w:t>
      </w:r>
      <w:r>
        <w:tab/>
      </w:r>
      <w:r>
        <w:fldChar w:fldCharType="begin"/>
      </w:r>
      <w:r>
        <w:instrText xml:space="preserve"> PAGEREF _Toc28140 \h </w:instrText>
      </w:r>
      <w:r>
        <w:fldChar w:fldCharType="separate"/>
      </w:r>
      <w:r>
        <w:t>19</w:t>
      </w:r>
      <w:r>
        <w:fldChar w:fldCharType="end"/>
      </w:r>
    </w:p>
    <w:p>
      <w:pPr>
        <w:pStyle w:val="20"/>
        <w:tabs>
          <w:tab w:val="right" w:pos="2400"/>
          <w:tab w:val="right" w:leader="dot" w:pos="9641"/>
          <w:tab w:val="clear" w:pos="9639"/>
        </w:tabs>
      </w:pPr>
      <w:r>
        <w:t>5.4B.3</w:t>
      </w:r>
      <w:r>
        <w:tab/>
      </w:r>
      <w:r>
        <w:t>TX–RX frequency separation</w:t>
      </w:r>
      <w:r>
        <w:tab/>
      </w:r>
      <w:r>
        <w:fldChar w:fldCharType="begin"/>
      </w:r>
      <w:r>
        <w:instrText xml:space="preserve"> PAGEREF _Toc7018 \h </w:instrText>
      </w:r>
      <w:r>
        <w:fldChar w:fldCharType="separate"/>
      </w:r>
      <w:r>
        <w:t>20</w:t>
      </w:r>
      <w:r>
        <w:fldChar w:fldCharType="end"/>
      </w:r>
    </w:p>
    <w:p>
      <w:pPr>
        <w:pStyle w:val="22"/>
        <w:tabs>
          <w:tab w:val="right" w:pos="2000"/>
          <w:tab w:val="right" w:leader="dot" w:pos="9641"/>
          <w:tab w:val="clear" w:pos="9639"/>
        </w:tabs>
      </w:pPr>
      <w:r>
        <w:t>6</w:t>
      </w:r>
      <w:r>
        <w:tab/>
      </w:r>
      <w:r>
        <w:t>Transmitter characteristics</w:t>
      </w:r>
      <w:r>
        <w:tab/>
      </w:r>
      <w:r>
        <w:fldChar w:fldCharType="begin"/>
      </w:r>
      <w:r>
        <w:instrText xml:space="preserve"> PAGEREF _Toc15054 \h </w:instrText>
      </w:r>
      <w:r>
        <w:fldChar w:fldCharType="separate"/>
      </w:r>
      <w:r>
        <w:t>20</w:t>
      </w:r>
      <w:r>
        <w:fldChar w:fldCharType="end"/>
      </w:r>
    </w:p>
    <w:p>
      <w:pPr>
        <w:pStyle w:val="21"/>
        <w:tabs>
          <w:tab w:val="right" w:pos="2000"/>
          <w:tab w:val="right" w:leader="dot" w:pos="9641"/>
          <w:tab w:val="clear" w:pos="9639"/>
        </w:tabs>
      </w:pPr>
      <w:r>
        <w:t>6.1</w:t>
      </w:r>
      <w:r>
        <w:tab/>
      </w:r>
      <w:r>
        <w:t>General</w:t>
      </w:r>
      <w:r>
        <w:tab/>
      </w:r>
      <w:r>
        <w:fldChar w:fldCharType="begin"/>
      </w:r>
      <w:r>
        <w:instrText xml:space="preserve"> PAGEREF _Toc6397 \h </w:instrText>
      </w:r>
      <w:r>
        <w:fldChar w:fldCharType="separate"/>
      </w:r>
      <w:r>
        <w:t>20</w:t>
      </w:r>
      <w:r>
        <w:fldChar w:fldCharType="end"/>
      </w:r>
    </w:p>
    <w:p>
      <w:pPr>
        <w:pStyle w:val="21"/>
        <w:tabs>
          <w:tab w:val="right" w:pos="2000"/>
          <w:tab w:val="right" w:leader="dot" w:pos="9641"/>
          <w:tab w:val="clear" w:pos="9639"/>
        </w:tabs>
      </w:pPr>
      <w:r>
        <w:t>6.2</w:t>
      </w:r>
      <w:r>
        <w:tab/>
      </w:r>
      <w:r>
        <w:t>Transmit power</w:t>
      </w:r>
      <w:r>
        <w:tab/>
      </w:r>
      <w:r>
        <w:fldChar w:fldCharType="begin"/>
      </w:r>
      <w:r>
        <w:instrText xml:space="preserve"> PAGEREF _Toc28045 \h </w:instrText>
      </w:r>
      <w:r>
        <w:fldChar w:fldCharType="separate"/>
      </w:r>
      <w:r>
        <w:t>20</w:t>
      </w:r>
      <w:r>
        <w:fldChar w:fldCharType="end"/>
      </w:r>
    </w:p>
    <w:p>
      <w:pPr>
        <w:pStyle w:val="21"/>
        <w:tabs>
          <w:tab w:val="right" w:pos="2000"/>
          <w:tab w:val="right" w:leader="dot" w:pos="9641"/>
          <w:tab w:val="clear" w:pos="9639"/>
        </w:tabs>
      </w:pPr>
      <w:r>
        <w:t>6.2A</w:t>
      </w:r>
      <w:r>
        <w:tab/>
      </w:r>
      <w:r>
        <w:t>Transmit power for category M1</w:t>
      </w:r>
      <w:r>
        <w:tab/>
      </w:r>
      <w:r>
        <w:fldChar w:fldCharType="begin"/>
      </w:r>
      <w:r>
        <w:instrText xml:space="preserve"> PAGEREF _Toc30196 \h </w:instrText>
      </w:r>
      <w:r>
        <w:fldChar w:fldCharType="separate"/>
      </w:r>
      <w:r>
        <w:t>20</w:t>
      </w:r>
      <w:r>
        <w:fldChar w:fldCharType="end"/>
      </w:r>
    </w:p>
    <w:p>
      <w:pPr>
        <w:pStyle w:val="20"/>
        <w:tabs>
          <w:tab w:val="right" w:pos="2400"/>
          <w:tab w:val="right" w:leader="dot" w:pos="9641"/>
          <w:tab w:val="clear" w:pos="9639"/>
        </w:tabs>
      </w:pPr>
      <w:r>
        <w:t>6.2A.1</w:t>
      </w:r>
      <w:r>
        <w:tab/>
      </w:r>
      <w:r>
        <w:rPr>
          <w:lang w:eastAsia="zh-CN"/>
        </w:rPr>
        <w:t xml:space="preserve">UE </w:t>
      </w:r>
      <w:r>
        <w:t>maximum output power for category M1</w:t>
      </w:r>
      <w:r>
        <w:tab/>
      </w:r>
      <w:r>
        <w:fldChar w:fldCharType="begin"/>
      </w:r>
      <w:r>
        <w:instrText xml:space="preserve"> PAGEREF _Toc4140 \h </w:instrText>
      </w:r>
      <w:r>
        <w:fldChar w:fldCharType="separate"/>
      </w:r>
      <w:r>
        <w:t>20</w:t>
      </w:r>
      <w:r>
        <w:fldChar w:fldCharType="end"/>
      </w:r>
    </w:p>
    <w:p>
      <w:pPr>
        <w:pStyle w:val="20"/>
        <w:tabs>
          <w:tab w:val="right" w:pos="2400"/>
          <w:tab w:val="right" w:leader="dot" w:pos="9641"/>
          <w:tab w:val="clear" w:pos="9639"/>
        </w:tabs>
      </w:pPr>
      <w:r>
        <w:t>6.2A.2</w:t>
      </w:r>
      <w:r>
        <w:rPr>
          <w:lang w:eastAsia="zh-CN"/>
        </w:rPr>
        <w:tab/>
      </w:r>
      <w:r>
        <w:t>UE m</w:t>
      </w:r>
      <w:r>
        <w:rPr>
          <w:lang w:eastAsia="zh-CN"/>
        </w:rPr>
        <w:t xml:space="preserve">aximum output power reduction </w:t>
      </w:r>
      <w:r>
        <w:t xml:space="preserve">for </w:t>
      </w:r>
      <w:r>
        <w:rPr>
          <w:lang w:eastAsia="zh-CN"/>
        </w:rPr>
        <w:t>category M1</w:t>
      </w:r>
      <w:r>
        <w:tab/>
      </w:r>
      <w:r>
        <w:fldChar w:fldCharType="begin"/>
      </w:r>
      <w:r>
        <w:instrText xml:space="preserve"> PAGEREF _Toc5672 \h </w:instrText>
      </w:r>
      <w:r>
        <w:fldChar w:fldCharType="separate"/>
      </w:r>
      <w:r>
        <w:t>22</w:t>
      </w:r>
      <w:r>
        <w:fldChar w:fldCharType="end"/>
      </w:r>
    </w:p>
    <w:p>
      <w:pPr>
        <w:pStyle w:val="20"/>
        <w:tabs>
          <w:tab w:val="right" w:pos="2400"/>
          <w:tab w:val="right" w:leader="dot" w:pos="9641"/>
          <w:tab w:val="clear" w:pos="9639"/>
        </w:tabs>
      </w:pPr>
      <w:r>
        <w:t>6.2A.3</w:t>
      </w:r>
      <w:r>
        <w:tab/>
      </w:r>
      <w:r>
        <w:t>UE additional maximum output power reduction for category M1 UE</w:t>
      </w:r>
      <w:r>
        <w:tab/>
      </w:r>
      <w:r>
        <w:fldChar w:fldCharType="begin"/>
      </w:r>
      <w:r>
        <w:instrText xml:space="preserve"> PAGEREF _Toc31100 \h </w:instrText>
      </w:r>
      <w:r>
        <w:fldChar w:fldCharType="separate"/>
      </w:r>
      <w:r>
        <w:t>25</w:t>
      </w:r>
      <w:r>
        <w:fldChar w:fldCharType="end"/>
      </w:r>
    </w:p>
    <w:p>
      <w:pPr>
        <w:pStyle w:val="20"/>
        <w:tabs>
          <w:tab w:val="right" w:pos="2400"/>
          <w:tab w:val="right" w:leader="dot" w:pos="9641"/>
          <w:tab w:val="clear" w:pos="9639"/>
        </w:tabs>
      </w:pPr>
      <w:r>
        <w:t>6.2A.4</w:t>
      </w:r>
      <w:r>
        <w:tab/>
      </w:r>
      <w:r>
        <w:t>Configured transmitted Power for category M1</w:t>
      </w:r>
      <w:r>
        <w:tab/>
      </w:r>
      <w:r>
        <w:fldChar w:fldCharType="begin"/>
      </w:r>
      <w:r>
        <w:instrText xml:space="preserve"> PAGEREF _Toc22043 \h </w:instrText>
      </w:r>
      <w:r>
        <w:fldChar w:fldCharType="separate"/>
      </w:r>
      <w:r>
        <w:t>29</w:t>
      </w:r>
      <w:r>
        <w:fldChar w:fldCharType="end"/>
      </w:r>
    </w:p>
    <w:p>
      <w:pPr>
        <w:pStyle w:val="21"/>
        <w:tabs>
          <w:tab w:val="right" w:pos="2000"/>
          <w:tab w:val="right" w:leader="dot" w:pos="9641"/>
          <w:tab w:val="clear" w:pos="9639"/>
        </w:tabs>
      </w:pPr>
      <w:r>
        <w:t>6.2B</w:t>
      </w:r>
      <w:r>
        <w:tab/>
      </w:r>
      <w:r>
        <w:t>Transmit power for category NB1 and NB2</w:t>
      </w:r>
      <w:r>
        <w:tab/>
      </w:r>
      <w:r>
        <w:fldChar w:fldCharType="begin"/>
      </w:r>
      <w:r>
        <w:instrText xml:space="preserve"> PAGEREF _Toc16239 \h </w:instrText>
      </w:r>
      <w:r>
        <w:fldChar w:fldCharType="separate"/>
      </w:r>
      <w:r>
        <w:t>32</w:t>
      </w:r>
      <w:r>
        <w:fldChar w:fldCharType="end"/>
      </w:r>
    </w:p>
    <w:p>
      <w:pPr>
        <w:pStyle w:val="20"/>
        <w:tabs>
          <w:tab w:val="right" w:pos="2400"/>
          <w:tab w:val="right" w:leader="dot" w:pos="9641"/>
          <w:tab w:val="clear" w:pos="9639"/>
        </w:tabs>
      </w:pPr>
      <w:r>
        <w:t>6.2B.1</w:t>
      </w:r>
      <w:r>
        <w:tab/>
      </w:r>
      <w:r>
        <w:rPr>
          <w:lang w:eastAsia="zh-CN"/>
        </w:rPr>
        <w:t xml:space="preserve">UE </w:t>
      </w:r>
      <w:r>
        <w:t xml:space="preserve">maximum output power for category </w:t>
      </w:r>
      <w:r>
        <w:rPr>
          <w:lang w:val="en-US"/>
        </w:rPr>
        <w:t>NB1 and NB2</w:t>
      </w:r>
      <w:r>
        <w:tab/>
      </w:r>
      <w:r>
        <w:fldChar w:fldCharType="begin"/>
      </w:r>
      <w:r>
        <w:instrText xml:space="preserve"> PAGEREF _Toc4259 \h </w:instrText>
      </w:r>
      <w:r>
        <w:fldChar w:fldCharType="separate"/>
      </w:r>
      <w:r>
        <w:t>32</w:t>
      </w:r>
      <w:r>
        <w:fldChar w:fldCharType="end"/>
      </w:r>
    </w:p>
    <w:p>
      <w:pPr>
        <w:pStyle w:val="20"/>
        <w:tabs>
          <w:tab w:val="right" w:pos="2400"/>
          <w:tab w:val="right" w:leader="dot" w:pos="9641"/>
          <w:tab w:val="clear" w:pos="9639"/>
        </w:tabs>
      </w:pPr>
      <w:r>
        <w:t>6.2B.2</w:t>
      </w:r>
      <w:r>
        <w:rPr>
          <w:lang w:eastAsia="zh-CN"/>
        </w:rPr>
        <w:tab/>
      </w:r>
      <w:r>
        <w:t>UE m</w:t>
      </w:r>
      <w:r>
        <w:rPr>
          <w:lang w:eastAsia="zh-CN"/>
        </w:rPr>
        <w:t xml:space="preserve">aximum output power reduction </w:t>
      </w:r>
      <w:r>
        <w:t xml:space="preserve">for </w:t>
      </w:r>
      <w:r>
        <w:rPr>
          <w:lang w:eastAsia="zh-CN"/>
        </w:rPr>
        <w:t>category NB1 and NB2</w:t>
      </w:r>
      <w:r>
        <w:tab/>
      </w:r>
      <w:r>
        <w:fldChar w:fldCharType="begin"/>
      </w:r>
      <w:r>
        <w:instrText xml:space="preserve"> PAGEREF _Toc23028 \h </w:instrText>
      </w:r>
      <w:r>
        <w:fldChar w:fldCharType="separate"/>
      </w:r>
      <w:r>
        <w:t>34</w:t>
      </w:r>
      <w:r>
        <w:fldChar w:fldCharType="end"/>
      </w:r>
    </w:p>
    <w:p>
      <w:pPr>
        <w:pStyle w:val="20"/>
        <w:tabs>
          <w:tab w:val="right" w:pos="2400"/>
          <w:tab w:val="right" w:leader="dot" w:pos="9641"/>
          <w:tab w:val="clear" w:pos="9639"/>
        </w:tabs>
      </w:pPr>
      <w:r>
        <w:t>6.2B.3</w:t>
      </w:r>
      <w:r>
        <w:tab/>
      </w:r>
      <w:r>
        <w:t>UE additional maximum output power reduction for category NB1 and NB2 UE</w:t>
      </w:r>
      <w:r>
        <w:tab/>
      </w:r>
      <w:r>
        <w:fldChar w:fldCharType="begin"/>
      </w:r>
      <w:r>
        <w:instrText xml:space="preserve"> PAGEREF _Toc19178 \h </w:instrText>
      </w:r>
      <w:r>
        <w:fldChar w:fldCharType="separate"/>
      </w:r>
      <w:r>
        <w:t>36</w:t>
      </w:r>
      <w:r>
        <w:fldChar w:fldCharType="end"/>
      </w:r>
    </w:p>
    <w:p>
      <w:pPr>
        <w:pStyle w:val="20"/>
        <w:tabs>
          <w:tab w:val="right" w:pos="2400"/>
          <w:tab w:val="right" w:leader="dot" w:pos="9641"/>
          <w:tab w:val="clear" w:pos="9639"/>
        </w:tabs>
      </w:pPr>
      <w:r>
        <w:t>6.2B.4</w:t>
      </w:r>
      <w:r>
        <w:tab/>
      </w:r>
      <w:r>
        <w:t>Configured transmitted Power for category NB1 and NB2</w:t>
      </w:r>
      <w:r>
        <w:tab/>
      </w:r>
      <w:r>
        <w:fldChar w:fldCharType="begin"/>
      </w:r>
      <w:r>
        <w:instrText xml:space="preserve"> PAGEREF _Toc17982 \h </w:instrText>
      </w:r>
      <w:r>
        <w:fldChar w:fldCharType="separate"/>
      </w:r>
      <w:r>
        <w:t>40</w:t>
      </w:r>
      <w:r>
        <w:fldChar w:fldCharType="end"/>
      </w:r>
    </w:p>
    <w:p>
      <w:pPr>
        <w:pStyle w:val="21"/>
        <w:tabs>
          <w:tab w:val="right" w:pos="2000"/>
          <w:tab w:val="right" w:leader="dot" w:pos="9641"/>
          <w:tab w:val="clear" w:pos="9639"/>
        </w:tabs>
      </w:pPr>
      <w:r>
        <w:rPr>
          <w:rFonts w:cs="v5.0.0"/>
        </w:rPr>
        <w:t>6.3</w:t>
      </w:r>
      <w:r>
        <w:rPr>
          <w:rFonts w:cs="v5.0.0"/>
        </w:rPr>
        <w:tab/>
      </w:r>
      <w:r>
        <w:rPr>
          <w:rFonts w:cs="v5.0.0"/>
        </w:rPr>
        <w:t>Output power dynamics</w:t>
      </w:r>
      <w:r>
        <w:tab/>
      </w:r>
      <w:r>
        <w:fldChar w:fldCharType="begin"/>
      </w:r>
      <w:r>
        <w:instrText xml:space="preserve"> PAGEREF _Toc2766 \h </w:instrText>
      </w:r>
      <w:r>
        <w:fldChar w:fldCharType="separate"/>
      </w:r>
      <w:r>
        <w:t>42</w:t>
      </w:r>
      <w:r>
        <w:fldChar w:fldCharType="end"/>
      </w:r>
    </w:p>
    <w:p>
      <w:pPr>
        <w:pStyle w:val="21"/>
        <w:tabs>
          <w:tab w:val="right" w:pos="2000"/>
          <w:tab w:val="right" w:leader="dot" w:pos="9641"/>
          <w:tab w:val="clear" w:pos="9639"/>
        </w:tabs>
      </w:pPr>
      <w:r>
        <w:rPr>
          <w:rFonts w:cs="v5.0.0"/>
        </w:rPr>
        <w:t>6.3A</w:t>
      </w:r>
      <w:r>
        <w:rPr>
          <w:rFonts w:cs="v5.0.0"/>
        </w:rPr>
        <w:tab/>
      </w:r>
      <w:r>
        <w:rPr>
          <w:rFonts w:cs="v5.0.0"/>
        </w:rPr>
        <w:t>Output power dynamics for category M1</w:t>
      </w:r>
      <w:r>
        <w:tab/>
      </w:r>
      <w:r>
        <w:fldChar w:fldCharType="begin"/>
      </w:r>
      <w:r>
        <w:instrText xml:space="preserve"> PAGEREF _Toc30185 \h </w:instrText>
      </w:r>
      <w:r>
        <w:fldChar w:fldCharType="separate"/>
      </w:r>
      <w:r>
        <w:t>43</w:t>
      </w:r>
      <w:r>
        <w:fldChar w:fldCharType="end"/>
      </w:r>
    </w:p>
    <w:p>
      <w:pPr>
        <w:pStyle w:val="20"/>
        <w:tabs>
          <w:tab w:val="right" w:pos="2400"/>
          <w:tab w:val="right" w:leader="dot" w:pos="9641"/>
          <w:tab w:val="clear" w:pos="9639"/>
        </w:tabs>
      </w:pPr>
      <w:r>
        <w:t>6.3A.1</w:t>
      </w:r>
      <w:r>
        <w:tab/>
      </w:r>
      <w:r>
        <w:t>UE Minimum output power for category M1</w:t>
      </w:r>
      <w:r>
        <w:tab/>
      </w:r>
      <w:r>
        <w:fldChar w:fldCharType="begin"/>
      </w:r>
      <w:r>
        <w:instrText xml:space="preserve"> PAGEREF _Toc13543 \h </w:instrText>
      </w:r>
      <w:r>
        <w:fldChar w:fldCharType="separate"/>
      </w:r>
      <w:r>
        <w:t>43</w:t>
      </w:r>
      <w:r>
        <w:fldChar w:fldCharType="end"/>
      </w:r>
    </w:p>
    <w:p>
      <w:pPr>
        <w:pStyle w:val="20"/>
        <w:tabs>
          <w:tab w:val="right" w:pos="2400"/>
          <w:tab w:val="right" w:leader="dot" w:pos="9641"/>
          <w:tab w:val="clear" w:pos="9639"/>
        </w:tabs>
      </w:pPr>
      <w:r>
        <w:t>6.3A.2</w:t>
      </w:r>
      <w:r>
        <w:tab/>
      </w:r>
      <w:r>
        <w:t>Transmit OFF power for category M1</w:t>
      </w:r>
      <w:r>
        <w:tab/>
      </w:r>
      <w:r>
        <w:fldChar w:fldCharType="begin"/>
      </w:r>
      <w:r>
        <w:instrText xml:space="preserve"> PAGEREF _Toc14062 \h </w:instrText>
      </w:r>
      <w:r>
        <w:fldChar w:fldCharType="separate"/>
      </w:r>
      <w:r>
        <w:t>45</w:t>
      </w:r>
      <w:r>
        <w:fldChar w:fldCharType="end"/>
      </w:r>
    </w:p>
    <w:p>
      <w:pPr>
        <w:pStyle w:val="20"/>
        <w:tabs>
          <w:tab w:val="right" w:pos="2400"/>
          <w:tab w:val="right" w:leader="dot" w:pos="9641"/>
          <w:tab w:val="clear" w:pos="9639"/>
        </w:tabs>
      </w:pPr>
      <w:r>
        <w:t>6.3A.3</w:t>
      </w:r>
      <w:r>
        <w:tab/>
      </w:r>
      <w:r>
        <w:t xml:space="preserve">ON/OFF time mask </w:t>
      </w:r>
      <w:r>
        <w:rPr>
          <w:lang w:eastAsia="zh-CN"/>
        </w:rPr>
        <w:t>for category M1</w:t>
      </w:r>
      <w:r>
        <w:tab/>
      </w:r>
      <w:r>
        <w:fldChar w:fldCharType="begin"/>
      </w:r>
      <w:r>
        <w:instrText xml:space="preserve"> PAGEREF _Toc29698 \h </w:instrText>
      </w:r>
      <w:r>
        <w:fldChar w:fldCharType="separate"/>
      </w:r>
      <w:r>
        <w:t>46</w:t>
      </w:r>
      <w:r>
        <w:fldChar w:fldCharType="end"/>
      </w:r>
    </w:p>
    <w:p>
      <w:pPr>
        <w:pStyle w:val="19"/>
        <w:tabs>
          <w:tab w:val="right" w:pos="2400"/>
          <w:tab w:val="right" w:leader="dot" w:pos="9641"/>
          <w:tab w:val="clear" w:pos="9639"/>
        </w:tabs>
      </w:pPr>
      <w:r>
        <w:t>6.3A.3.1</w:t>
      </w:r>
      <w:r>
        <w:tab/>
      </w:r>
      <w:r>
        <w:t>General ON/OFF time mask for category M1</w:t>
      </w:r>
      <w:r>
        <w:tab/>
      </w:r>
      <w:r>
        <w:fldChar w:fldCharType="begin"/>
      </w:r>
      <w:r>
        <w:instrText xml:space="preserve"> PAGEREF _Toc12987 \h </w:instrText>
      </w:r>
      <w:r>
        <w:fldChar w:fldCharType="separate"/>
      </w:r>
      <w:r>
        <w:t>46</w:t>
      </w:r>
      <w:r>
        <w:fldChar w:fldCharType="end"/>
      </w:r>
    </w:p>
    <w:p>
      <w:pPr>
        <w:pStyle w:val="19"/>
        <w:tabs>
          <w:tab w:val="right" w:pos="2400"/>
          <w:tab w:val="right" w:leader="dot" w:pos="9641"/>
          <w:tab w:val="clear" w:pos="9639"/>
        </w:tabs>
      </w:pPr>
      <w:r>
        <w:t>6.3A.3.2</w:t>
      </w:r>
      <w:r>
        <w:tab/>
      </w:r>
      <w:r>
        <w:t>PRACH and SRS ON/OFF time mask for UE category M1</w:t>
      </w:r>
      <w:r>
        <w:tab/>
      </w:r>
      <w:r>
        <w:fldChar w:fldCharType="begin"/>
      </w:r>
      <w:r>
        <w:instrText xml:space="preserve"> PAGEREF _Toc5729 \h </w:instrText>
      </w:r>
      <w:r>
        <w:fldChar w:fldCharType="separate"/>
      </w:r>
      <w:r>
        <w:t>48</w:t>
      </w:r>
      <w:r>
        <w:fldChar w:fldCharType="end"/>
      </w:r>
    </w:p>
    <w:p>
      <w:pPr>
        <w:pStyle w:val="18"/>
        <w:tabs>
          <w:tab w:val="right" w:pos="2400"/>
          <w:tab w:val="right" w:leader="dot" w:pos="9641"/>
          <w:tab w:val="clear" w:pos="9639"/>
        </w:tabs>
      </w:pPr>
      <w:r>
        <w:t>6.3A.3.2.1</w:t>
      </w:r>
      <w:r>
        <w:tab/>
      </w:r>
      <w:r>
        <w:t>PRACH time mask for UE category M1</w:t>
      </w:r>
      <w:r>
        <w:tab/>
      </w:r>
      <w:r>
        <w:fldChar w:fldCharType="begin"/>
      </w:r>
      <w:r>
        <w:instrText xml:space="preserve"> PAGEREF _Toc18154 \h </w:instrText>
      </w:r>
      <w:r>
        <w:fldChar w:fldCharType="separate"/>
      </w:r>
      <w:r>
        <w:t>48</w:t>
      </w:r>
      <w:r>
        <w:fldChar w:fldCharType="end"/>
      </w:r>
    </w:p>
    <w:p>
      <w:pPr>
        <w:pStyle w:val="18"/>
        <w:tabs>
          <w:tab w:val="right" w:pos="2400"/>
          <w:tab w:val="right" w:leader="dot" w:pos="9641"/>
          <w:tab w:val="clear" w:pos="9639"/>
        </w:tabs>
      </w:pPr>
      <w:r>
        <w:t>6.3A.3.2.2</w:t>
      </w:r>
      <w:r>
        <w:tab/>
      </w:r>
      <w:r>
        <w:t>SRS time mask for UE category M1</w:t>
      </w:r>
      <w:r>
        <w:tab/>
      </w:r>
      <w:r>
        <w:fldChar w:fldCharType="begin"/>
      </w:r>
      <w:r>
        <w:instrText xml:space="preserve"> PAGEREF _Toc12817 \h </w:instrText>
      </w:r>
      <w:r>
        <w:fldChar w:fldCharType="separate"/>
      </w:r>
      <w:r>
        <w:t>50</w:t>
      </w:r>
      <w:r>
        <w:fldChar w:fldCharType="end"/>
      </w:r>
    </w:p>
    <w:p>
      <w:pPr>
        <w:pStyle w:val="20"/>
        <w:tabs>
          <w:tab w:val="right" w:pos="2400"/>
          <w:tab w:val="right" w:leader="dot" w:pos="9641"/>
          <w:tab w:val="clear" w:pos="9639"/>
        </w:tabs>
      </w:pPr>
      <w:r>
        <w:t>6.3A.4</w:t>
      </w:r>
      <w:r>
        <w:tab/>
      </w:r>
      <w:r>
        <w:t>Power control</w:t>
      </w:r>
      <w:r>
        <w:rPr>
          <w:lang w:eastAsia="zh-CN"/>
        </w:rPr>
        <w:t xml:space="preserve"> for category M1</w:t>
      </w:r>
      <w:r>
        <w:tab/>
      </w:r>
      <w:r>
        <w:fldChar w:fldCharType="begin"/>
      </w:r>
      <w:r>
        <w:instrText xml:space="preserve"> PAGEREF _Toc12498 \h </w:instrText>
      </w:r>
      <w:r>
        <w:fldChar w:fldCharType="separate"/>
      </w:r>
      <w:r>
        <w:t>52</w:t>
      </w:r>
      <w:r>
        <w:fldChar w:fldCharType="end"/>
      </w:r>
    </w:p>
    <w:p>
      <w:pPr>
        <w:pStyle w:val="19"/>
        <w:tabs>
          <w:tab w:val="right" w:pos="2400"/>
          <w:tab w:val="right" w:leader="dot" w:pos="9641"/>
          <w:tab w:val="clear" w:pos="9639"/>
        </w:tabs>
      </w:pPr>
      <w:r>
        <w:t>6.3A.</w:t>
      </w:r>
      <w:r>
        <w:rPr>
          <w:rFonts w:hint="eastAsia"/>
        </w:rPr>
        <w:t>4</w:t>
      </w:r>
      <w:r>
        <w:t>.</w:t>
      </w:r>
      <w:r>
        <w:rPr>
          <w:rFonts w:hint="eastAsia"/>
        </w:rPr>
        <w:t>1</w:t>
      </w:r>
      <w:r>
        <w:tab/>
      </w:r>
      <w:r>
        <w:t>Power Control Absolute power tolerance for UE category M1</w:t>
      </w:r>
      <w:r>
        <w:tab/>
      </w:r>
      <w:r>
        <w:fldChar w:fldCharType="begin"/>
      </w:r>
      <w:r>
        <w:instrText xml:space="preserve"> PAGEREF _Toc19985 \h </w:instrText>
      </w:r>
      <w:r>
        <w:fldChar w:fldCharType="separate"/>
      </w:r>
      <w:r>
        <w:t>52</w:t>
      </w:r>
      <w:r>
        <w:fldChar w:fldCharType="end"/>
      </w:r>
    </w:p>
    <w:p>
      <w:pPr>
        <w:pStyle w:val="19"/>
        <w:tabs>
          <w:tab w:val="right" w:pos="2400"/>
          <w:tab w:val="right" w:leader="dot" w:pos="9641"/>
          <w:tab w:val="clear" w:pos="9639"/>
        </w:tabs>
      </w:pPr>
      <w:r>
        <w:t>6.3A.</w:t>
      </w:r>
      <w:r>
        <w:rPr>
          <w:rFonts w:hint="eastAsia"/>
        </w:rPr>
        <w:t>4</w:t>
      </w:r>
      <w:r>
        <w:t>.2</w:t>
      </w:r>
      <w:r>
        <w:tab/>
      </w:r>
      <w:r>
        <w:t>Power Control Relative power tolerance for UE category M1</w:t>
      </w:r>
      <w:r>
        <w:tab/>
      </w:r>
      <w:r>
        <w:fldChar w:fldCharType="begin"/>
      </w:r>
      <w:r>
        <w:instrText xml:space="preserve"> PAGEREF _Toc10347 \h </w:instrText>
      </w:r>
      <w:r>
        <w:fldChar w:fldCharType="separate"/>
      </w:r>
      <w:r>
        <w:t>55</w:t>
      </w:r>
      <w:r>
        <w:fldChar w:fldCharType="end"/>
      </w:r>
    </w:p>
    <w:p>
      <w:pPr>
        <w:pStyle w:val="19"/>
        <w:tabs>
          <w:tab w:val="right" w:pos="2400"/>
          <w:tab w:val="right" w:leader="dot" w:pos="9641"/>
          <w:tab w:val="clear" w:pos="9639"/>
        </w:tabs>
      </w:pPr>
      <w:r>
        <w:t>6.3A.</w:t>
      </w:r>
      <w:r>
        <w:rPr>
          <w:rFonts w:hint="eastAsia"/>
        </w:rPr>
        <w:t>4</w:t>
      </w:r>
      <w:r>
        <w:t>.3</w:t>
      </w:r>
      <w:r>
        <w:tab/>
      </w:r>
      <w:r>
        <w:t xml:space="preserve">Aggregate power control tolerance for UE category </w:t>
      </w:r>
      <w:r>
        <w:rPr>
          <w:lang w:eastAsia="zh-TW"/>
        </w:rPr>
        <w:t>M1</w:t>
      </w:r>
      <w:r>
        <w:tab/>
      </w:r>
      <w:r>
        <w:fldChar w:fldCharType="begin"/>
      </w:r>
      <w:r>
        <w:instrText xml:space="preserve"> PAGEREF _Toc22666 \h </w:instrText>
      </w:r>
      <w:r>
        <w:fldChar w:fldCharType="separate"/>
      </w:r>
      <w:r>
        <w:t>64</w:t>
      </w:r>
      <w:r>
        <w:fldChar w:fldCharType="end"/>
      </w:r>
    </w:p>
    <w:p>
      <w:pPr>
        <w:pStyle w:val="21"/>
        <w:tabs>
          <w:tab w:val="right" w:pos="2000"/>
          <w:tab w:val="right" w:leader="dot" w:pos="9641"/>
          <w:tab w:val="clear" w:pos="9639"/>
        </w:tabs>
      </w:pPr>
      <w:r>
        <w:rPr>
          <w:rFonts w:cs="v5.0.0"/>
        </w:rPr>
        <w:t>6.3B</w:t>
      </w:r>
      <w:r>
        <w:rPr>
          <w:rFonts w:cs="v5.0.0"/>
        </w:rPr>
        <w:tab/>
      </w:r>
      <w:r>
        <w:rPr>
          <w:rFonts w:cs="v5.0.0"/>
        </w:rPr>
        <w:t>Output power dynamics for category NB1 and NB2</w:t>
      </w:r>
      <w:r>
        <w:tab/>
      </w:r>
      <w:r>
        <w:fldChar w:fldCharType="begin"/>
      </w:r>
      <w:r>
        <w:instrText xml:space="preserve"> PAGEREF _Toc20023 \h </w:instrText>
      </w:r>
      <w:r>
        <w:fldChar w:fldCharType="separate"/>
      </w:r>
      <w:r>
        <w:t>68</w:t>
      </w:r>
      <w:r>
        <w:fldChar w:fldCharType="end"/>
      </w:r>
    </w:p>
    <w:p>
      <w:pPr>
        <w:pStyle w:val="20"/>
        <w:tabs>
          <w:tab w:val="right" w:pos="2400"/>
          <w:tab w:val="right" w:leader="dot" w:pos="9641"/>
          <w:tab w:val="clear" w:pos="9639"/>
        </w:tabs>
      </w:pPr>
      <w:r>
        <w:t>6.3B.1</w:t>
      </w:r>
      <w:r>
        <w:tab/>
      </w:r>
      <w:r>
        <w:t>UE Minimum output power for category NB1 and NB2</w:t>
      </w:r>
      <w:r>
        <w:tab/>
      </w:r>
      <w:r>
        <w:fldChar w:fldCharType="begin"/>
      </w:r>
      <w:r>
        <w:instrText xml:space="preserve"> PAGEREF _Toc20577 \h </w:instrText>
      </w:r>
      <w:r>
        <w:fldChar w:fldCharType="separate"/>
      </w:r>
      <w:r>
        <w:t>68</w:t>
      </w:r>
      <w:r>
        <w:fldChar w:fldCharType="end"/>
      </w:r>
    </w:p>
    <w:p>
      <w:pPr>
        <w:pStyle w:val="20"/>
        <w:tabs>
          <w:tab w:val="right" w:pos="2400"/>
          <w:tab w:val="right" w:leader="dot" w:pos="9641"/>
          <w:tab w:val="clear" w:pos="9639"/>
        </w:tabs>
      </w:pPr>
      <w:r>
        <w:t>6.3B.2</w:t>
      </w:r>
      <w:r>
        <w:tab/>
      </w:r>
      <w:r>
        <w:t>Transmit OFF power for category NB1 and NB2</w:t>
      </w:r>
      <w:r>
        <w:tab/>
      </w:r>
      <w:r>
        <w:fldChar w:fldCharType="begin"/>
      </w:r>
      <w:r>
        <w:instrText xml:space="preserve"> PAGEREF _Toc5221 \h </w:instrText>
      </w:r>
      <w:r>
        <w:fldChar w:fldCharType="separate"/>
      </w:r>
      <w:r>
        <w:t>70</w:t>
      </w:r>
      <w:r>
        <w:fldChar w:fldCharType="end"/>
      </w:r>
    </w:p>
    <w:p>
      <w:pPr>
        <w:pStyle w:val="20"/>
        <w:tabs>
          <w:tab w:val="right" w:pos="2400"/>
          <w:tab w:val="right" w:leader="dot" w:pos="9641"/>
          <w:tab w:val="clear" w:pos="9639"/>
        </w:tabs>
      </w:pPr>
      <w:r>
        <w:t>6.3B.3</w:t>
      </w:r>
      <w:r>
        <w:tab/>
      </w:r>
      <w:r>
        <w:t xml:space="preserve">ON/OFF time mask </w:t>
      </w:r>
      <w:r>
        <w:rPr>
          <w:lang w:eastAsia="zh-CN"/>
        </w:rPr>
        <w:t>for category NB1 and NB2</w:t>
      </w:r>
      <w:r>
        <w:tab/>
      </w:r>
      <w:r>
        <w:fldChar w:fldCharType="begin"/>
      </w:r>
      <w:r>
        <w:instrText xml:space="preserve"> PAGEREF _Toc13505 \h </w:instrText>
      </w:r>
      <w:r>
        <w:fldChar w:fldCharType="separate"/>
      </w:r>
      <w:r>
        <w:t>71</w:t>
      </w:r>
      <w:r>
        <w:fldChar w:fldCharType="end"/>
      </w:r>
    </w:p>
    <w:p>
      <w:pPr>
        <w:pStyle w:val="19"/>
        <w:tabs>
          <w:tab w:val="right" w:pos="2400"/>
          <w:tab w:val="right" w:leader="dot" w:pos="9641"/>
          <w:tab w:val="clear" w:pos="9639"/>
        </w:tabs>
      </w:pPr>
      <w:r>
        <w:t>6.3B.3.1</w:t>
      </w:r>
      <w:r>
        <w:tab/>
      </w:r>
      <w:r>
        <w:rPr>
          <w:lang w:eastAsia="zh-TW"/>
        </w:rPr>
        <w:t>General ON/OFF time mask for category NB1 and NB2</w:t>
      </w:r>
      <w:r>
        <w:tab/>
      </w:r>
      <w:r>
        <w:fldChar w:fldCharType="begin"/>
      </w:r>
      <w:r>
        <w:instrText xml:space="preserve"> PAGEREF _Toc27298 \h </w:instrText>
      </w:r>
      <w:r>
        <w:fldChar w:fldCharType="separate"/>
      </w:r>
      <w:r>
        <w:t>71</w:t>
      </w:r>
      <w:r>
        <w:fldChar w:fldCharType="end"/>
      </w:r>
    </w:p>
    <w:p>
      <w:pPr>
        <w:pStyle w:val="19"/>
        <w:tabs>
          <w:tab w:val="right" w:pos="2400"/>
          <w:tab w:val="right" w:leader="dot" w:pos="9641"/>
          <w:tab w:val="clear" w:pos="9639"/>
        </w:tabs>
      </w:pPr>
      <w:r>
        <w:t>6.3B.3.2</w:t>
      </w:r>
      <w:r>
        <w:tab/>
      </w:r>
      <w:r>
        <w:rPr>
          <w:lang w:eastAsia="zh-TW"/>
        </w:rPr>
        <w:t>NPRACH time mask for category NB1 and NB2</w:t>
      </w:r>
      <w:r>
        <w:tab/>
      </w:r>
      <w:r>
        <w:fldChar w:fldCharType="begin"/>
      </w:r>
      <w:r>
        <w:instrText xml:space="preserve"> PAGEREF _Toc12178 \h </w:instrText>
      </w:r>
      <w:r>
        <w:fldChar w:fldCharType="separate"/>
      </w:r>
      <w:r>
        <w:t>73</w:t>
      </w:r>
      <w:r>
        <w:fldChar w:fldCharType="end"/>
      </w:r>
    </w:p>
    <w:p>
      <w:pPr>
        <w:pStyle w:val="20"/>
        <w:tabs>
          <w:tab w:val="right" w:pos="2400"/>
          <w:tab w:val="right" w:leader="dot" w:pos="9641"/>
          <w:tab w:val="clear" w:pos="9639"/>
        </w:tabs>
      </w:pPr>
      <w:r>
        <w:t>6.3B.4</w:t>
      </w:r>
      <w:r>
        <w:tab/>
      </w:r>
      <w:r>
        <w:t>Power Control for category NB1 and NB2</w:t>
      </w:r>
      <w:r>
        <w:tab/>
      </w:r>
      <w:r>
        <w:fldChar w:fldCharType="begin"/>
      </w:r>
      <w:r>
        <w:instrText xml:space="preserve"> PAGEREF _Toc27320 \h </w:instrText>
      </w:r>
      <w:r>
        <w:fldChar w:fldCharType="separate"/>
      </w:r>
      <w:r>
        <w:t>76</w:t>
      </w:r>
      <w:r>
        <w:fldChar w:fldCharType="end"/>
      </w:r>
    </w:p>
    <w:p>
      <w:pPr>
        <w:pStyle w:val="19"/>
        <w:tabs>
          <w:tab w:val="right" w:pos="2400"/>
          <w:tab w:val="right" w:leader="dot" w:pos="9641"/>
          <w:tab w:val="clear" w:pos="9639"/>
        </w:tabs>
      </w:pPr>
      <w:r>
        <w:t>6.3B.4.1</w:t>
      </w:r>
      <w:r>
        <w:tab/>
      </w:r>
      <w:r>
        <w:t>Power Control Absolute power tolerance for category NB1 and NB2</w:t>
      </w:r>
      <w:r>
        <w:tab/>
      </w:r>
      <w:r>
        <w:fldChar w:fldCharType="begin"/>
      </w:r>
      <w:r>
        <w:instrText xml:space="preserve"> PAGEREF _Toc8791 \h </w:instrText>
      </w:r>
      <w:r>
        <w:fldChar w:fldCharType="separate"/>
      </w:r>
      <w:r>
        <w:t>76</w:t>
      </w:r>
      <w:r>
        <w:fldChar w:fldCharType="end"/>
      </w:r>
    </w:p>
    <w:p>
      <w:pPr>
        <w:pStyle w:val="19"/>
        <w:tabs>
          <w:tab w:val="right" w:leader="dot" w:pos="9641"/>
          <w:tab w:val="clear" w:pos="9639"/>
        </w:tabs>
      </w:pPr>
      <w:r>
        <w:t>6.3B.4.2 Power Control Relative power tolerance for category NB1 and NB2</w:t>
      </w:r>
      <w:r>
        <w:tab/>
      </w:r>
      <w:r>
        <w:fldChar w:fldCharType="begin"/>
      </w:r>
      <w:r>
        <w:instrText xml:space="preserve"> PAGEREF _Toc27511 \h </w:instrText>
      </w:r>
      <w:r>
        <w:fldChar w:fldCharType="separate"/>
      </w:r>
      <w:r>
        <w:t>79</w:t>
      </w:r>
      <w:r>
        <w:fldChar w:fldCharType="end"/>
      </w:r>
    </w:p>
    <w:p>
      <w:pPr>
        <w:pStyle w:val="19"/>
        <w:tabs>
          <w:tab w:val="right" w:leader="dot" w:pos="9641"/>
          <w:tab w:val="clear" w:pos="9639"/>
        </w:tabs>
      </w:pPr>
      <w:r>
        <w:t>6.3B.4.3 Aggregate power control tolerance for category NB1 and NB2</w:t>
      </w:r>
      <w:r>
        <w:tab/>
      </w:r>
      <w:r>
        <w:fldChar w:fldCharType="begin"/>
      </w:r>
      <w:r>
        <w:instrText xml:space="preserve"> PAGEREF _Toc32399 \h </w:instrText>
      </w:r>
      <w:r>
        <w:fldChar w:fldCharType="separate"/>
      </w:r>
      <w:r>
        <w:t>82</w:t>
      </w:r>
      <w:r>
        <w:fldChar w:fldCharType="end"/>
      </w:r>
    </w:p>
    <w:p>
      <w:pPr>
        <w:pStyle w:val="21"/>
        <w:tabs>
          <w:tab w:val="right" w:pos="2000"/>
          <w:tab w:val="right" w:leader="dot" w:pos="9641"/>
          <w:tab w:val="clear" w:pos="9639"/>
        </w:tabs>
      </w:pPr>
      <w:r>
        <w:t>6.4</w:t>
      </w:r>
      <w:r>
        <w:tab/>
      </w:r>
      <w:r>
        <w:t>Transmit signal quality</w:t>
      </w:r>
      <w:r>
        <w:tab/>
      </w:r>
      <w:r>
        <w:fldChar w:fldCharType="begin"/>
      </w:r>
      <w:r>
        <w:instrText xml:space="preserve"> PAGEREF _Toc32396 \h </w:instrText>
      </w:r>
      <w:r>
        <w:fldChar w:fldCharType="separate"/>
      </w:r>
      <w:r>
        <w:t>87</w:t>
      </w:r>
      <w:r>
        <w:fldChar w:fldCharType="end"/>
      </w:r>
    </w:p>
    <w:p>
      <w:pPr>
        <w:pStyle w:val="21"/>
        <w:tabs>
          <w:tab w:val="right" w:pos="2000"/>
          <w:tab w:val="right" w:leader="dot" w:pos="9641"/>
          <w:tab w:val="clear" w:pos="9639"/>
        </w:tabs>
      </w:pPr>
      <w:r>
        <w:t>6.4A</w:t>
      </w:r>
      <w:r>
        <w:tab/>
      </w:r>
      <w:r>
        <w:t>Transmit signal quality for category M1</w:t>
      </w:r>
      <w:r>
        <w:tab/>
      </w:r>
      <w:r>
        <w:fldChar w:fldCharType="begin"/>
      </w:r>
      <w:r>
        <w:instrText xml:space="preserve"> PAGEREF _Toc1210 \h </w:instrText>
      </w:r>
      <w:r>
        <w:fldChar w:fldCharType="separate"/>
      </w:r>
      <w:r>
        <w:t>87</w:t>
      </w:r>
      <w:r>
        <w:fldChar w:fldCharType="end"/>
      </w:r>
    </w:p>
    <w:p>
      <w:pPr>
        <w:pStyle w:val="20"/>
        <w:tabs>
          <w:tab w:val="right" w:pos="2400"/>
          <w:tab w:val="right" w:leader="dot" w:pos="9641"/>
          <w:tab w:val="clear" w:pos="9639"/>
        </w:tabs>
      </w:pPr>
      <w:r>
        <w:t>6.4A.1</w:t>
      </w:r>
      <w:r>
        <w:tab/>
      </w:r>
      <w:r>
        <w:t>Frequency error for UE category M1</w:t>
      </w:r>
      <w:r>
        <w:tab/>
      </w:r>
      <w:r>
        <w:fldChar w:fldCharType="begin"/>
      </w:r>
      <w:r>
        <w:instrText xml:space="preserve"> PAGEREF _Toc2545 \h </w:instrText>
      </w:r>
      <w:r>
        <w:fldChar w:fldCharType="separate"/>
      </w:r>
      <w:r>
        <w:t>87</w:t>
      </w:r>
      <w:r>
        <w:fldChar w:fldCharType="end"/>
      </w:r>
    </w:p>
    <w:p>
      <w:pPr>
        <w:pStyle w:val="20"/>
        <w:tabs>
          <w:tab w:val="right" w:pos="2400"/>
          <w:tab w:val="right" w:leader="dot" w:pos="9641"/>
          <w:tab w:val="clear" w:pos="9639"/>
        </w:tabs>
      </w:pPr>
      <w:r>
        <w:t>6.4A.2</w:t>
      </w:r>
      <w:r>
        <w:tab/>
      </w:r>
      <w:r>
        <w:t>Transmit modulation quality for category M1</w:t>
      </w:r>
      <w:r>
        <w:tab/>
      </w:r>
      <w:r>
        <w:fldChar w:fldCharType="begin"/>
      </w:r>
      <w:r>
        <w:instrText xml:space="preserve"> PAGEREF _Toc29817 \h </w:instrText>
      </w:r>
      <w:r>
        <w:fldChar w:fldCharType="separate"/>
      </w:r>
      <w:r>
        <w:t>92</w:t>
      </w:r>
      <w:r>
        <w:fldChar w:fldCharType="end"/>
      </w:r>
    </w:p>
    <w:p>
      <w:pPr>
        <w:pStyle w:val="19"/>
        <w:tabs>
          <w:tab w:val="right" w:pos="2400"/>
          <w:tab w:val="right" w:leader="dot" w:pos="9641"/>
          <w:tab w:val="clear" w:pos="9639"/>
        </w:tabs>
      </w:pPr>
      <w:r>
        <w:t>6.4A.2.1</w:t>
      </w:r>
      <w:r>
        <w:tab/>
      </w:r>
      <w:r>
        <w:t>Error Vector Magnitude (EVM) for category M1</w:t>
      </w:r>
      <w:r>
        <w:tab/>
      </w:r>
      <w:r>
        <w:fldChar w:fldCharType="begin"/>
      </w:r>
      <w:r>
        <w:instrText xml:space="preserve"> PAGEREF _Toc16911 \h </w:instrText>
      </w:r>
      <w:r>
        <w:fldChar w:fldCharType="separate"/>
      </w:r>
      <w:r>
        <w:t>92</w:t>
      </w:r>
      <w:r>
        <w:fldChar w:fldCharType="end"/>
      </w:r>
    </w:p>
    <w:p>
      <w:pPr>
        <w:pStyle w:val="19"/>
        <w:tabs>
          <w:tab w:val="right" w:pos="2400"/>
          <w:tab w:val="right" w:leader="dot" w:pos="9641"/>
          <w:tab w:val="clear" w:pos="9639"/>
        </w:tabs>
      </w:pPr>
      <w:r>
        <w:t>6.4A.2.2</w:t>
      </w:r>
      <w:r>
        <w:tab/>
      </w:r>
      <w:r>
        <w:t>Carrier leakage for category M1</w:t>
      </w:r>
      <w:r>
        <w:tab/>
      </w:r>
      <w:r>
        <w:fldChar w:fldCharType="begin"/>
      </w:r>
      <w:r>
        <w:instrText xml:space="preserve"> PAGEREF _Toc32433 \h </w:instrText>
      </w:r>
      <w:r>
        <w:fldChar w:fldCharType="separate"/>
      </w:r>
      <w:r>
        <w:t>96</w:t>
      </w:r>
      <w:r>
        <w:fldChar w:fldCharType="end"/>
      </w:r>
    </w:p>
    <w:p>
      <w:pPr>
        <w:pStyle w:val="19"/>
        <w:tabs>
          <w:tab w:val="right" w:pos="2400"/>
          <w:tab w:val="right" w:leader="dot" w:pos="9641"/>
          <w:tab w:val="clear" w:pos="9639"/>
        </w:tabs>
      </w:pPr>
      <w:r>
        <w:t>6.4A.2.3</w:t>
      </w:r>
      <w:r>
        <w:tab/>
      </w:r>
      <w:r>
        <w:t>In-band emissions for non allocated RB for category M1</w:t>
      </w:r>
      <w:r>
        <w:tab/>
      </w:r>
      <w:r>
        <w:fldChar w:fldCharType="begin"/>
      </w:r>
      <w:r>
        <w:instrText xml:space="preserve"> PAGEREF _Toc12749 \h </w:instrText>
      </w:r>
      <w:r>
        <w:fldChar w:fldCharType="separate"/>
      </w:r>
      <w:r>
        <w:t>99</w:t>
      </w:r>
      <w:r>
        <w:fldChar w:fldCharType="end"/>
      </w:r>
    </w:p>
    <w:p>
      <w:pPr>
        <w:pStyle w:val="19"/>
        <w:tabs>
          <w:tab w:val="right" w:pos="2400"/>
          <w:tab w:val="right" w:leader="dot" w:pos="9641"/>
          <w:tab w:val="clear" w:pos="9639"/>
        </w:tabs>
      </w:pPr>
      <w:r>
        <w:t>6.4A.2.4</w:t>
      </w:r>
      <w:r>
        <w:tab/>
      </w:r>
      <w:r>
        <w:t>EVM equalizer spectrum flatness for category M1</w:t>
      </w:r>
      <w:r>
        <w:tab/>
      </w:r>
      <w:r>
        <w:fldChar w:fldCharType="begin"/>
      </w:r>
      <w:r>
        <w:instrText xml:space="preserve"> PAGEREF _Toc4579 \h </w:instrText>
      </w:r>
      <w:r>
        <w:fldChar w:fldCharType="separate"/>
      </w:r>
      <w:r>
        <w:t>104</w:t>
      </w:r>
      <w:r>
        <w:fldChar w:fldCharType="end"/>
      </w:r>
    </w:p>
    <w:p>
      <w:pPr>
        <w:pStyle w:val="21"/>
        <w:tabs>
          <w:tab w:val="right" w:pos="2000"/>
          <w:tab w:val="right" w:leader="dot" w:pos="9641"/>
          <w:tab w:val="clear" w:pos="9639"/>
        </w:tabs>
      </w:pPr>
      <w:r>
        <w:t>6.4B</w:t>
      </w:r>
      <w:r>
        <w:tab/>
      </w:r>
      <w:r>
        <w:t>Transmit signal quality for category NB1 and NB2</w:t>
      </w:r>
      <w:r>
        <w:tab/>
      </w:r>
      <w:r>
        <w:fldChar w:fldCharType="begin"/>
      </w:r>
      <w:r>
        <w:instrText xml:space="preserve"> PAGEREF _Toc10261 \h </w:instrText>
      </w:r>
      <w:r>
        <w:fldChar w:fldCharType="separate"/>
      </w:r>
      <w:r>
        <w:t>106</w:t>
      </w:r>
      <w:r>
        <w:fldChar w:fldCharType="end"/>
      </w:r>
    </w:p>
    <w:p>
      <w:pPr>
        <w:pStyle w:val="20"/>
        <w:tabs>
          <w:tab w:val="right" w:pos="2400"/>
          <w:tab w:val="right" w:leader="dot" w:pos="9641"/>
          <w:tab w:val="clear" w:pos="9639"/>
        </w:tabs>
      </w:pPr>
      <w:r>
        <w:t>6.4B.1</w:t>
      </w:r>
      <w:r>
        <w:tab/>
      </w:r>
      <w:r>
        <w:t>Frequency error for UE category NB1 and NB2</w:t>
      </w:r>
      <w:r>
        <w:tab/>
      </w:r>
      <w:r>
        <w:fldChar w:fldCharType="begin"/>
      </w:r>
      <w:r>
        <w:instrText xml:space="preserve"> PAGEREF _Toc6670 \h </w:instrText>
      </w:r>
      <w:r>
        <w:fldChar w:fldCharType="separate"/>
      </w:r>
      <w:r>
        <w:t>106</w:t>
      </w:r>
      <w:r>
        <w:fldChar w:fldCharType="end"/>
      </w:r>
    </w:p>
    <w:p>
      <w:pPr>
        <w:pStyle w:val="20"/>
        <w:tabs>
          <w:tab w:val="right" w:pos="2400"/>
          <w:tab w:val="right" w:leader="dot" w:pos="9641"/>
          <w:tab w:val="clear" w:pos="9639"/>
        </w:tabs>
      </w:pPr>
      <w:r>
        <w:t>6.4B.2</w:t>
      </w:r>
      <w:r>
        <w:tab/>
      </w:r>
      <w:r>
        <w:t>Transmit modulation quality for Category NB1 and NB2</w:t>
      </w:r>
      <w:r>
        <w:tab/>
      </w:r>
      <w:r>
        <w:fldChar w:fldCharType="begin"/>
      </w:r>
      <w:r>
        <w:instrText xml:space="preserve"> PAGEREF _Toc24226 \h </w:instrText>
      </w:r>
      <w:r>
        <w:fldChar w:fldCharType="separate"/>
      </w:r>
      <w:r>
        <w:t>111</w:t>
      </w:r>
      <w:r>
        <w:fldChar w:fldCharType="end"/>
      </w:r>
    </w:p>
    <w:p>
      <w:pPr>
        <w:pStyle w:val="19"/>
        <w:tabs>
          <w:tab w:val="right" w:pos="2400"/>
          <w:tab w:val="right" w:leader="dot" w:pos="9641"/>
          <w:tab w:val="clear" w:pos="9639"/>
        </w:tabs>
      </w:pPr>
      <w:r>
        <w:t>6.4B.2.1</w:t>
      </w:r>
      <w:r>
        <w:tab/>
      </w:r>
      <w:r>
        <w:t>Error Vector Magnitude (EVM) for Category NB1 and NB2</w:t>
      </w:r>
      <w:r>
        <w:tab/>
      </w:r>
      <w:r>
        <w:fldChar w:fldCharType="begin"/>
      </w:r>
      <w:r>
        <w:instrText xml:space="preserve"> PAGEREF _Toc22745 \h </w:instrText>
      </w:r>
      <w:r>
        <w:fldChar w:fldCharType="separate"/>
      </w:r>
      <w:r>
        <w:t>111</w:t>
      </w:r>
      <w:r>
        <w:fldChar w:fldCharType="end"/>
      </w:r>
    </w:p>
    <w:p>
      <w:pPr>
        <w:pStyle w:val="19"/>
        <w:tabs>
          <w:tab w:val="right" w:pos="2400"/>
          <w:tab w:val="right" w:leader="dot" w:pos="9641"/>
          <w:tab w:val="clear" w:pos="9639"/>
        </w:tabs>
      </w:pPr>
      <w:r>
        <w:t>6.4B.2.2</w:t>
      </w:r>
      <w:r>
        <w:tab/>
      </w:r>
      <w:r>
        <w:t>Carrier leakage for Category NB1 and NB2</w:t>
      </w:r>
      <w:r>
        <w:tab/>
      </w:r>
      <w:r>
        <w:fldChar w:fldCharType="begin"/>
      </w:r>
      <w:r>
        <w:instrText xml:space="preserve"> PAGEREF _Toc3086 \h </w:instrText>
      </w:r>
      <w:r>
        <w:fldChar w:fldCharType="separate"/>
      </w:r>
      <w:r>
        <w:t>115</w:t>
      </w:r>
      <w:r>
        <w:fldChar w:fldCharType="end"/>
      </w:r>
    </w:p>
    <w:p>
      <w:pPr>
        <w:pStyle w:val="19"/>
        <w:tabs>
          <w:tab w:val="right" w:pos="2400"/>
          <w:tab w:val="right" w:leader="dot" w:pos="9641"/>
          <w:tab w:val="clear" w:pos="9639"/>
        </w:tabs>
      </w:pPr>
      <w:r>
        <w:t>6.4B.2.3</w:t>
      </w:r>
      <w:r>
        <w:tab/>
      </w:r>
      <w:r>
        <w:t>In-band emissions for Category NB1 and NB2</w:t>
      </w:r>
      <w:r>
        <w:tab/>
      </w:r>
      <w:r>
        <w:fldChar w:fldCharType="begin"/>
      </w:r>
      <w:r>
        <w:instrText xml:space="preserve"> PAGEREF _Toc24534 \h </w:instrText>
      </w:r>
      <w:r>
        <w:fldChar w:fldCharType="separate"/>
      </w:r>
      <w:r>
        <w:t>118</w:t>
      </w:r>
      <w:r>
        <w:fldChar w:fldCharType="end"/>
      </w:r>
    </w:p>
    <w:p>
      <w:pPr>
        <w:pStyle w:val="21"/>
        <w:tabs>
          <w:tab w:val="right" w:pos="2000"/>
          <w:tab w:val="right" w:leader="dot" w:pos="9641"/>
          <w:tab w:val="clear" w:pos="9639"/>
        </w:tabs>
      </w:pPr>
      <w:r>
        <w:t>6.5</w:t>
      </w:r>
      <w:r>
        <w:tab/>
      </w:r>
      <w:r>
        <w:t>Output RF spectrum emissions</w:t>
      </w:r>
      <w:r>
        <w:tab/>
      </w:r>
      <w:r>
        <w:fldChar w:fldCharType="begin"/>
      </w:r>
      <w:r>
        <w:instrText xml:space="preserve"> PAGEREF _Toc25461 \h </w:instrText>
      </w:r>
      <w:r>
        <w:fldChar w:fldCharType="separate"/>
      </w:r>
      <w:r>
        <w:t>121</w:t>
      </w:r>
      <w:r>
        <w:fldChar w:fldCharType="end"/>
      </w:r>
    </w:p>
    <w:p>
      <w:pPr>
        <w:pStyle w:val="21"/>
        <w:tabs>
          <w:tab w:val="right" w:pos="2000"/>
          <w:tab w:val="right" w:leader="dot" w:pos="9641"/>
          <w:tab w:val="clear" w:pos="9639"/>
        </w:tabs>
      </w:pPr>
      <w:r>
        <w:t>6.5A</w:t>
      </w:r>
      <w:r>
        <w:tab/>
      </w:r>
      <w:r>
        <w:t>Output RF spectrum emissions for category M1</w:t>
      </w:r>
      <w:r>
        <w:tab/>
      </w:r>
      <w:r>
        <w:fldChar w:fldCharType="begin"/>
      </w:r>
      <w:r>
        <w:instrText xml:space="preserve"> PAGEREF _Toc17952 \h </w:instrText>
      </w:r>
      <w:r>
        <w:fldChar w:fldCharType="separate"/>
      </w:r>
      <w:r>
        <w:t>122</w:t>
      </w:r>
      <w:r>
        <w:fldChar w:fldCharType="end"/>
      </w:r>
    </w:p>
    <w:p>
      <w:pPr>
        <w:pStyle w:val="20"/>
        <w:tabs>
          <w:tab w:val="right" w:pos="2400"/>
          <w:tab w:val="right" w:leader="dot" w:pos="9641"/>
          <w:tab w:val="clear" w:pos="9639"/>
        </w:tabs>
      </w:pPr>
      <w:r>
        <w:t>6.5A.1</w:t>
      </w:r>
      <w:r>
        <w:tab/>
      </w:r>
      <w:r>
        <w:t>General</w:t>
      </w:r>
      <w:r>
        <w:tab/>
      </w:r>
      <w:r>
        <w:fldChar w:fldCharType="begin"/>
      </w:r>
      <w:r>
        <w:instrText xml:space="preserve"> PAGEREF _Toc22069 \h </w:instrText>
      </w:r>
      <w:r>
        <w:fldChar w:fldCharType="separate"/>
      </w:r>
      <w:r>
        <w:t>122</w:t>
      </w:r>
      <w:r>
        <w:fldChar w:fldCharType="end"/>
      </w:r>
    </w:p>
    <w:p>
      <w:pPr>
        <w:pStyle w:val="20"/>
        <w:tabs>
          <w:tab w:val="right" w:pos="2400"/>
          <w:tab w:val="right" w:leader="dot" w:pos="9641"/>
          <w:tab w:val="clear" w:pos="9639"/>
        </w:tabs>
      </w:pPr>
      <w:r>
        <w:t>6.5A.2</w:t>
      </w:r>
      <w:r>
        <w:tab/>
      </w:r>
      <w:r>
        <w:t>Occupied bandwidth for category M1</w:t>
      </w:r>
      <w:r>
        <w:tab/>
      </w:r>
      <w:r>
        <w:fldChar w:fldCharType="begin"/>
      </w:r>
      <w:r>
        <w:instrText xml:space="preserve"> PAGEREF _Toc15266 \h </w:instrText>
      </w:r>
      <w:r>
        <w:fldChar w:fldCharType="separate"/>
      </w:r>
      <w:r>
        <w:t>122</w:t>
      </w:r>
      <w:r>
        <w:fldChar w:fldCharType="end"/>
      </w:r>
    </w:p>
    <w:p>
      <w:pPr>
        <w:pStyle w:val="20"/>
        <w:tabs>
          <w:tab w:val="right" w:pos="2400"/>
          <w:tab w:val="right" w:leader="dot" w:pos="9641"/>
          <w:tab w:val="clear" w:pos="9639"/>
        </w:tabs>
      </w:pPr>
      <w:r>
        <w:t>6.5A.3</w:t>
      </w:r>
      <w:r>
        <w:tab/>
      </w:r>
      <w:r>
        <w:t>Out of band emission</w:t>
      </w:r>
      <w:r>
        <w:rPr>
          <w:rFonts w:hint="eastAsia"/>
        </w:rPr>
        <w:t xml:space="preserve"> for </w:t>
      </w:r>
      <w:r>
        <w:t>category M1</w:t>
      </w:r>
      <w:r>
        <w:tab/>
      </w:r>
      <w:r>
        <w:fldChar w:fldCharType="begin"/>
      </w:r>
      <w:r>
        <w:instrText xml:space="preserve"> PAGEREF _Toc20616 \h </w:instrText>
      </w:r>
      <w:r>
        <w:fldChar w:fldCharType="separate"/>
      </w:r>
      <w:r>
        <w:t>124</w:t>
      </w:r>
      <w:r>
        <w:fldChar w:fldCharType="end"/>
      </w:r>
    </w:p>
    <w:p>
      <w:pPr>
        <w:pStyle w:val="19"/>
        <w:tabs>
          <w:tab w:val="right" w:pos="2400"/>
          <w:tab w:val="right" w:leader="dot" w:pos="9641"/>
          <w:tab w:val="clear" w:pos="9639"/>
        </w:tabs>
      </w:pPr>
      <w:r>
        <w:t>6.5A.3.1</w:t>
      </w:r>
      <w:r>
        <w:tab/>
      </w:r>
      <w:r>
        <w:t>General</w:t>
      </w:r>
      <w:r>
        <w:tab/>
      </w:r>
      <w:r>
        <w:fldChar w:fldCharType="begin"/>
      </w:r>
      <w:r>
        <w:instrText xml:space="preserve"> PAGEREF _Toc28608 \h </w:instrText>
      </w:r>
      <w:r>
        <w:fldChar w:fldCharType="separate"/>
      </w:r>
      <w:r>
        <w:t>124</w:t>
      </w:r>
      <w:r>
        <w:fldChar w:fldCharType="end"/>
      </w:r>
    </w:p>
    <w:p>
      <w:pPr>
        <w:pStyle w:val="19"/>
        <w:tabs>
          <w:tab w:val="right" w:pos="2400"/>
          <w:tab w:val="right" w:leader="dot" w:pos="9641"/>
          <w:tab w:val="clear" w:pos="9639"/>
        </w:tabs>
      </w:pPr>
      <w:r>
        <w:t>6.5A.3.2</w:t>
      </w:r>
      <w:r>
        <w:tab/>
      </w:r>
      <w:r>
        <w:t>Spectrum emission mask</w:t>
      </w:r>
      <w:r>
        <w:rPr>
          <w:rFonts w:hint="eastAsia"/>
        </w:rPr>
        <w:t xml:space="preserve"> for category M1</w:t>
      </w:r>
      <w:r>
        <w:tab/>
      </w:r>
      <w:r>
        <w:fldChar w:fldCharType="begin"/>
      </w:r>
      <w:r>
        <w:instrText xml:space="preserve"> PAGEREF _Toc12299 \h </w:instrText>
      </w:r>
      <w:r>
        <w:fldChar w:fldCharType="separate"/>
      </w:r>
      <w:r>
        <w:t>124</w:t>
      </w:r>
      <w:r>
        <w:fldChar w:fldCharType="end"/>
      </w:r>
    </w:p>
    <w:p>
      <w:pPr>
        <w:pStyle w:val="19"/>
        <w:tabs>
          <w:tab w:val="right" w:pos="2400"/>
          <w:tab w:val="right" w:leader="dot" w:pos="9641"/>
          <w:tab w:val="clear" w:pos="9639"/>
        </w:tabs>
      </w:pPr>
      <w:r>
        <w:t>6.5A.3.3</w:t>
      </w:r>
      <w:r>
        <w:tab/>
      </w:r>
      <w:r>
        <w:rPr>
          <w:snapToGrid w:val="0"/>
        </w:rPr>
        <w:t>Additional Spectrum Emission Mask for category M1</w:t>
      </w:r>
      <w:r>
        <w:tab/>
      </w:r>
      <w:r>
        <w:fldChar w:fldCharType="begin"/>
      </w:r>
      <w:r>
        <w:instrText xml:space="preserve"> PAGEREF _Toc11845 \h </w:instrText>
      </w:r>
      <w:r>
        <w:fldChar w:fldCharType="separate"/>
      </w:r>
      <w:r>
        <w:t>126</w:t>
      </w:r>
      <w:r>
        <w:fldChar w:fldCharType="end"/>
      </w:r>
    </w:p>
    <w:p>
      <w:pPr>
        <w:pStyle w:val="19"/>
        <w:tabs>
          <w:tab w:val="right" w:pos="2400"/>
          <w:tab w:val="right" w:leader="dot" w:pos="9641"/>
          <w:tab w:val="clear" w:pos="9639"/>
        </w:tabs>
      </w:pPr>
      <w:r>
        <w:t>6.5A.3.4</w:t>
      </w:r>
      <w:r>
        <w:tab/>
      </w:r>
      <w:r>
        <w:rPr>
          <w:snapToGrid w:val="0"/>
        </w:rPr>
        <w:t>Adjacent Channel Leakage Ratio for category M1</w:t>
      </w:r>
      <w:r>
        <w:tab/>
      </w:r>
      <w:r>
        <w:fldChar w:fldCharType="begin"/>
      </w:r>
      <w:r>
        <w:instrText xml:space="preserve"> PAGEREF _Toc27508 \h </w:instrText>
      </w:r>
      <w:r>
        <w:fldChar w:fldCharType="separate"/>
      </w:r>
      <w:r>
        <w:t>126</w:t>
      </w:r>
      <w:r>
        <w:fldChar w:fldCharType="end"/>
      </w:r>
    </w:p>
    <w:p>
      <w:pPr>
        <w:pStyle w:val="20"/>
        <w:tabs>
          <w:tab w:val="right" w:pos="2400"/>
          <w:tab w:val="right" w:leader="dot" w:pos="9641"/>
          <w:tab w:val="clear" w:pos="9639"/>
        </w:tabs>
      </w:pPr>
      <w:r>
        <w:t>6.5A.4</w:t>
      </w:r>
      <w:r>
        <w:tab/>
      </w:r>
      <w:r>
        <w:rPr>
          <w:rFonts w:hint="eastAsia"/>
        </w:rPr>
        <w:t>S</w:t>
      </w:r>
      <w:r>
        <w:t>purious emission</w:t>
      </w:r>
      <w:r>
        <w:rPr>
          <w:rFonts w:hint="eastAsia"/>
        </w:rPr>
        <w:t xml:space="preserve"> for </w:t>
      </w:r>
      <w:r>
        <w:t>category M1</w:t>
      </w:r>
      <w:r>
        <w:tab/>
      </w:r>
      <w:r>
        <w:fldChar w:fldCharType="begin"/>
      </w:r>
      <w:r>
        <w:instrText xml:space="preserve"> PAGEREF _Toc27840 \h </w:instrText>
      </w:r>
      <w:r>
        <w:fldChar w:fldCharType="separate"/>
      </w:r>
      <w:r>
        <w:t>130</w:t>
      </w:r>
      <w:r>
        <w:fldChar w:fldCharType="end"/>
      </w:r>
    </w:p>
    <w:p>
      <w:pPr>
        <w:pStyle w:val="19"/>
        <w:tabs>
          <w:tab w:val="right" w:pos="2400"/>
          <w:tab w:val="right" w:leader="dot" w:pos="9641"/>
          <w:tab w:val="clear" w:pos="9639"/>
        </w:tabs>
      </w:pPr>
      <w:r>
        <w:t>6.5A.4.1</w:t>
      </w:r>
      <w:r>
        <w:tab/>
      </w:r>
      <w:r>
        <w:t>General</w:t>
      </w:r>
      <w:r>
        <w:tab/>
      </w:r>
      <w:r>
        <w:fldChar w:fldCharType="begin"/>
      </w:r>
      <w:r>
        <w:instrText xml:space="preserve"> PAGEREF _Toc23812 \h </w:instrText>
      </w:r>
      <w:r>
        <w:fldChar w:fldCharType="separate"/>
      </w:r>
      <w:r>
        <w:t>130</w:t>
      </w:r>
      <w:r>
        <w:fldChar w:fldCharType="end"/>
      </w:r>
    </w:p>
    <w:p>
      <w:pPr>
        <w:pStyle w:val="19"/>
        <w:tabs>
          <w:tab w:val="right" w:pos="2400"/>
          <w:tab w:val="right" w:leader="dot" w:pos="9641"/>
          <w:tab w:val="clear" w:pos="9639"/>
        </w:tabs>
      </w:pPr>
      <w:r>
        <w:t>6.5A.4.2</w:t>
      </w:r>
      <w:r>
        <w:tab/>
      </w:r>
      <w:r>
        <w:t>Transmitter Spurious emissions</w:t>
      </w:r>
      <w:r>
        <w:rPr>
          <w:rFonts w:hint="eastAsia"/>
        </w:rPr>
        <w:t xml:space="preserve"> for category M1</w:t>
      </w:r>
      <w:r>
        <w:tab/>
      </w:r>
      <w:r>
        <w:fldChar w:fldCharType="begin"/>
      </w:r>
      <w:r>
        <w:instrText xml:space="preserve"> PAGEREF _Toc5039 \h </w:instrText>
      </w:r>
      <w:r>
        <w:fldChar w:fldCharType="separate"/>
      </w:r>
      <w:r>
        <w:t>130</w:t>
      </w:r>
      <w:r>
        <w:fldChar w:fldCharType="end"/>
      </w:r>
    </w:p>
    <w:p>
      <w:pPr>
        <w:pStyle w:val="19"/>
        <w:tabs>
          <w:tab w:val="right" w:pos="2400"/>
          <w:tab w:val="right" w:leader="dot" w:pos="9641"/>
          <w:tab w:val="clear" w:pos="9639"/>
        </w:tabs>
      </w:pPr>
      <w:r>
        <w:t>6.5A.4.3</w:t>
      </w:r>
      <w:r>
        <w:tab/>
      </w:r>
      <w:r>
        <w:t>Spurious emission band UE co-existence</w:t>
      </w:r>
      <w:r>
        <w:rPr>
          <w:rFonts w:hint="eastAsia"/>
        </w:rPr>
        <w:t xml:space="preserve"> for category M1</w:t>
      </w:r>
      <w:r>
        <w:tab/>
      </w:r>
      <w:r>
        <w:fldChar w:fldCharType="begin"/>
      </w:r>
      <w:r>
        <w:instrText xml:space="preserve"> PAGEREF _Toc28023 \h </w:instrText>
      </w:r>
      <w:r>
        <w:fldChar w:fldCharType="separate"/>
      </w:r>
      <w:r>
        <w:t>132</w:t>
      </w:r>
      <w:r>
        <w:fldChar w:fldCharType="end"/>
      </w:r>
    </w:p>
    <w:p>
      <w:pPr>
        <w:pStyle w:val="19"/>
        <w:tabs>
          <w:tab w:val="right" w:pos="2400"/>
          <w:tab w:val="right" w:leader="dot" w:pos="9641"/>
          <w:tab w:val="clear" w:pos="9639"/>
        </w:tabs>
      </w:pPr>
      <w:r>
        <w:t>6.5A.4.4</w:t>
      </w:r>
      <w:r>
        <w:tab/>
      </w:r>
      <w:r>
        <w:t>Additional spurious emissions</w:t>
      </w:r>
      <w:r>
        <w:rPr>
          <w:rFonts w:hint="eastAsia"/>
        </w:rPr>
        <w:t xml:space="preserve"> for category M1</w:t>
      </w:r>
      <w:r>
        <w:tab/>
      </w:r>
      <w:r>
        <w:fldChar w:fldCharType="begin"/>
      </w:r>
      <w:r>
        <w:instrText xml:space="preserve"> PAGEREF _Toc27185 \h </w:instrText>
      </w:r>
      <w:r>
        <w:fldChar w:fldCharType="separate"/>
      </w:r>
      <w:r>
        <w:t>134</w:t>
      </w:r>
      <w:r>
        <w:fldChar w:fldCharType="end"/>
      </w:r>
    </w:p>
    <w:p>
      <w:pPr>
        <w:pStyle w:val="21"/>
        <w:tabs>
          <w:tab w:val="right" w:pos="2000"/>
          <w:tab w:val="right" w:leader="dot" w:pos="9641"/>
          <w:tab w:val="clear" w:pos="9639"/>
        </w:tabs>
      </w:pPr>
      <w:r>
        <w:t>6.5B</w:t>
      </w:r>
      <w:r>
        <w:tab/>
      </w:r>
      <w:r>
        <w:t>Output RF spectrum emissions for category NB1 and NB2</w:t>
      </w:r>
      <w:r>
        <w:tab/>
      </w:r>
      <w:r>
        <w:fldChar w:fldCharType="begin"/>
      </w:r>
      <w:r>
        <w:instrText xml:space="preserve"> PAGEREF _Toc2944 \h </w:instrText>
      </w:r>
      <w:r>
        <w:fldChar w:fldCharType="separate"/>
      </w:r>
      <w:r>
        <w:t>138</w:t>
      </w:r>
      <w:r>
        <w:fldChar w:fldCharType="end"/>
      </w:r>
    </w:p>
    <w:p>
      <w:pPr>
        <w:pStyle w:val="20"/>
        <w:tabs>
          <w:tab w:val="right" w:pos="2400"/>
          <w:tab w:val="right" w:leader="dot" w:pos="9641"/>
          <w:tab w:val="clear" w:pos="9639"/>
        </w:tabs>
      </w:pPr>
      <w:r>
        <w:t>6.5B.1</w:t>
      </w:r>
      <w:r>
        <w:tab/>
      </w:r>
      <w:r>
        <w:t>General</w:t>
      </w:r>
      <w:r>
        <w:tab/>
      </w:r>
      <w:r>
        <w:fldChar w:fldCharType="begin"/>
      </w:r>
      <w:r>
        <w:instrText xml:space="preserve"> PAGEREF _Toc18 \h </w:instrText>
      </w:r>
      <w:r>
        <w:fldChar w:fldCharType="separate"/>
      </w:r>
      <w:r>
        <w:t>138</w:t>
      </w:r>
      <w:r>
        <w:fldChar w:fldCharType="end"/>
      </w:r>
    </w:p>
    <w:p>
      <w:pPr>
        <w:pStyle w:val="20"/>
        <w:tabs>
          <w:tab w:val="right" w:pos="2400"/>
          <w:tab w:val="right" w:leader="dot" w:pos="9641"/>
          <w:tab w:val="clear" w:pos="9639"/>
        </w:tabs>
      </w:pPr>
      <w:r>
        <w:t>6.5B.</w:t>
      </w:r>
      <w:r>
        <w:rPr>
          <w:rFonts w:hint="eastAsia"/>
          <w:lang w:eastAsia="zh-TW"/>
        </w:rPr>
        <w:t>2</w:t>
      </w:r>
      <w:r>
        <w:tab/>
      </w:r>
      <w:r>
        <w:t>Occupied bandwidth for category NB1 and NB2</w:t>
      </w:r>
      <w:r>
        <w:tab/>
      </w:r>
      <w:r>
        <w:fldChar w:fldCharType="begin"/>
      </w:r>
      <w:r>
        <w:instrText xml:space="preserve"> PAGEREF _Toc31759 \h </w:instrText>
      </w:r>
      <w:r>
        <w:fldChar w:fldCharType="separate"/>
      </w:r>
      <w:r>
        <w:t>138</w:t>
      </w:r>
      <w:r>
        <w:fldChar w:fldCharType="end"/>
      </w:r>
    </w:p>
    <w:p>
      <w:pPr>
        <w:pStyle w:val="20"/>
        <w:tabs>
          <w:tab w:val="right" w:pos="2400"/>
          <w:tab w:val="right" w:leader="dot" w:pos="9641"/>
          <w:tab w:val="clear" w:pos="9639"/>
        </w:tabs>
      </w:pPr>
      <w:r>
        <w:t>6.5B.3</w:t>
      </w:r>
      <w:r>
        <w:tab/>
      </w:r>
      <w:r>
        <w:t>Out of band emission</w:t>
      </w:r>
      <w:r>
        <w:rPr>
          <w:rFonts w:hint="eastAsia"/>
        </w:rPr>
        <w:t xml:space="preserve"> for </w:t>
      </w:r>
      <w:r>
        <w:t>category NB1 and NB2</w:t>
      </w:r>
      <w:r>
        <w:tab/>
      </w:r>
      <w:r>
        <w:fldChar w:fldCharType="begin"/>
      </w:r>
      <w:r>
        <w:instrText xml:space="preserve"> PAGEREF _Toc4462 \h </w:instrText>
      </w:r>
      <w:r>
        <w:fldChar w:fldCharType="separate"/>
      </w:r>
      <w:r>
        <w:t>139</w:t>
      </w:r>
      <w:r>
        <w:fldChar w:fldCharType="end"/>
      </w:r>
    </w:p>
    <w:p>
      <w:pPr>
        <w:pStyle w:val="19"/>
        <w:tabs>
          <w:tab w:val="right" w:pos="2400"/>
          <w:tab w:val="right" w:leader="dot" w:pos="9641"/>
          <w:tab w:val="clear" w:pos="9639"/>
        </w:tabs>
      </w:pPr>
      <w:r>
        <w:t>6.5B.3.1</w:t>
      </w:r>
      <w:r>
        <w:tab/>
      </w:r>
      <w:r>
        <w:t>General</w:t>
      </w:r>
      <w:r>
        <w:tab/>
      </w:r>
      <w:r>
        <w:fldChar w:fldCharType="begin"/>
      </w:r>
      <w:r>
        <w:instrText xml:space="preserve"> PAGEREF _Toc12796 \h </w:instrText>
      </w:r>
      <w:r>
        <w:fldChar w:fldCharType="separate"/>
      </w:r>
      <w:r>
        <w:t>139</w:t>
      </w:r>
      <w:r>
        <w:fldChar w:fldCharType="end"/>
      </w:r>
    </w:p>
    <w:p>
      <w:pPr>
        <w:pStyle w:val="19"/>
        <w:tabs>
          <w:tab w:val="right" w:pos="2400"/>
          <w:tab w:val="right" w:leader="dot" w:pos="9641"/>
          <w:tab w:val="clear" w:pos="9639"/>
        </w:tabs>
      </w:pPr>
      <w:r>
        <w:t>6.5B.3.2</w:t>
      </w:r>
      <w:r>
        <w:tab/>
      </w:r>
      <w:r>
        <w:t>Spectrum emission mask</w:t>
      </w:r>
      <w:r>
        <w:rPr>
          <w:rFonts w:hint="eastAsia"/>
        </w:rPr>
        <w:t xml:space="preserve"> for category NB1 and NB2</w:t>
      </w:r>
      <w:r>
        <w:tab/>
      </w:r>
      <w:r>
        <w:fldChar w:fldCharType="begin"/>
      </w:r>
      <w:r>
        <w:instrText xml:space="preserve"> PAGEREF _Toc30787 \h </w:instrText>
      </w:r>
      <w:r>
        <w:fldChar w:fldCharType="separate"/>
      </w:r>
      <w:r>
        <w:t>140</w:t>
      </w:r>
      <w:r>
        <w:fldChar w:fldCharType="end"/>
      </w:r>
    </w:p>
    <w:p>
      <w:pPr>
        <w:pStyle w:val="19"/>
        <w:tabs>
          <w:tab w:val="right" w:pos="2400"/>
          <w:tab w:val="right" w:leader="dot" w:pos="9641"/>
          <w:tab w:val="clear" w:pos="9639"/>
        </w:tabs>
      </w:pPr>
      <w:r>
        <w:t>6.5B.3.3</w:t>
      </w:r>
      <w:r>
        <w:tab/>
      </w:r>
      <w:r>
        <w:rPr>
          <w:snapToGrid w:val="0"/>
        </w:rPr>
        <w:t>Additional Spectrum Emission Mask for category NB1 and NB2</w:t>
      </w:r>
      <w:r>
        <w:tab/>
      </w:r>
      <w:r>
        <w:fldChar w:fldCharType="begin"/>
      </w:r>
      <w:r>
        <w:instrText xml:space="preserve"> PAGEREF _Toc4040 \h </w:instrText>
      </w:r>
      <w:r>
        <w:fldChar w:fldCharType="separate"/>
      </w:r>
      <w:r>
        <w:t>142</w:t>
      </w:r>
      <w:r>
        <w:fldChar w:fldCharType="end"/>
      </w:r>
    </w:p>
    <w:p>
      <w:pPr>
        <w:pStyle w:val="19"/>
        <w:tabs>
          <w:tab w:val="right" w:pos="2400"/>
          <w:tab w:val="right" w:leader="dot" w:pos="9641"/>
          <w:tab w:val="clear" w:pos="9639"/>
        </w:tabs>
      </w:pPr>
      <w:r>
        <w:t>6.5B.3.4</w:t>
      </w:r>
      <w:r>
        <w:tab/>
      </w:r>
      <w:r>
        <w:rPr>
          <w:snapToGrid w:val="0"/>
        </w:rPr>
        <w:t>Adjacent Channel Leakage Ratio for category NB1 and NB2</w:t>
      </w:r>
      <w:r>
        <w:tab/>
      </w:r>
      <w:r>
        <w:fldChar w:fldCharType="begin"/>
      </w:r>
      <w:r>
        <w:instrText xml:space="preserve"> PAGEREF _Toc9121 \h </w:instrText>
      </w:r>
      <w:r>
        <w:fldChar w:fldCharType="separate"/>
      </w:r>
      <w:r>
        <w:t>142</w:t>
      </w:r>
      <w:r>
        <w:fldChar w:fldCharType="end"/>
      </w:r>
    </w:p>
    <w:p>
      <w:pPr>
        <w:pStyle w:val="20"/>
        <w:tabs>
          <w:tab w:val="right" w:pos="2400"/>
          <w:tab w:val="right" w:leader="dot" w:pos="9641"/>
          <w:tab w:val="clear" w:pos="9639"/>
        </w:tabs>
      </w:pPr>
      <w:r>
        <w:t>6.5B.4</w:t>
      </w:r>
      <w:r>
        <w:tab/>
      </w:r>
      <w:r>
        <w:rPr>
          <w:rFonts w:hint="eastAsia"/>
        </w:rPr>
        <w:t>S</w:t>
      </w:r>
      <w:r>
        <w:t>purious emission</w:t>
      </w:r>
      <w:r>
        <w:rPr>
          <w:rFonts w:hint="eastAsia"/>
        </w:rPr>
        <w:t xml:space="preserve"> for </w:t>
      </w:r>
      <w:r>
        <w:t>category NB1 and NB2</w:t>
      </w:r>
      <w:r>
        <w:tab/>
      </w:r>
      <w:r>
        <w:fldChar w:fldCharType="begin"/>
      </w:r>
      <w:r>
        <w:instrText xml:space="preserve"> PAGEREF _Toc19594 \h </w:instrText>
      </w:r>
      <w:r>
        <w:fldChar w:fldCharType="separate"/>
      </w:r>
      <w:r>
        <w:t>145</w:t>
      </w:r>
      <w:r>
        <w:fldChar w:fldCharType="end"/>
      </w:r>
    </w:p>
    <w:p>
      <w:pPr>
        <w:pStyle w:val="19"/>
        <w:tabs>
          <w:tab w:val="right" w:pos="2400"/>
          <w:tab w:val="right" w:leader="dot" w:pos="9641"/>
          <w:tab w:val="clear" w:pos="9639"/>
        </w:tabs>
      </w:pPr>
      <w:r>
        <w:t>6.5B.4.1</w:t>
      </w:r>
      <w:r>
        <w:tab/>
      </w:r>
      <w:r>
        <w:t>General</w:t>
      </w:r>
      <w:r>
        <w:tab/>
      </w:r>
      <w:r>
        <w:fldChar w:fldCharType="begin"/>
      </w:r>
      <w:r>
        <w:instrText xml:space="preserve"> PAGEREF _Toc2402 \h </w:instrText>
      </w:r>
      <w:r>
        <w:fldChar w:fldCharType="separate"/>
      </w:r>
      <w:r>
        <w:t>145</w:t>
      </w:r>
      <w:r>
        <w:fldChar w:fldCharType="end"/>
      </w:r>
    </w:p>
    <w:p>
      <w:pPr>
        <w:pStyle w:val="19"/>
        <w:tabs>
          <w:tab w:val="right" w:pos="2400"/>
          <w:tab w:val="right" w:leader="dot" w:pos="9641"/>
          <w:tab w:val="clear" w:pos="9639"/>
        </w:tabs>
      </w:pPr>
      <w:r>
        <w:t>6.5B.</w:t>
      </w:r>
      <w:r>
        <w:rPr>
          <w:rFonts w:eastAsia="宋体"/>
          <w:lang w:val="en-US" w:eastAsia="zh-CN"/>
        </w:rPr>
        <w:t>4</w:t>
      </w:r>
      <w:r>
        <w:t>.</w:t>
      </w:r>
      <w:r>
        <w:rPr>
          <w:rFonts w:eastAsia="宋体"/>
          <w:lang w:val="en-US" w:eastAsia="zh-CN"/>
        </w:rPr>
        <w:t>2</w:t>
      </w:r>
      <w:r>
        <w:tab/>
      </w:r>
      <w:r>
        <w:t>Transmitter Spurious emissions</w:t>
      </w:r>
      <w:r>
        <w:rPr>
          <w:rFonts w:hint="eastAsia"/>
        </w:rPr>
        <w:t xml:space="preserve"> for category NB1 and NB2</w:t>
      </w:r>
      <w:r>
        <w:tab/>
      </w:r>
      <w:r>
        <w:fldChar w:fldCharType="begin"/>
      </w:r>
      <w:r>
        <w:instrText xml:space="preserve"> PAGEREF _Toc15698 \h </w:instrText>
      </w:r>
      <w:r>
        <w:fldChar w:fldCharType="separate"/>
      </w:r>
      <w:r>
        <w:t>146</w:t>
      </w:r>
      <w:r>
        <w:fldChar w:fldCharType="end"/>
      </w:r>
    </w:p>
    <w:p>
      <w:pPr>
        <w:pStyle w:val="19"/>
        <w:tabs>
          <w:tab w:val="right" w:pos="2400"/>
          <w:tab w:val="right" w:leader="dot" w:pos="9641"/>
          <w:tab w:val="clear" w:pos="9639"/>
        </w:tabs>
      </w:pPr>
      <w:r>
        <w:t>6.5B.</w:t>
      </w:r>
      <w:r>
        <w:rPr>
          <w:rFonts w:eastAsia="宋体"/>
          <w:lang w:val="en-US" w:eastAsia="zh-CN"/>
        </w:rPr>
        <w:t>4</w:t>
      </w:r>
      <w:r>
        <w:t>.</w:t>
      </w:r>
      <w:r>
        <w:rPr>
          <w:rFonts w:eastAsia="宋体"/>
          <w:lang w:val="en-US" w:eastAsia="zh-CN"/>
        </w:rPr>
        <w:t>3</w:t>
      </w:r>
      <w:r>
        <w:tab/>
      </w:r>
      <w:r>
        <w:t>Spurious emission band UE co-existence</w:t>
      </w:r>
      <w:r>
        <w:rPr>
          <w:rFonts w:hint="eastAsia"/>
        </w:rPr>
        <w:t xml:space="preserve"> for category NB1 and NB2</w:t>
      </w:r>
      <w:r>
        <w:tab/>
      </w:r>
      <w:r>
        <w:fldChar w:fldCharType="begin"/>
      </w:r>
      <w:r>
        <w:instrText xml:space="preserve"> PAGEREF _Toc3710 \h </w:instrText>
      </w:r>
      <w:r>
        <w:fldChar w:fldCharType="separate"/>
      </w:r>
      <w:r>
        <w:t>148</w:t>
      </w:r>
      <w:r>
        <w:fldChar w:fldCharType="end"/>
      </w:r>
    </w:p>
    <w:p>
      <w:pPr>
        <w:pStyle w:val="19"/>
        <w:tabs>
          <w:tab w:val="right" w:pos="2400"/>
          <w:tab w:val="right" w:leader="dot" w:pos="9641"/>
          <w:tab w:val="clear" w:pos="9639"/>
        </w:tabs>
      </w:pPr>
      <w:r>
        <w:t>6.5B.</w:t>
      </w:r>
      <w:r>
        <w:rPr>
          <w:rFonts w:eastAsia="宋体"/>
          <w:lang w:val="en-US" w:eastAsia="zh-CN"/>
        </w:rPr>
        <w:t>4</w:t>
      </w:r>
      <w:r>
        <w:t>.</w:t>
      </w:r>
      <w:r>
        <w:rPr>
          <w:rFonts w:eastAsia="宋体"/>
          <w:lang w:val="en-US" w:eastAsia="zh-CN"/>
        </w:rPr>
        <w:t>4</w:t>
      </w:r>
      <w:r>
        <w:tab/>
      </w:r>
      <w:r>
        <w:t>Additional spurious emissions</w:t>
      </w:r>
      <w:r>
        <w:rPr>
          <w:rFonts w:hint="eastAsia"/>
        </w:rPr>
        <w:t xml:space="preserve"> for category NB1 and NB2</w:t>
      </w:r>
      <w:r>
        <w:tab/>
      </w:r>
      <w:r>
        <w:fldChar w:fldCharType="begin"/>
      </w:r>
      <w:r>
        <w:instrText xml:space="preserve"> PAGEREF _Toc957 \h </w:instrText>
      </w:r>
      <w:r>
        <w:fldChar w:fldCharType="separate"/>
      </w:r>
      <w:r>
        <w:t>150</w:t>
      </w:r>
      <w:r>
        <w:fldChar w:fldCharType="end"/>
      </w:r>
    </w:p>
    <w:p>
      <w:pPr>
        <w:pStyle w:val="21"/>
        <w:tabs>
          <w:tab w:val="right" w:pos="2000"/>
          <w:tab w:val="right" w:leader="dot" w:pos="9641"/>
          <w:tab w:val="clear" w:pos="9639"/>
        </w:tabs>
      </w:pPr>
      <w:r>
        <w:t>6.6</w:t>
      </w:r>
      <w:r>
        <w:tab/>
      </w:r>
      <w:r>
        <w:t>Transmit intermodulation</w:t>
      </w:r>
      <w:r>
        <w:tab/>
      </w:r>
      <w:r>
        <w:fldChar w:fldCharType="begin"/>
      </w:r>
      <w:r>
        <w:instrText xml:space="preserve"> PAGEREF _Toc5334 \h </w:instrText>
      </w:r>
      <w:r>
        <w:fldChar w:fldCharType="separate"/>
      </w:r>
      <w:r>
        <w:t>155</w:t>
      </w:r>
      <w:r>
        <w:fldChar w:fldCharType="end"/>
      </w:r>
    </w:p>
    <w:p>
      <w:pPr>
        <w:pStyle w:val="21"/>
        <w:tabs>
          <w:tab w:val="right" w:pos="2000"/>
          <w:tab w:val="right" w:leader="dot" w:pos="9641"/>
          <w:tab w:val="clear" w:pos="9639"/>
        </w:tabs>
      </w:pPr>
      <w:r>
        <w:t>6.6A</w:t>
      </w:r>
      <w:r>
        <w:tab/>
      </w:r>
      <w:r>
        <w:t xml:space="preserve">Transmit intermodulation </w:t>
      </w:r>
      <w:r>
        <w:rPr>
          <w:rFonts w:hint="eastAsia"/>
        </w:rPr>
        <w:t xml:space="preserve">for category </w:t>
      </w:r>
      <w:r>
        <w:t>M1</w:t>
      </w:r>
      <w:r>
        <w:tab/>
      </w:r>
      <w:r>
        <w:fldChar w:fldCharType="begin"/>
      </w:r>
      <w:r>
        <w:instrText xml:space="preserve"> PAGEREF _Toc32379 \h </w:instrText>
      </w:r>
      <w:r>
        <w:fldChar w:fldCharType="separate"/>
      </w:r>
      <w:r>
        <w:t>155</w:t>
      </w:r>
      <w:r>
        <w:fldChar w:fldCharType="end"/>
      </w:r>
    </w:p>
    <w:p>
      <w:pPr>
        <w:pStyle w:val="21"/>
        <w:tabs>
          <w:tab w:val="right" w:pos="2000"/>
          <w:tab w:val="right" w:leader="dot" w:pos="9641"/>
          <w:tab w:val="clear" w:pos="9639"/>
        </w:tabs>
      </w:pPr>
      <w:r>
        <w:t>6.6B</w:t>
      </w:r>
      <w:r>
        <w:tab/>
      </w:r>
      <w:r>
        <w:t xml:space="preserve">Transmit intermodulation </w:t>
      </w:r>
      <w:r>
        <w:rPr>
          <w:rFonts w:hint="eastAsia"/>
        </w:rPr>
        <w:t>for category NB1 and NB2</w:t>
      </w:r>
      <w:r>
        <w:tab/>
      </w:r>
      <w:r>
        <w:fldChar w:fldCharType="begin"/>
      </w:r>
      <w:r>
        <w:instrText xml:space="preserve"> PAGEREF _Toc23659 \h </w:instrText>
      </w:r>
      <w:r>
        <w:fldChar w:fldCharType="separate"/>
      </w:r>
      <w:r>
        <w:t>155</w:t>
      </w:r>
      <w:r>
        <w:fldChar w:fldCharType="end"/>
      </w:r>
    </w:p>
    <w:p>
      <w:pPr>
        <w:pStyle w:val="22"/>
        <w:tabs>
          <w:tab w:val="right" w:pos="2000"/>
          <w:tab w:val="right" w:leader="dot" w:pos="9641"/>
          <w:tab w:val="clear" w:pos="9639"/>
        </w:tabs>
      </w:pPr>
      <w:r>
        <w:t>7</w:t>
      </w:r>
      <w:r>
        <w:tab/>
      </w:r>
      <w:r>
        <w:t>Receiver characteristics</w:t>
      </w:r>
      <w:r>
        <w:tab/>
      </w:r>
      <w:r>
        <w:fldChar w:fldCharType="begin"/>
      </w:r>
      <w:r>
        <w:instrText xml:space="preserve"> PAGEREF _Toc23794 \h </w:instrText>
      </w:r>
      <w:r>
        <w:fldChar w:fldCharType="separate"/>
      </w:r>
      <w:r>
        <w:t>157</w:t>
      </w:r>
      <w:r>
        <w:fldChar w:fldCharType="end"/>
      </w:r>
    </w:p>
    <w:p>
      <w:pPr>
        <w:pStyle w:val="21"/>
        <w:tabs>
          <w:tab w:val="right" w:pos="2000"/>
          <w:tab w:val="right" w:leader="dot" w:pos="9641"/>
          <w:tab w:val="clear" w:pos="9639"/>
        </w:tabs>
      </w:pPr>
      <w:r>
        <w:t>7.1</w:t>
      </w:r>
      <w:r>
        <w:tab/>
      </w:r>
      <w:r>
        <w:t>General</w:t>
      </w:r>
      <w:r>
        <w:tab/>
      </w:r>
      <w:r>
        <w:fldChar w:fldCharType="begin"/>
      </w:r>
      <w:r>
        <w:instrText xml:space="preserve"> PAGEREF _Toc2954 \h </w:instrText>
      </w:r>
      <w:r>
        <w:fldChar w:fldCharType="separate"/>
      </w:r>
      <w:r>
        <w:t>157</w:t>
      </w:r>
      <w:r>
        <w:fldChar w:fldCharType="end"/>
      </w:r>
    </w:p>
    <w:p>
      <w:pPr>
        <w:pStyle w:val="21"/>
        <w:tabs>
          <w:tab w:val="right" w:pos="2000"/>
          <w:tab w:val="right" w:leader="dot" w:pos="9641"/>
          <w:tab w:val="clear" w:pos="9639"/>
        </w:tabs>
      </w:pPr>
      <w:r>
        <w:t>7.2</w:t>
      </w:r>
      <w:r>
        <w:tab/>
      </w:r>
      <w:r>
        <w:t>Diversity characteristics</w:t>
      </w:r>
      <w:r>
        <w:tab/>
      </w:r>
      <w:r>
        <w:fldChar w:fldCharType="begin"/>
      </w:r>
      <w:r>
        <w:instrText xml:space="preserve"> PAGEREF _Toc12711 \h </w:instrText>
      </w:r>
      <w:r>
        <w:fldChar w:fldCharType="separate"/>
      </w:r>
      <w:r>
        <w:t>157</w:t>
      </w:r>
      <w:r>
        <w:fldChar w:fldCharType="end"/>
      </w:r>
    </w:p>
    <w:p>
      <w:pPr>
        <w:pStyle w:val="21"/>
        <w:tabs>
          <w:tab w:val="right" w:pos="2000"/>
          <w:tab w:val="right" w:leader="dot" w:pos="9641"/>
          <w:tab w:val="clear" w:pos="9639"/>
        </w:tabs>
      </w:pPr>
      <w:r>
        <w:t>7.3</w:t>
      </w:r>
      <w:r>
        <w:tab/>
      </w:r>
      <w:r>
        <w:t>Reference sensitivity power level</w:t>
      </w:r>
      <w:r>
        <w:tab/>
      </w:r>
      <w:r>
        <w:fldChar w:fldCharType="begin"/>
      </w:r>
      <w:r>
        <w:instrText xml:space="preserve"> PAGEREF _Toc8782 \h </w:instrText>
      </w:r>
      <w:r>
        <w:fldChar w:fldCharType="separate"/>
      </w:r>
      <w:r>
        <w:t>157</w:t>
      </w:r>
      <w:r>
        <w:fldChar w:fldCharType="end"/>
      </w:r>
    </w:p>
    <w:p>
      <w:pPr>
        <w:pStyle w:val="21"/>
        <w:tabs>
          <w:tab w:val="right" w:pos="2000"/>
          <w:tab w:val="right" w:leader="dot" w:pos="9641"/>
          <w:tab w:val="clear" w:pos="9639"/>
        </w:tabs>
      </w:pPr>
      <w:r>
        <w:t>7.3A</w:t>
      </w:r>
      <w:r>
        <w:tab/>
      </w:r>
      <w:r>
        <w:t>Reference sensitivity power level for UE category M1</w:t>
      </w:r>
      <w:r>
        <w:tab/>
      </w:r>
      <w:r>
        <w:fldChar w:fldCharType="begin"/>
      </w:r>
      <w:r>
        <w:instrText xml:space="preserve"> PAGEREF _Toc32084 \h </w:instrText>
      </w:r>
      <w:r>
        <w:fldChar w:fldCharType="separate"/>
      </w:r>
      <w:r>
        <w:t>157</w:t>
      </w:r>
      <w:r>
        <w:fldChar w:fldCharType="end"/>
      </w:r>
    </w:p>
    <w:p>
      <w:pPr>
        <w:pStyle w:val="21"/>
        <w:tabs>
          <w:tab w:val="right" w:pos="2000"/>
          <w:tab w:val="right" w:leader="dot" w:pos="9641"/>
          <w:tab w:val="clear" w:pos="9639"/>
        </w:tabs>
      </w:pPr>
      <w:r>
        <w:t>7.3B</w:t>
      </w:r>
      <w:r>
        <w:tab/>
      </w:r>
      <w:r>
        <w:t>Reference sensitivity power level for UE category NB1 and NB2</w:t>
      </w:r>
      <w:r>
        <w:tab/>
      </w:r>
      <w:r>
        <w:fldChar w:fldCharType="begin"/>
      </w:r>
      <w:r>
        <w:instrText xml:space="preserve"> PAGEREF _Toc9092 \h </w:instrText>
      </w:r>
      <w:r>
        <w:fldChar w:fldCharType="separate"/>
      </w:r>
      <w:r>
        <w:t>161</w:t>
      </w:r>
      <w:r>
        <w:fldChar w:fldCharType="end"/>
      </w:r>
    </w:p>
    <w:p>
      <w:pPr>
        <w:pStyle w:val="21"/>
        <w:tabs>
          <w:tab w:val="right" w:pos="2000"/>
          <w:tab w:val="right" w:leader="dot" w:pos="9641"/>
          <w:tab w:val="clear" w:pos="9639"/>
        </w:tabs>
      </w:pPr>
      <w:r>
        <w:t>7.4</w:t>
      </w:r>
      <w:r>
        <w:tab/>
      </w:r>
      <w:r>
        <w:t>Maximum input level</w:t>
      </w:r>
      <w:r>
        <w:tab/>
      </w:r>
      <w:r>
        <w:fldChar w:fldCharType="begin"/>
      </w:r>
      <w:r>
        <w:instrText xml:space="preserve"> PAGEREF _Toc4253 \h </w:instrText>
      </w:r>
      <w:r>
        <w:fldChar w:fldCharType="separate"/>
      </w:r>
      <w:r>
        <w:t>162</w:t>
      </w:r>
      <w:r>
        <w:fldChar w:fldCharType="end"/>
      </w:r>
    </w:p>
    <w:p>
      <w:pPr>
        <w:pStyle w:val="21"/>
        <w:tabs>
          <w:tab w:val="right" w:pos="2000"/>
          <w:tab w:val="right" w:leader="dot" w:pos="9641"/>
          <w:tab w:val="clear" w:pos="9639"/>
        </w:tabs>
      </w:pPr>
      <w:r>
        <w:t>7.4A</w:t>
      </w:r>
      <w:r>
        <w:tab/>
      </w:r>
      <w:r>
        <w:t>Maximum input level for category M1</w:t>
      </w:r>
      <w:r>
        <w:tab/>
      </w:r>
      <w:r>
        <w:fldChar w:fldCharType="begin"/>
      </w:r>
      <w:r>
        <w:instrText xml:space="preserve"> PAGEREF _Toc23048 \h </w:instrText>
      </w:r>
      <w:r>
        <w:fldChar w:fldCharType="separate"/>
      </w:r>
      <w:r>
        <w:t>162</w:t>
      </w:r>
      <w:r>
        <w:fldChar w:fldCharType="end"/>
      </w:r>
    </w:p>
    <w:p>
      <w:pPr>
        <w:pStyle w:val="21"/>
        <w:tabs>
          <w:tab w:val="right" w:pos="2000"/>
          <w:tab w:val="right" w:leader="dot" w:pos="9641"/>
          <w:tab w:val="clear" w:pos="9639"/>
        </w:tabs>
      </w:pPr>
      <w:r>
        <w:t>7.4B</w:t>
      </w:r>
      <w:r>
        <w:tab/>
      </w:r>
      <w:r>
        <w:t>Maximum input level for category NB1 and NB2</w:t>
      </w:r>
      <w:r>
        <w:tab/>
      </w:r>
      <w:r>
        <w:fldChar w:fldCharType="begin"/>
      </w:r>
      <w:r>
        <w:instrText xml:space="preserve"> PAGEREF _Toc31888 \h </w:instrText>
      </w:r>
      <w:r>
        <w:fldChar w:fldCharType="separate"/>
      </w:r>
      <w:r>
        <w:t>165</w:t>
      </w:r>
      <w:r>
        <w:fldChar w:fldCharType="end"/>
      </w:r>
    </w:p>
    <w:p>
      <w:pPr>
        <w:pStyle w:val="21"/>
        <w:tabs>
          <w:tab w:val="right" w:pos="2000"/>
          <w:tab w:val="right" w:leader="dot" w:pos="9641"/>
          <w:tab w:val="clear" w:pos="9639"/>
        </w:tabs>
      </w:pPr>
      <w:r>
        <w:t>7.5</w:t>
      </w:r>
      <w:r>
        <w:tab/>
      </w:r>
      <w:r>
        <w:t>Adjacent Channel Selectivity (ACS)</w:t>
      </w:r>
      <w:r>
        <w:tab/>
      </w:r>
      <w:r>
        <w:fldChar w:fldCharType="begin"/>
      </w:r>
      <w:r>
        <w:instrText xml:space="preserve"> PAGEREF _Toc17868 \h </w:instrText>
      </w:r>
      <w:r>
        <w:fldChar w:fldCharType="separate"/>
      </w:r>
      <w:r>
        <w:t>167</w:t>
      </w:r>
      <w:r>
        <w:fldChar w:fldCharType="end"/>
      </w:r>
    </w:p>
    <w:p>
      <w:pPr>
        <w:pStyle w:val="21"/>
        <w:tabs>
          <w:tab w:val="right" w:pos="2000"/>
          <w:tab w:val="right" w:leader="dot" w:pos="9641"/>
          <w:tab w:val="clear" w:pos="9639"/>
        </w:tabs>
      </w:pPr>
      <w:r>
        <w:t>7.5A</w:t>
      </w:r>
      <w:r>
        <w:tab/>
      </w:r>
      <w:r>
        <w:t>Adjacent Channel Selectivity for category M1</w:t>
      </w:r>
      <w:r>
        <w:tab/>
      </w:r>
      <w:r>
        <w:fldChar w:fldCharType="begin"/>
      </w:r>
      <w:r>
        <w:instrText xml:space="preserve"> PAGEREF _Toc4112 \h </w:instrText>
      </w:r>
      <w:r>
        <w:fldChar w:fldCharType="separate"/>
      </w:r>
      <w:r>
        <w:t>167</w:t>
      </w:r>
      <w:r>
        <w:fldChar w:fldCharType="end"/>
      </w:r>
    </w:p>
    <w:p>
      <w:pPr>
        <w:pStyle w:val="21"/>
        <w:tabs>
          <w:tab w:val="right" w:pos="2000"/>
          <w:tab w:val="right" w:leader="dot" w:pos="9641"/>
          <w:tab w:val="clear" w:pos="9639"/>
        </w:tabs>
      </w:pPr>
      <w:r>
        <w:t>7.5B</w:t>
      </w:r>
      <w:r>
        <w:tab/>
      </w:r>
      <w:r>
        <w:t>Adjacent Channel Selectivity for category NB1 and NB2</w:t>
      </w:r>
      <w:r>
        <w:tab/>
      </w:r>
      <w:r>
        <w:fldChar w:fldCharType="begin"/>
      </w:r>
      <w:r>
        <w:instrText xml:space="preserve"> PAGEREF _Toc22034 \h </w:instrText>
      </w:r>
      <w:r>
        <w:fldChar w:fldCharType="separate"/>
      </w:r>
      <w:r>
        <w:t>171</w:t>
      </w:r>
      <w:r>
        <w:fldChar w:fldCharType="end"/>
      </w:r>
    </w:p>
    <w:p>
      <w:pPr>
        <w:pStyle w:val="21"/>
        <w:tabs>
          <w:tab w:val="right" w:pos="2000"/>
          <w:tab w:val="right" w:leader="dot" w:pos="9641"/>
          <w:tab w:val="clear" w:pos="9639"/>
        </w:tabs>
      </w:pPr>
      <w:r>
        <w:t>7.6</w:t>
      </w:r>
      <w:r>
        <w:tab/>
      </w:r>
      <w:r>
        <w:t>Blocking characteristics</w:t>
      </w:r>
      <w:r>
        <w:tab/>
      </w:r>
      <w:r>
        <w:fldChar w:fldCharType="begin"/>
      </w:r>
      <w:r>
        <w:instrText xml:space="preserve"> PAGEREF _Toc4497 \h </w:instrText>
      </w:r>
      <w:r>
        <w:fldChar w:fldCharType="separate"/>
      </w:r>
      <w:r>
        <w:t>174</w:t>
      </w:r>
      <w:r>
        <w:fldChar w:fldCharType="end"/>
      </w:r>
    </w:p>
    <w:p>
      <w:pPr>
        <w:pStyle w:val="21"/>
        <w:tabs>
          <w:tab w:val="right" w:pos="2000"/>
          <w:tab w:val="right" w:leader="dot" w:pos="9641"/>
          <w:tab w:val="clear" w:pos="9639"/>
        </w:tabs>
      </w:pPr>
      <w:r>
        <w:t>7.6A</w:t>
      </w:r>
      <w:r>
        <w:tab/>
      </w:r>
      <w:r>
        <w:t>Blocking characteristics for category M1</w:t>
      </w:r>
      <w:r>
        <w:tab/>
      </w:r>
      <w:r>
        <w:fldChar w:fldCharType="begin"/>
      </w:r>
      <w:r>
        <w:instrText xml:space="preserve"> PAGEREF _Toc692 \h </w:instrText>
      </w:r>
      <w:r>
        <w:fldChar w:fldCharType="separate"/>
      </w:r>
      <w:r>
        <w:t>174</w:t>
      </w:r>
      <w:r>
        <w:fldChar w:fldCharType="end"/>
      </w:r>
    </w:p>
    <w:p>
      <w:pPr>
        <w:pStyle w:val="20"/>
        <w:tabs>
          <w:tab w:val="right" w:pos="2400"/>
          <w:tab w:val="right" w:leader="dot" w:pos="9641"/>
          <w:tab w:val="clear" w:pos="9639"/>
        </w:tabs>
      </w:pPr>
      <w:r>
        <w:t>7.6A.1</w:t>
      </w:r>
      <w:r>
        <w:tab/>
      </w:r>
      <w:r>
        <w:t>General</w:t>
      </w:r>
      <w:r>
        <w:tab/>
      </w:r>
      <w:r>
        <w:fldChar w:fldCharType="begin"/>
      </w:r>
      <w:r>
        <w:instrText xml:space="preserve"> PAGEREF _Toc8153 \h </w:instrText>
      </w:r>
      <w:r>
        <w:fldChar w:fldCharType="separate"/>
      </w:r>
      <w:r>
        <w:t>174</w:t>
      </w:r>
      <w:r>
        <w:fldChar w:fldCharType="end"/>
      </w:r>
    </w:p>
    <w:p>
      <w:pPr>
        <w:pStyle w:val="20"/>
        <w:tabs>
          <w:tab w:val="right" w:pos="2400"/>
          <w:tab w:val="right" w:leader="dot" w:pos="9641"/>
          <w:tab w:val="clear" w:pos="9639"/>
        </w:tabs>
      </w:pPr>
      <w:r>
        <w:t>7.6A.2</w:t>
      </w:r>
      <w:r>
        <w:tab/>
      </w:r>
      <w:r>
        <w:t>In-band blocking for category M1</w:t>
      </w:r>
      <w:r>
        <w:tab/>
      </w:r>
      <w:r>
        <w:fldChar w:fldCharType="begin"/>
      </w:r>
      <w:r>
        <w:instrText xml:space="preserve"> PAGEREF _Toc9324 \h </w:instrText>
      </w:r>
      <w:r>
        <w:fldChar w:fldCharType="separate"/>
      </w:r>
      <w:r>
        <w:t>175</w:t>
      </w:r>
      <w:r>
        <w:fldChar w:fldCharType="end"/>
      </w:r>
    </w:p>
    <w:p>
      <w:pPr>
        <w:pStyle w:val="20"/>
        <w:tabs>
          <w:tab w:val="right" w:pos="2400"/>
          <w:tab w:val="right" w:leader="dot" w:pos="9641"/>
          <w:tab w:val="clear" w:pos="9639"/>
        </w:tabs>
      </w:pPr>
      <w:r>
        <w:t>7.6A.3</w:t>
      </w:r>
      <w:r>
        <w:tab/>
      </w:r>
      <w:r>
        <w:t>Out-of-band blocking for category M1</w:t>
      </w:r>
      <w:r>
        <w:tab/>
      </w:r>
      <w:r>
        <w:fldChar w:fldCharType="begin"/>
      </w:r>
      <w:r>
        <w:instrText xml:space="preserve"> PAGEREF _Toc14752 \h </w:instrText>
      </w:r>
      <w:r>
        <w:fldChar w:fldCharType="separate"/>
      </w:r>
      <w:r>
        <w:t>178</w:t>
      </w:r>
      <w:r>
        <w:fldChar w:fldCharType="end"/>
      </w:r>
    </w:p>
    <w:p>
      <w:pPr>
        <w:pStyle w:val="20"/>
        <w:tabs>
          <w:tab w:val="right" w:pos="2400"/>
          <w:tab w:val="right" w:leader="dot" w:pos="9641"/>
          <w:tab w:val="clear" w:pos="9639"/>
        </w:tabs>
      </w:pPr>
      <w:r>
        <w:rPr>
          <w:rFonts w:eastAsia="MS Mincho"/>
        </w:rPr>
        <w:t>7.6A.4</w:t>
      </w:r>
      <w:r>
        <w:rPr>
          <w:rFonts w:eastAsia="MS Mincho"/>
        </w:rPr>
        <w:tab/>
      </w:r>
      <w:r>
        <w:rPr>
          <w:rFonts w:eastAsia="MS Mincho"/>
        </w:rPr>
        <w:t>Narrow band blocking for category M1</w:t>
      </w:r>
      <w:r>
        <w:tab/>
      </w:r>
      <w:r>
        <w:fldChar w:fldCharType="begin"/>
      </w:r>
      <w:r>
        <w:instrText xml:space="preserve"> PAGEREF _Toc11372 \h </w:instrText>
      </w:r>
      <w:r>
        <w:fldChar w:fldCharType="separate"/>
      </w:r>
      <w:r>
        <w:t>182</w:t>
      </w:r>
      <w:r>
        <w:fldChar w:fldCharType="end"/>
      </w:r>
    </w:p>
    <w:p>
      <w:pPr>
        <w:pStyle w:val="21"/>
        <w:tabs>
          <w:tab w:val="right" w:pos="2000"/>
          <w:tab w:val="right" w:leader="dot" w:pos="9641"/>
          <w:tab w:val="clear" w:pos="9639"/>
        </w:tabs>
      </w:pPr>
      <w:r>
        <w:t>7.6B</w:t>
      </w:r>
      <w:r>
        <w:tab/>
      </w:r>
      <w:r>
        <w:t>Blocking characteristics for category NB1 and NB2</w:t>
      </w:r>
      <w:r>
        <w:tab/>
      </w:r>
      <w:r>
        <w:fldChar w:fldCharType="begin"/>
      </w:r>
      <w:r>
        <w:instrText xml:space="preserve"> PAGEREF _Toc11070 \h </w:instrText>
      </w:r>
      <w:r>
        <w:fldChar w:fldCharType="separate"/>
      </w:r>
      <w:r>
        <w:t>185</w:t>
      </w:r>
      <w:r>
        <w:fldChar w:fldCharType="end"/>
      </w:r>
    </w:p>
    <w:p>
      <w:pPr>
        <w:pStyle w:val="20"/>
        <w:tabs>
          <w:tab w:val="right" w:pos="2400"/>
          <w:tab w:val="right" w:leader="dot" w:pos="9641"/>
          <w:tab w:val="clear" w:pos="9639"/>
        </w:tabs>
      </w:pPr>
      <w:r>
        <w:t>7.6B.1</w:t>
      </w:r>
      <w:r>
        <w:tab/>
      </w:r>
      <w:r>
        <w:t>General</w:t>
      </w:r>
      <w:r>
        <w:tab/>
      </w:r>
      <w:r>
        <w:fldChar w:fldCharType="begin"/>
      </w:r>
      <w:r>
        <w:instrText xml:space="preserve"> PAGEREF _Toc7638 \h </w:instrText>
      </w:r>
      <w:r>
        <w:fldChar w:fldCharType="separate"/>
      </w:r>
      <w:r>
        <w:t>185</w:t>
      </w:r>
      <w:r>
        <w:fldChar w:fldCharType="end"/>
      </w:r>
    </w:p>
    <w:p>
      <w:pPr>
        <w:pStyle w:val="20"/>
        <w:tabs>
          <w:tab w:val="right" w:pos="2400"/>
          <w:tab w:val="right" w:leader="dot" w:pos="9641"/>
          <w:tab w:val="clear" w:pos="9639"/>
        </w:tabs>
      </w:pPr>
      <w:r>
        <w:t>7.6B.2</w:t>
      </w:r>
      <w:r>
        <w:tab/>
      </w:r>
      <w:r>
        <w:t>In-band blocking for category NB1 and NB2</w:t>
      </w:r>
      <w:r>
        <w:tab/>
      </w:r>
      <w:r>
        <w:fldChar w:fldCharType="begin"/>
      </w:r>
      <w:r>
        <w:instrText xml:space="preserve"> PAGEREF _Toc23248 \h </w:instrText>
      </w:r>
      <w:r>
        <w:fldChar w:fldCharType="separate"/>
      </w:r>
      <w:r>
        <w:t>185</w:t>
      </w:r>
      <w:r>
        <w:fldChar w:fldCharType="end"/>
      </w:r>
    </w:p>
    <w:p>
      <w:pPr>
        <w:pStyle w:val="20"/>
        <w:tabs>
          <w:tab w:val="right" w:pos="2400"/>
          <w:tab w:val="right" w:leader="dot" w:pos="9641"/>
          <w:tab w:val="clear" w:pos="9639"/>
        </w:tabs>
      </w:pPr>
      <w:r>
        <w:t>7.6B.3</w:t>
      </w:r>
      <w:r>
        <w:tab/>
      </w:r>
      <w:r>
        <w:t>Out-of-band blocking for category NB1 and NB2</w:t>
      </w:r>
      <w:r>
        <w:tab/>
      </w:r>
      <w:r>
        <w:fldChar w:fldCharType="begin"/>
      </w:r>
      <w:r>
        <w:instrText xml:space="preserve"> PAGEREF _Toc32721 \h </w:instrText>
      </w:r>
      <w:r>
        <w:fldChar w:fldCharType="separate"/>
      </w:r>
      <w:r>
        <w:t>188</w:t>
      </w:r>
      <w:r>
        <w:fldChar w:fldCharType="end"/>
      </w:r>
    </w:p>
    <w:p>
      <w:pPr>
        <w:pStyle w:val="21"/>
        <w:tabs>
          <w:tab w:val="right" w:pos="2000"/>
          <w:tab w:val="right" w:leader="dot" w:pos="9641"/>
          <w:tab w:val="clear" w:pos="9639"/>
        </w:tabs>
      </w:pPr>
      <w:r>
        <w:t>7.7</w:t>
      </w:r>
      <w:r>
        <w:tab/>
      </w:r>
      <w:r>
        <w:t>Spurious response</w:t>
      </w:r>
      <w:r>
        <w:tab/>
      </w:r>
      <w:r>
        <w:fldChar w:fldCharType="begin"/>
      </w:r>
      <w:r>
        <w:instrText xml:space="preserve"> PAGEREF _Toc28277 \h </w:instrText>
      </w:r>
      <w:r>
        <w:fldChar w:fldCharType="separate"/>
      </w:r>
      <w:r>
        <w:t>191</w:t>
      </w:r>
      <w:r>
        <w:fldChar w:fldCharType="end"/>
      </w:r>
    </w:p>
    <w:p>
      <w:pPr>
        <w:pStyle w:val="21"/>
        <w:tabs>
          <w:tab w:val="right" w:pos="2000"/>
          <w:tab w:val="right" w:leader="dot" w:pos="9641"/>
          <w:tab w:val="clear" w:pos="9639"/>
        </w:tabs>
      </w:pPr>
      <w:r>
        <w:t>7.7A</w:t>
      </w:r>
      <w:r>
        <w:tab/>
      </w:r>
      <w:r>
        <w:t>Spurious response for category M1</w:t>
      </w:r>
      <w:r>
        <w:tab/>
      </w:r>
      <w:r>
        <w:fldChar w:fldCharType="begin"/>
      </w:r>
      <w:r>
        <w:instrText xml:space="preserve"> PAGEREF _Toc30019 \h </w:instrText>
      </w:r>
      <w:r>
        <w:fldChar w:fldCharType="separate"/>
      </w:r>
      <w:r>
        <w:t>191</w:t>
      </w:r>
      <w:r>
        <w:fldChar w:fldCharType="end"/>
      </w:r>
    </w:p>
    <w:p>
      <w:pPr>
        <w:pStyle w:val="21"/>
        <w:tabs>
          <w:tab w:val="right" w:pos="2000"/>
          <w:tab w:val="right" w:leader="dot" w:pos="9641"/>
          <w:tab w:val="clear" w:pos="9639"/>
        </w:tabs>
      </w:pPr>
      <w:r>
        <w:t>7.7B</w:t>
      </w:r>
      <w:r>
        <w:tab/>
      </w:r>
      <w:r>
        <w:t>Spurious response for category NB1 and NB2</w:t>
      </w:r>
      <w:r>
        <w:tab/>
      </w:r>
      <w:r>
        <w:fldChar w:fldCharType="begin"/>
      </w:r>
      <w:r>
        <w:instrText xml:space="preserve"> PAGEREF _Toc26009 \h </w:instrText>
      </w:r>
      <w:r>
        <w:fldChar w:fldCharType="separate"/>
      </w:r>
      <w:r>
        <w:t>193</w:t>
      </w:r>
      <w:r>
        <w:fldChar w:fldCharType="end"/>
      </w:r>
    </w:p>
    <w:p>
      <w:pPr>
        <w:pStyle w:val="21"/>
        <w:tabs>
          <w:tab w:val="right" w:pos="2000"/>
          <w:tab w:val="right" w:leader="dot" w:pos="9641"/>
          <w:tab w:val="clear" w:pos="9639"/>
        </w:tabs>
      </w:pPr>
      <w:r>
        <w:t>7.8</w:t>
      </w:r>
      <w:r>
        <w:tab/>
      </w:r>
      <w:r>
        <w:t>Intermodulation characteristics</w:t>
      </w:r>
      <w:r>
        <w:tab/>
      </w:r>
      <w:r>
        <w:fldChar w:fldCharType="begin"/>
      </w:r>
      <w:r>
        <w:instrText xml:space="preserve"> PAGEREF _Toc20358 \h </w:instrText>
      </w:r>
      <w:r>
        <w:fldChar w:fldCharType="separate"/>
      </w:r>
      <w:r>
        <w:t>194</w:t>
      </w:r>
      <w:r>
        <w:fldChar w:fldCharType="end"/>
      </w:r>
    </w:p>
    <w:p>
      <w:pPr>
        <w:pStyle w:val="21"/>
        <w:tabs>
          <w:tab w:val="right" w:pos="2000"/>
          <w:tab w:val="right" w:leader="dot" w:pos="9641"/>
          <w:tab w:val="clear" w:pos="9639"/>
        </w:tabs>
      </w:pPr>
      <w:r>
        <w:t>7.8</w:t>
      </w:r>
      <w:r>
        <w:rPr>
          <w:rFonts w:eastAsia="宋体"/>
          <w:lang w:eastAsia="zh-CN"/>
        </w:rPr>
        <w:t>A</w:t>
      </w:r>
      <w:r>
        <w:tab/>
      </w:r>
      <w:r>
        <w:t>Intermodulation</w:t>
      </w:r>
      <w:r>
        <w:rPr>
          <w:rFonts w:eastAsia="宋体"/>
          <w:lang w:eastAsia="zh-CN"/>
        </w:rPr>
        <w:t xml:space="preserve"> characteristics for category </w:t>
      </w:r>
      <w:r>
        <w:rPr>
          <w:lang w:eastAsia="zh-CN"/>
        </w:rPr>
        <w:t>M1</w:t>
      </w:r>
      <w:r>
        <w:tab/>
      </w:r>
      <w:r>
        <w:fldChar w:fldCharType="begin"/>
      </w:r>
      <w:r>
        <w:instrText xml:space="preserve"> PAGEREF _Toc17764 \h </w:instrText>
      </w:r>
      <w:r>
        <w:fldChar w:fldCharType="separate"/>
      </w:r>
      <w:r>
        <w:t>194</w:t>
      </w:r>
      <w:r>
        <w:fldChar w:fldCharType="end"/>
      </w:r>
    </w:p>
    <w:p>
      <w:pPr>
        <w:pStyle w:val="21"/>
        <w:tabs>
          <w:tab w:val="right" w:pos="2000"/>
          <w:tab w:val="right" w:leader="dot" w:pos="9641"/>
          <w:tab w:val="clear" w:pos="9639"/>
        </w:tabs>
      </w:pPr>
      <w:r>
        <w:t>7.8</w:t>
      </w:r>
      <w:r>
        <w:rPr>
          <w:rFonts w:eastAsia="宋体"/>
          <w:lang w:eastAsia="zh-CN"/>
        </w:rPr>
        <w:t>B</w:t>
      </w:r>
      <w:r>
        <w:tab/>
      </w:r>
      <w:r>
        <w:t>Intermodulation</w:t>
      </w:r>
      <w:r>
        <w:rPr>
          <w:rFonts w:eastAsia="宋体"/>
          <w:lang w:eastAsia="zh-CN"/>
        </w:rPr>
        <w:t xml:space="preserve"> characteristics for category </w:t>
      </w:r>
      <w:r>
        <w:rPr>
          <w:lang w:eastAsia="zh-CN"/>
        </w:rPr>
        <w:t>NB1 and NB2</w:t>
      </w:r>
      <w:r>
        <w:tab/>
      </w:r>
      <w:r>
        <w:fldChar w:fldCharType="begin"/>
      </w:r>
      <w:r>
        <w:instrText xml:space="preserve"> PAGEREF _Toc23435 \h </w:instrText>
      </w:r>
      <w:r>
        <w:fldChar w:fldCharType="separate"/>
      </w:r>
      <w:r>
        <w:t>197</w:t>
      </w:r>
      <w:r>
        <w:fldChar w:fldCharType="end"/>
      </w:r>
    </w:p>
    <w:p>
      <w:pPr>
        <w:pStyle w:val="21"/>
        <w:tabs>
          <w:tab w:val="right" w:pos="2000"/>
          <w:tab w:val="right" w:leader="dot" w:pos="9641"/>
          <w:tab w:val="clear" w:pos="9639"/>
        </w:tabs>
      </w:pPr>
      <w:r>
        <w:t>7.9</w:t>
      </w:r>
      <w:r>
        <w:tab/>
      </w:r>
      <w:r>
        <w:t>Spurious emissions</w:t>
      </w:r>
      <w:r>
        <w:tab/>
      </w:r>
      <w:r>
        <w:fldChar w:fldCharType="begin"/>
      </w:r>
      <w:r>
        <w:instrText xml:space="preserve"> PAGEREF _Toc14787 \h </w:instrText>
      </w:r>
      <w:r>
        <w:fldChar w:fldCharType="separate"/>
      </w:r>
      <w:r>
        <w:t>199</w:t>
      </w:r>
      <w:r>
        <w:fldChar w:fldCharType="end"/>
      </w:r>
    </w:p>
    <w:p>
      <w:pPr>
        <w:pStyle w:val="21"/>
        <w:tabs>
          <w:tab w:val="right" w:pos="2000"/>
          <w:tab w:val="right" w:leader="dot" w:pos="9641"/>
          <w:tab w:val="clear" w:pos="9639"/>
        </w:tabs>
      </w:pPr>
      <w:r>
        <w:t>7.9A</w:t>
      </w:r>
      <w:r>
        <w:tab/>
      </w:r>
      <w:r>
        <w:t>Spurious emissions for category M1</w:t>
      </w:r>
      <w:r>
        <w:tab/>
      </w:r>
      <w:r>
        <w:fldChar w:fldCharType="begin"/>
      </w:r>
      <w:r>
        <w:instrText xml:space="preserve"> PAGEREF _Toc25926 \h </w:instrText>
      </w:r>
      <w:r>
        <w:fldChar w:fldCharType="separate"/>
      </w:r>
      <w:r>
        <w:t>199</w:t>
      </w:r>
      <w:r>
        <w:fldChar w:fldCharType="end"/>
      </w:r>
    </w:p>
    <w:p>
      <w:pPr>
        <w:pStyle w:val="21"/>
        <w:tabs>
          <w:tab w:val="right" w:pos="2000"/>
          <w:tab w:val="right" w:leader="dot" w:pos="9641"/>
          <w:tab w:val="clear" w:pos="9639"/>
        </w:tabs>
      </w:pPr>
      <w:r>
        <w:t>7.9B</w:t>
      </w:r>
      <w:r>
        <w:tab/>
      </w:r>
      <w:r>
        <w:t>Spurious emissions for category NB1 and NB2</w:t>
      </w:r>
      <w:r>
        <w:tab/>
      </w:r>
      <w:r>
        <w:fldChar w:fldCharType="begin"/>
      </w:r>
      <w:r>
        <w:instrText xml:space="preserve"> PAGEREF _Toc22443 \h </w:instrText>
      </w:r>
      <w:r>
        <w:fldChar w:fldCharType="separate"/>
      </w:r>
      <w:r>
        <w:t>201</w:t>
      </w:r>
      <w:r>
        <w:fldChar w:fldCharType="end"/>
      </w:r>
    </w:p>
    <w:p>
      <w:pPr>
        <w:pStyle w:val="22"/>
        <w:tabs>
          <w:tab w:val="right" w:pos="2000"/>
          <w:tab w:val="right" w:leader="dot" w:pos="9641"/>
          <w:tab w:val="clear" w:pos="9639"/>
        </w:tabs>
      </w:pPr>
      <w:r>
        <w:t>8</w:t>
      </w:r>
      <w:r>
        <w:tab/>
      </w:r>
      <w:r>
        <w:t>Performance requirement</w:t>
      </w:r>
      <w:r>
        <w:tab/>
      </w:r>
      <w:r>
        <w:fldChar w:fldCharType="begin"/>
      </w:r>
      <w:r>
        <w:instrText xml:space="preserve"> PAGEREF _Toc2912 \h </w:instrText>
      </w:r>
      <w:r>
        <w:fldChar w:fldCharType="separate"/>
      </w:r>
      <w:r>
        <w:t>203</w:t>
      </w:r>
      <w:r>
        <w:fldChar w:fldCharType="end"/>
      </w:r>
    </w:p>
    <w:p>
      <w:pPr>
        <w:pStyle w:val="21"/>
        <w:tabs>
          <w:tab w:val="right" w:pos="2000"/>
          <w:tab w:val="right" w:leader="dot" w:pos="9641"/>
          <w:tab w:val="clear" w:pos="9639"/>
        </w:tabs>
      </w:pPr>
      <w:r>
        <w:t>8.1</w:t>
      </w:r>
      <w:r>
        <w:tab/>
      </w:r>
      <w:r>
        <w:t>General</w:t>
      </w:r>
      <w:r>
        <w:tab/>
      </w:r>
      <w:r>
        <w:fldChar w:fldCharType="begin"/>
      </w:r>
      <w:r>
        <w:instrText xml:space="preserve"> PAGEREF _Toc21125 \h </w:instrText>
      </w:r>
      <w:r>
        <w:fldChar w:fldCharType="separate"/>
      </w:r>
      <w:r>
        <w:t>203</w:t>
      </w:r>
      <w:r>
        <w:fldChar w:fldCharType="end"/>
      </w:r>
    </w:p>
    <w:p>
      <w:pPr>
        <w:pStyle w:val="20"/>
        <w:tabs>
          <w:tab w:val="right" w:pos="2000"/>
          <w:tab w:val="right" w:leader="dot" w:pos="9641"/>
          <w:tab w:val="clear" w:pos="9639"/>
        </w:tabs>
      </w:pPr>
      <w:r>
        <w:rPr>
          <w:rFonts w:eastAsia="MS Mincho"/>
        </w:rPr>
        <w:t>8.1.1</w:t>
      </w:r>
      <w:r>
        <w:rPr>
          <w:rFonts w:eastAsia="MS Mincho"/>
        </w:rPr>
        <w:tab/>
      </w:r>
      <w:r>
        <w:rPr>
          <w:rFonts w:eastAsia="MS Mincho"/>
        </w:rPr>
        <w:t>Receiver antenna capability</w:t>
      </w:r>
      <w:r>
        <w:tab/>
      </w:r>
      <w:r>
        <w:fldChar w:fldCharType="begin"/>
      </w:r>
      <w:r>
        <w:instrText xml:space="preserve"> PAGEREF _Toc3448 \h </w:instrText>
      </w:r>
      <w:r>
        <w:fldChar w:fldCharType="separate"/>
      </w:r>
      <w:r>
        <w:t>203</w:t>
      </w:r>
      <w:r>
        <w:fldChar w:fldCharType="end"/>
      </w:r>
    </w:p>
    <w:p>
      <w:pPr>
        <w:pStyle w:val="20"/>
        <w:tabs>
          <w:tab w:val="right" w:pos="2000"/>
          <w:tab w:val="right" w:leader="dot" w:pos="9641"/>
          <w:tab w:val="clear" w:pos="9639"/>
        </w:tabs>
      </w:pPr>
      <w:r>
        <w:rPr>
          <w:rFonts w:eastAsia="MS Mincho"/>
        </w:rPr>
        <w:t>8.1.</w:t>
      </w:r>
      <w:r>
        <w:rPr>
          <w:rFonts w:hint="eastAsia"/>
        </w:rPr>
        <w:t>2</w:t>
      </w:r>
      <w:r>
        <w:rPr>
          <w:rFonts w:eastAsia="MS Mincho"/>
        </w:rPr>
        <w:tab/>
      </w:r>
      <w:r>
        <w:rPr>
          <w:snapToGrid w:val="0"/>
        </w:rPr>
        <w:t xml:space="preserve">Applicability </w:t>
      </w:r>
      <w:r>
        <w:rPr>
          <w:rFonts w:hint="eastAsia"/>
          <w:snapToGrid w:val="0"/>
        </w:rPr>
        <w:t xml:space="preserve">of </w:t>
      </w:r>
      <w:r>
        <w:rPr>
          <w:snapToGrid w:val="0"/>
        </w:rPr>
        <w:t>requirements</w:t>
      </w:r>
      <w:r>
        <w:tab/>
      </w:r>
      <w:r>
        <w:fldChar w:fldCharType="begin"/>
      </w:r>
      <w:r>
        <w:instrText xml:space="preserve"> PAGEREF _Toc17892 \h </w:instrText>
      </w:r>
      <w:r>
        <w:fldChar w:fldCharType="separate"/>
      </w:r>
      <w:r>
        <w:t>203</w:t>
      </w:r>
      <w:r>
        <w:fldChar w:fldCharType="end"/>
      </w:r>
    </w:p>
    <w:p>
      <w:pPr>
        <w:pStyle w:val="19"/>
        <w:tabs>
          <w:tab w:val="right" w:pos="2400"/>
          <w:tab w:val="right" w:leader="dot" w:pos="9641"/>
          <w:tab w:val="clear" w:pos="9639"/>
        </w:tabs>
      </w:pPr>
      <w:r>
        <w:rPr>
          <w:snapToGrid w:val="0"/>
        </w:rPr>
        <w:t>8.1.</w:t>
      </w:r>
      <w:r>
        <w:rPr>
          <w:rFonts w:hint="eastAsia"/>
          <w:snapToGrid w:val="0"/>
        </w:rPr>
        <w:t>2</w:t>
      </w:r>
      <w:r>
        <w:rPr>
          <w:snapToGrid w:val="0"/>
        </w:rPr>
        <w:t>.</w:t>
      </w:r>
      <w:r>
        <w:rPr>
          <w:rFonts w:hint="eastAsia"/>
          <w:snapToGrid w:val="0"/>
        </w:rPr>
        <w:t>1</w:t>
      </w:r>
      <w:r>
        <w:rPr>
          <w:snapToGrid w:val="0"/>
        </w:rPr>
        <w:tab/>
      </w:r>
      <w:r>
        <w:rPr>
          <w:snapToGrid w:val="0"/>
        </w:rPr>
        <w:t xml:space="preserve">Applicability </w:t>
      </w:r>
      <w:r>
        <w:rPr>
          <w:rFonts w:hint="eastAsia"/>
          <w:snapToGrid w:val="0"/>
        </w:rPr>
        <w:t xml:space="preserve">of </w:t>
      </w:r>
      <w:r>
        <w:rPr>
          <w:snapToGrid w:val="0"/>
        </w:rPr>
        <w:t>requirements</w:t>
      </w:r>
      <w:r>
        <w:rPr>
          <w:rFonts w:hint="eastAsia"/>
          <w:snapToGrid w:val="0"/>
        </w:rPr>
        <w:t xml:space="preserve"> for different channel bandwidths</w:t>
      </w:r>
      <w:r>
        <w:tab/>
      </w:r>
      <w:r>
        <w:fldChar w:fldCharType="begin"/>
      </w:r>
      <w:r>
        <w:instrText xml:space="preserve"> PAGEREF _Toc20867 \h </w:instrText>
      </w:r>
      <w:r>
        <w:fldChar w:fldCharType="separate"/>
      </w:r>
      <w:r>
        <w:t>203</w:t>
      </w:r>
      <w:r>
        <w:fldChar w:fldCharType="end"/>
      </w:r>
    </w:p>
    <w:p>
      <w:pPr>
        <w:pStyle w:val="19"/>
        <w:tabs>
          <w:tab w:val="right" w:pos="2400"/>
          <w:tab w:val="right" w:leader="dot" w:pos="9641"/>
          <w:tab w:val="clear" w:pos="9639"/>
        </w:tabs>
      </w:pPr>
      <w:r>
        <w:t>8.1.2.2</w:t>
      </w:r>
      <w:r>
        <w:rPr>
          <w:rFonts w:hint="eastAsia"/>
        </w:rPr>
        <w:tab/>
      </w:r>
      <w:r>
        <w:t xml:space="preserve">Applicability of requirements for optional UE </w:t>
      </w:r>
      <w:r>
        <w:rPr>
          <w:rFonts w:hint="eastAsia"/>
        </w:rPr>
        <w:t>features</w:t>
      </w:r>
      <w:r>
        <w:tab/>
      </w:r>
      <w:r>
        <w:fldChar w:fldCharType="begin"/>
      </w:r>
      <w:r>
        <w:instrText xml:space="preserve"> PAGEREF _Toc260 \h </w:instrText>
      </w:r>
      <w:r>
        <w:fldChar w:fldCharType="separate"/>
      </w:r>
      <w:r>
        <w:t>203</w:t>
      </w:r>
      <w:r>
        <w:fldChar w:fldCharType="end"/>
      </w:r>
    </w:p>
    <w:p>
      <w:pPr>
        <w:pStyle w:val="20"/>
        <w:tabs>
          <w:tab w:val="right" w:pos="2000"/>
          <w:tab w:val="right" w:leader="dot" w:pos="9641"/>
          <w:tab w:val="clear" w:pos="9639"/>
        </w:tabs>
      </w:pPr>
      <w:r>
        <w:rPr>
          <w:rFonts w:eastAsia="MS Mincho"/>
        </w:rPr>
        <w:t>8.1.</w:t>
      </w:r>
      <w:r>
        <w:t>3</w:t>
      </w:r>
      <w:r>
        <w:rPr>
          <w:rFonts w:eastAsia="MS Mincho"/>
        </w:rPr>
        <w:tab/>
      </w:r>
      <w:r>
        <w:rPr>
          <w:snapToGrid w:val="0"/>
        </w:rPr>
        <w:t>UE category and UE DL category</w:t>
      </w:r>
      <w:r>
        <w:tab/>
      </w:r>
      <w:r>
        <w:fldChar w:fldCharType="begin"/>
      </w:r>
      <w:r>
        <w:instrText xml:space="preserve"> PAGEREF _Toc15401 \h </w:instrText>
      </w:r>
      <w:r>
        <w:fldChar w:fldCharType="separate"/>
      </w:r>
      <w:r>
        <w:t>204</w:t>
      </w:r>
      <w:r>
        <w:fldChar w:fldCharType="end"/>
      </w:r>
    </w:p>
    <w:p>
      <w:pPr>
        <w:pStyle w:val="21"/>
        <w:tabs>
          <w:tab w:val="right" w:pos="2000"/>
          <w:tab w:val="right" w:leader="dot" w:pos="9641"/>
          <w:tab w:val="clear" w:pos="9639"/>
        </w:tabs>
      </w:pPr>
      <w:r>
        <w:rPr>
          <w:rFonts w:eastAsia="PMingLiU"/>
          <w:lang w:val="en-US"/>
        </w:rPr>
        <w:t>8.2</w:t>
      </w:r>
      <w:r>
        <w:rPr>
          <w:rFonts w:eastAsia="PMingLiU"/>
          <w:lang w:val="en-US"/>
        </w:rPr>
        <w:tab/>
      </w:r>
      <w:r>
        <w:rPr>
          <w:rFonts w:eastAsia="PMingLiU"/>
          <w:lang w:val="en-US"/>
        </w:rPr>
        <w:t>Demodulation for IOT NTN UE category M1</w:t>
      </w:r>
      <w:r>
        <w:tab/>
      </w:r>
      <w:r>
        <w:fldChar w:fldCharType="begin"/>
      </w:r>
      <w:r>
        <w:instrText xml:space="preserve"> PAGEREF _Toc25911 \h </w:instrText>
      </w:r>
      <w:r>
        <w:fldChar w:fldCharType="separate"/>
      </w:r>
      <w:r>
        <w:t>204</w:t>
      </w:r>
      <w:r>
        <w:fldChar w:fldCharType="end"/>
      </w:r>
    </w:p>
    <w:p>
      <w:pPr>
        <w:pStyle w:val="20"/>
        <w:tabs>
          <w:tab w:val="right" w:pos="2000"/>
          <w:tab w:val="right" w:leader="dot" w:pos="9641"/>
          <w:tab w:val="clear" w:pos="9639"/>
        </w:tabs>
      </w:pPr>
      <w:r>
        <w:rPr>
          <w:rFonts w:cs="Arial"/>
          <w:szCs w:val="28"/>
        </w:rPr>
        <w:t>8.2.1</w:t>
      </w:r>
      <w:r>
        <w:rPr>
          <w:rFonts w:cs="Arial"/>
          <w:szCs w:val="28"/>
        </w:rPr>
        <w:tab/>
      </w:r>
      <w:r>
        <w:rPr>
          <w:rFonts w:cs="Arial"/>
          <w:szCs w:val="28"/>
        </w:rPr>
        <w:t>FDD and half-duplex FDD</w:t>
      </w:r>
      <w:r>
        <w:tab/>
      </w:r>
      <w:r>
        <w:fldChar w:fldCharType="begin"/>
      </w:r>
      <w:r>
        <w:instrText xml:space="preserve"> PAGEREF _Toc9093 \h </w:instrText>
      </w:r>
      <w:r>
        <w:fldChar w:fldCharType="separate"/>
      </w:r>
      <w:r>
        <w:t>204</w:t>
      </w:r>
      <w:r>
        <w:fldChar w:fldCharType="end"/>
      </w:r>
    </w:p>
    <w:p>
      <w:pPr>
        <w:pStyle w:val="19"/>
        <w:tabs>
          <w:tab w:val="right" w:pos="2400"/>
          <w:tab w:val="right" w:leader="dot" w:pos="9641"/>
          <w:tab w:val="clear" w:pos="9639"/>
        </w:tabs>
      </w:pPr>
      <w:r>
        <w:t>8.2.1.1</w:t>
      </w:r>
      <w:r>
        <w:tab/>
      </w:r>
      <w:r>
        <w:t>PDSCH</w:t>
      </w:r>
      <w:r>
        <w:tab/>
      </w:r>
      <w:r>
        <w:fldChar w:fldCharType="begin"/>
      </w:r>
      <w:r>
        <w:instrText xml:space="preserve"> PAGEREF _Toc8550 \h </w:instrText>
      </w:r>
      <w:r>
        <w:fldChar w:fldCharType="separate"/>
      </w:r>
      <w:r>
        <w:t>204</w:t>
      </w:r>
      <w:r>
        <w:fldChar w:fldCharType="end"/>
      </w:r>
    </w:p>
    <w:p>
      <w:pPr>
        <w:pStyle w:val="18"/>
        <w:tabs>
          <w:tab w:val="right" w:pos="2400"/>
          <w:tab w:val="right" w:leader="dot" w:pos="9641"/>
          <w:tab w:val="clear" w:pos="9639"/>
        </w:tabs>
      </w:pPr>
      <w:r>
        <w:rPr>
          <w:snapToGrid w:val="0"/>
          <w:lang w:val="en-US"/>
        </w:rPr>
        <w:t>8.2.1.1.1</w:t>
      </w:r>
      <w:r>
        <w:rPr>
          <w:snapToGrid w:val="0"/>
          <w:lang w:val="en-US"/>
        </w:rPr>
        <w:tab/>
      </w:r>
      <w:r>
        <w:rPr>
          <w:snapToGrid w:val="0"/>
          <w:lang w:val="en-US"/>
        </w:rPr>
        <w:t xml:space="preserve">PDSCH in standalone mode </w:t>
      </w:r>
      <w:r>
        <w:rPr>
          <w:rFonts w:hint="eastAsia"/>
          <w:snapToGrid w:val="0"/>
          <w:lang w:val="en-US"/>
        </w:rPr>
        <w:t>for UE category M1</w:t>
      </w:r>
      <w:r>
        <w:rPr>
          <w:snapToGrid w:val="0"/>
          <w:lang w:val="en-US"/>
        </w:rPr>
        <w:t xml:space="preserve"> under NTN fading conditions</w:t>
      </w:r>
      <w:r>
        <w:tab/>
      </w:r>
      <w:r>
        <w:fldChar w:fldCharType="begin"/>
      </w:r>
      <w:r>
        <w:instrText xml:space="preserve"> PAGEREF _Toc3543 \h </w:instrText>
      </w:r>
      <w:r>
        <w:fldChar w:fldCharType="separate"/>
      </w:r>
      <w:r>
        <w:t>205</w:t>
      </w:r>
      <w:r>
        <w:fldChar w:fldCharType="end"/>
      </w:r>
    </w:p>
    <w:p>
      <w:pPr>
        <w:pStyle w:val="21"/>
        <w:tabs>
          <w:tab w:val="right" w:pos="2000"/>
          <w:tab w:val="right" w:leader="dot" w:pos="9641"/>
          <w:tab w:val="clear" w:pos="9639"/>
        </w:tabs>
      </w:pPr>
      <w:r>
        <w:t>8.3</w:t>
      </w:r>
      <w:r>
        <w:tab/>
      </w:r>
      <w:r>
        <w:t>Demodulation for IOT NTN UE category</w:t>
      </w:r>
      <w:r>
        <w:rPr>
          <w:rFonts w:eastAsiaTheme="minorEastAsia"/>
        </w:rPr>
        <w:t xml:space="preserve"> NB1 and NB2</w:t>
      </w:r>
      <w:r>
        <w:tab/>
      </w:r>
      <w:r>
        <w:fldChar w:fldCharType="begin"/>
      </w:r>
      <w:r>
        <w:instrText xml:space="preserve"> PAGEREF _Toc9463 \h </w:instrText>
      </w:r>
      <w:r>
        <w:fldChar w:fldCharType="separate"/>
      </w:r>
      <w:r>
        <w:t>208</w:t>
      </w:r>
      <w:r>
        <w:fldChar w:fldCharType="end"/>
      </w:r>
    </w:p>
    <w:p>
      <w:pPr>
        <w:pStyle w:val="20"/>
        <w:tabs>
          <w:tab w:val="right" w:pos="2000"/>
          <w:tab w:val="right" w:leader="dot" w:pos="9641"/>
          <w:tab w:val="clear" w:pos="9639"/>
        </w:tabs>
      </w:pPr>
      <w:r>
        <w:rPr>
          <w:rFonts w:cs="Arial"/>
          <w:szCs w:val="28"/>
        </w:rPr>
        <w:t>8.3.1</w:t>
      </w:r>
      <w:r>
        <w:rPr>
          <w:rFonts w:cs="Arial"/>
          <w:szCs w:val="28"/>
        </w:rPr>
        <w:tab/>
      </w:r>
      <w:r>
        <w:rPr>
          <w:rFonts w:cs="Arial"/>
          <w:szCs w:val="28"/>
        </w:rPr>
        <w:t>Half-duplex FDD</w:t>
      </w:r>
      <w:r>
        <w:tab/>
      </w:r>
      <w:r>
        <w:fldChar w:fldCharType="begin"/>
      </w:r>
      <w:r>
        <w:instrText xml:space="preserve"> PAGEREF _Toc24109 \h </w:instrText>
      </w:r>
      <w:r>
        <w:fldChar w:fldCharType="separate"/>
      </w:r>
      <w:r>
        <w:t>208</w:t>
      </w:r>
      <w:r>
        <w:fldChar w:fldCharType="end"/>
      </w:r>
    </w:p>
    <w:p>
      <w:pPr>
        <w:pStyle w:val="19"/>
        <w:tabs>
          <w:tab w:val="right" w:pos="2400"/>
          <w:tab w:val="right" w:leader="dot" w:pos="9641"/>
          <w:tab w:val="clear" w:pos="9639"/>
        </w:tabs>
      </w:pPr>
      <w:r>
        <w:t>8.3.1.1</w:t>
      </w:r>
      <w:r>
        <w:tab/>
      </w:r>
      <w:r>
        <w:t>NPDSCH</w:t>
      </w:r>
      <w:r>
        <w:tab/>
      </w:r>
      <w:r>
        <w:fldChar w:fldCharType="begin"/>
      </w:r>
      <w:r>
        <w:instrText xml:space="preserve"> PAGEREF _Toc15105 \h </w:instrText>
      </w:r>
      <w:r>
        <w:fldChar w:fldCharType="separate"/>
      </w:r>
      <w:r>
        <w:t>208</w:t>
      </w:r>
      <w:r>
        <w:fldChar w:fldCharType="end"/>
      </w:r>
    </w:p>
    <w:p>
      <w:pPr>
        <w:pStyle w:val="18"/>
        <w:tabs>
          <w:tab w:val="right" w:pos="2400"/>
          <w:tab w:val="right" w:leader="dot" w:pos="9641"/>
          <w:tab w:val="clear" w:pos="9639"/>
        </w:tabs>
      </w:pPr>
      <w:r>
        <w:rPr>
          <w:snapToGrid w:val="0"/>
          <w:lang w:val="en-US"/>
        </w:rPr>
        <w:t>8.3.1.1.1</w:t>
      </w:r>
      <w:r>
        <w:rPr>
          <w:snapToGrid w:val="0"/>
          <w:lang w:val="en-US"/>
        </w:rPr>
        <w:tab/>
      </w:r>
      <w:r>
        <w:rPr>
          <w:snapToGrid w:val="0"/>
          <w:lang w:val="en-US"/>
        </w:rPr>
        <w:t>Demodulation of NPDSCH (Cell-Specific Reference Symbols) in standalone mode for category NB1 and NB2 under NTN fading conditions</w:t>
      </w:r>
      <w:r>
        <w:tab/>
      </w:r>
      <w:r>
        <w:fldChar w:fldCharType="begin"/>
      </w:r>
      <w:r>
        <w:instrText xml:space="preserve"> PAGEREF _Toc16018 \h </w:instrText>
      </w:r>
      <w:r>
        <w:fldChar w:fldCharType="separate"/>
      </w:r>
      <w:r>
        <w:t>209</w:t>
      </w:r>
      <w:r>
        <w:fldChar w:fldCharType="end"/>
      </w:r>
    </w:p>
    <w:p>
      <w:pPr>
        <w:pStyle w:val="18"/>
        <w:tabs>
          <w:tab w:val="right" w:pos="2400"/>
          <w:tab w:val="right" w:leader="dot" w:pos="9641"/>
          <w:tab w:val="clear" w:pos="9639"/>
        </w:tabs>
      </w:pPr>
      <w:r>
        <w:rPr>
          <w:snapToGrid w:val="0"/>
          <w:lang w:val="en-US"/>
        </w:rPr>
        <w:t>8.3.1.1.2</w:t>
      </w:r>
      <w:r>
        <w:rPr>
          <w:snapToGrid w:val="0"/>
          <w:lang w:val="en-US"/>
        </w:rPr>
        <w:tab/>
      </w:r>
      <w:r>
        <w:rPr>
          <w:snapToGrid w:val="0"/>
          <w:lang w:val="en-US"/>
        </w:rPr>
        <w:t>Demodulation of NPDSCH (Cell-Specific Reference Symbols) in standalone mode for category NB1 and NB2</w:t>
      </w:r>
      <w:r>
        <w:tab/>
      </w:r>
      <w:r>
        <w:fldChar w:fldCharType="begin"/>
      </w:r>
      <w:r>
        <w:instrText xml:space="preserve"> PAGEREF _Toc2916 \h </w:instrText>
      </w:r>
      <w:r>
        <w:fldChar w:fldCharType="separate"/>
      </w:r>
      <w:r>
        <w:t>212</w:t>
      </w:r>
      <w:r>
        <w:fldChar w:fldCharType="end"/>
      </w:r>
    </w:p>
    <w:p>
      <w:pPr>
        <w:pStyle w:val="18"/>
        <w:tabs>
          <w:tab w:val="right" w:pos="2400"/>
          <w:tab w:val="right" w:leader="dot" w:pos="9641"/>
          <w:tab w:val="clear" w:pos="9639"/>
        </w:tabs>
      </w:pPr>
      <w:r>
        <w:rPr>
          <w:snapToGrid w:val="0"/>
          <w:lang w:val="en-US"/>
        </w:rPr>
        <w:t>8.3.1.1.3</w:t>
      </w:r>
      <w:r>
        <w:rPr>
          <w:snapToGrid w:val="0"/>
          <w:lang w:val="en-US"/>
        </w:rPr>
        <w:tab/>
      </w:r>
      <w:r>
        <w:rPr>
          <w:snapToGrid w:val="0"/>
        </w:rPr>
        <w:t>Demodulation of NPDSCH (Cell-Specific Reference Symbols) in standalone for NB2</w:t>
      </w:r>
      <w:r>
        <w:tab/>
      </w:r>
      <w:r>
        <w:fldChar w:fldCharType="begin"/>
      </w:r>
      <w:r>
        <w:instrText xml:space="preserve"> PAGEREF _Toc27979 \h </w:instrText>
      </w:r>
      <w:r>
        <w:fldChar w:fldCharType="separate"/>
      </w:r>
      <w:r>
        <w:t>214</w:t>
      </w:r>
      <w:r>
        <w:fldChar w:fldCharType="end"/>
      </w:r>
    </w:p>
    <w:p>
      <w:pPr>
        <w:pStyle w:val="19"/>
        <w:tabs>
          <w:tab w:val="right" w:pos="2400"/>
          <w:tab w:val="right" w:leader="dot" w:pos="9641"/>
          <w:tab w:val="clear" w:pos="9639"/>
        </w:tabs>
      </w:pPr>
      <w:r>
        <w:t>8.3.1.2</w:t>
      </w:r>
      <w:r>
        <w:tab/>
      </w:r>
      <w:r>
        <w:t>NPDCCH</w:t>
      </w:r>
      <w:r>
        <w:tab/>
      </w:r>
      <w:r>
        <w:fldChar w:fldCharType="begin"/>
      </w:r>
      <w:r>
        <w:instrText xml:space="preserve"> PAGEREF _Toc16821 \h </w:instrText>
      </w:r>
      <w:r>
        <w:fldChar w:fldCharType="separate"/>
      </w:r>
      <w:r>
        <w:t>217</w:t>
      </w:r>
      <w:r>
        <w:fldChar w:fldCharType="end"/>
      </w:r>
    </w:p>
    <w:p>
      <w:pPr>
        <w:pStyle w:val="18"/>
        <w:tabs>
          <w:tab w:val="right" w:pos="2400"/>
          <w:tab w:val="right" w:leader="dot" w:pos="9641"/>
          <w:tab w:val="clear" w:pos="9639"/>
        </w:tabs>
      </w:pPr>
      <w:r>
        <w:rPr>
          <w:snapToGrid w:val="0"/>
          <w:lang w:val="en-US"/>
        </w:rPr>
        <w:t>8.3.1.2.1</w:t>
      </w:r>
      <w:r>
        <w:rPr>
          <w:snapToGrid w:val="0"/>
          <w:lang w:val="en-US"/>
        </w:rPr>
        <w:tab/>
      </w:r>
      <w:r>
        <w:rPr>
          <w:snapToGrid w:val="0"/>
          <w:kern w:val="2"/>
        </w:rPr>
        <w:t>Demodulation of NPDCCH single-antenna performance for category NB1 and NB2</w:t>
      </w:r>
      <w:r>
        <w:tab/>
      </w:r>
      <w:r>
        <w:fldChar w:fldCharType="begin"/>
      </w:r>
      <w:r>
        <w:instrText xml:space="preserve"> PAGEREF _Toc7306 \h </w:instrText>
      </w:r>
      <w:r>
        <w:fldChar w:fldCharType="separate"/>
      </w:r>
      <w:r>
        <w:t>218</w:t>
      </w:r>
      <w:r>
        <w:fldChar w:fldCharType="end"/>
      </w:r>
    </w:p>
    <w:p>
      <w:pPr>
        <w:pStyle w:val="54"/>
        <w:tabs>
          <w:tab w:val="right" w:leader="dot" w:pos="9641"/>
          <w:tab w:val="clear" w:pos="9639"/>
        </w:tabs>
      </w:pPr>
      <w:r>
        <w:t>Annex A (</w:t>
      </w:r>
      <w:r>
        <w:rPr>
          <w:rFonts w:hint="eastAsia"/>
        </w:rPr>
        <w:t>normative</w:t>
      </w:r>
      <w:r>
        <w:t>): Measurement Channels</w:t>
      </w:r>
      <w:r>
        <w:tab/>
      </w:r>
      <w:r>
        <w:fldChar w:fldCharType="begin"/>
      </w:r>
      <w:r>
        <w:instrText xml:space="preserve"> PAGEREF _Toc28801 \h </w:instrText>
      </w:r>
      <w:r>
        <w:fldChar w:fldCharType="separate"/>
      </w:r>
      <w:r>
        <w:t>221</w:t>
      </w:r>
      <w:r>
        <w:fldChar w:fldCharType="end"/>
      </w:r>
    </w:p>
    <w:p>
      <w:pPr>
        <w:pStyle w:val="22"/>
        <w:tabs>
          <w:tab w:val="right" w:pos="2000"/>
          <w:tab w:val="right" w:leader="dot" w:pos="9641"/>
          <w:tab w:val="clear" w:pos="9639"/>
        </w:tabs>
      </w:pPr>
      <w:r>
        <w:t>A.1</w:t>
      </w:r>
      <w:r>
        <w:tab/>
      </w:r>
      <w:r>
        <w:t>General</w:t>
      </w:r>
      <w:r>
        <w:tab/>
      </w:r>
      <w:r>
        <w:fldChar w:fldCharType="begin"/>
      </w:r>
      <w:r>
        <w:instrText xml:space="preserve"> PAGEREF _Toc16682 \h </w:instrText>
      </w:r>
      <w:r>
        <w:fldChar w:fldCharType="separate"/>
      </w:r>
      <w:r>
        <w:t>221</w:t>
      </w:r>
      <w:r>
        <w:fldChar w:fldCharType="end"/>
      </w:r>
    </w:p>
    <w:p>
      <w:pPr>
        <w:pStyle w:val="22"/>
        <w:tabs>
          <w:tab w:val="right" w:pos="2000"/>
          <w:tab w:val="right" w:leader="dot" w:pos="9641"/>
          <w:tab w:val="clear" w:pos="9639"/>
        </w:tabs>
      </w:pPr>
      <w:r>
        <w:t>A.2</w:t>
      </w:r>
      <w:r>
        <w:tab/>
      </w:r>
      <w:r>
        <w:t>UL reference measurement channels</w:t>
      </w:r>
      <w:r>
        <w:tab/>
      </w:r>
      <w:r>
        <w:fldChar w:fldCharType="begin"/>
      </w:r>
      <w:r>
        <w:instrText xml:space="preserve"> PAGEREF _Toc15283 \h </w:instrText>
      </w:r>
      <w:r>
        <w:fldChar w:fldCharType="separate"/>
      </w:r>
      <w:r>
        <w:t>222</w:t>
      </w:r>
      <w:r>
        <w:fldChar w:fldCharType="end"/>
      </w:r>
    </w:p>
    <w:p>
      <w:pPr>
        <w:pStyle w:val="21"/>
        <w:tabs>
          <w:tab w:val="right" w:pos="2000"/>
          <w:tab w:val="right" w:leader="dot" w:pos="9641"/>
          <w:tab w:val="clear" w:pos="9639"/>
        </w:tabs>
      </w:pPr>
      <w:r>
        <w:t>A.2.1</w:t>
      </w:r>
      <w:r>
        <w:tab/>
      </w:r>
      <w:r>
        <w:t>General</w:t>
      </w:r>
      <w:r>
        <w:tab/>
      </w:r>
      <w:r>
        <w:fldChar w:fldCharType="begin"/>
      </w:r>
      <w:r>
        <w:instrText xml:space="preserve"> PAGEREF _Toc20476 \h </w:instrText>
      </w:r>
      <w:r>
        <w:fldChar w:fldCharType="separate"/>
      </w:r>
      <w:r>
        <w:t>222</w:t>
      </w:r>
      <w:r>
        <w:fldChar w:fldCharType="end"/>
      </w:r>
    </w:p>
    <w:p>
      <w:pPr>
        <w:pStyle w:val="20"/>
        <w:tabs>
          <w:tab w:val="right" w:pos="2400"/>
          <w:tab w:val="right" w:leader="dot" w:pos="9641"/>
          <w:tab w:val="clear" w:pos="9639"/>
        </w:tabs>
      </w:pPr>
      <w:r>
        <w:rPr>
          <w:snapToGrid w:val="0"/>
        </w:rPr>
        <w:t>A.2.1.1</w:t>
      </w:r>
      <w:r>
        <w:rPr>
          <w:snapToGrid w:val="0"/>
        </w:rPr>
        <w:tab/>
      </w:r>
      <w:r>
        <w:rPr>
          <w:snapToGrid w:val="0"/>
        </w:rPr>
        <w:t>Applicability and common parameters</w:t>
      </w:r>
      <w:r>
        <w:tab/>
      </w:r>
      <w:r>
        <w:fldChar w:fldCharType="begin"/>
      </w:r>
      <w:r>
        <w:instrText xml:space="preserve"> PAGEREF _Toc27426 \h </w:instrText>
      </w:r>
      <w:r>
        <w:fldChar w:fldCharType="separate"/>
      </w:r>
      <w:r>
        <w:t>222</w:t>
      </w:r>
      <w:r>
        <w:fldChar w:fldCharType="end"/>
      </w:r>
    </w:p>
    <w:p>
      <w:pPr>
        <w:pStyle w:val="20"/>
        <w:tabs>
          <w:tab w:val="right" w:pos="2400"/>
          <w:tab w:val="right" w:leader="dot" w:pos="9641"/>
          <w:tab w:val="clear" w:pos="9639"/>
        </w:tabs>
      </w:pPr>
      <w:r>
        <w:rPr>
          <w:snapToGrid w:val="0"/>
        </w:rPr>
        <w:t>A.2.1.2</w:t>
      </w:r>
      <w:r>
        <w:rPr>
          <w:snapToGrid w:val="0"/>
        </w:rPr>
        <w:tab/>
      </w:r>
      <w:r>
        <w:rPr>
          <w:snapToGrid w:val="0"/>
        </w:rPr>
        <w:t>Determination of payload size</w:t>
      </w:r>
      <w:r>
        <w:tab/>
      </w:r>
      <w:r>
        <w:fldChar w:fldCharType="begin"/>
      </w:r>
      <w:r>
        <w:instrText xml:space="preserve"> PAGEREF _Toc9886 \h </w:instrText>
      </w:r>
      <w:r>
        <w:fldChar w:fldCharType="separate"/>
      </w:r>
      <w:r>
        <w:t>222</w:t>
      </w:r>
      <w:r>
        <w:fldChar w:fldCharType="end"/>
      </w:r>
    </w:p>
    <w:p>
      <w:pPr>
        <w:pStyle w:val="20"/>
        <w:tabs>
          <w:tab w:val="right" w:pos="2400"/>
          <w:tab w:val="right" w:leader="dot" w:pos="9641"/>
          <w:tab w:val="clear" w:pos="9639"/>
        </w:tabs>
      </w:pPr>
      <w:r>
        <w:rPr>
          <w:snapToGrid w:val="0"/>
        </w:rPr>
        <w:t>A.2.1.3</w:t>
      </w:r>
      <w:r>
        <w:rPr>
          <w:snapToGrid w:val="0"/>
        </w:rPr>
        <w:tab/>
      </w:r>
      <w:r>
        <w:rPr>
          <w:snapToGrid w:val="0"/>
        </w:rPr>
        <w:t>Overview of UL reference measurement channels</w:t>
      </w:r>
      <w:r>
        <w:tab/>
      </w:r>
      <w:r>
        <w:fldChar w:fldCharType="begin"/>
      </w:r>
      <w:r>
        <w:instrText xml:space="preserve"> PAGEREF _Toc20112 \h </w:instrText>
      </w:r>
      <w:r>
        <w:fldChar w:fldCharType="separate"/>
      </w:r>
      <w:r>
        <w:t>222</w:t>
      </w:r>
      <w:r>
        <w:fldChar w:fldCharType="end"/>
      </w:r>
    </w:p>
    <w:p>
      <w:pPr>
        <w:pStyle w:val="21"/>
        <w:tabs>
          <w:tab w:val="right" w:pos="2000"/>
          <w:tab w:val="right" w:leader="dot" w:pos="9641"/>
          <w:tab w:val="clear" w:pos="9639"/>
        </w:tabs>
      </w:pPr>
      <w:r>
        <w:t>A.2.2</w:t>
      </w:r>
      <w:r>
        <w:tab/>
      </w:r>
      <w:r>
        <w:t>Reference measurement channels for FDD</w:t>
      </w:r>
      <w:r>
        <w:tab/>
      </w:r>
      <w:r>
        <w:fldChar w:fldCharType="begin"/>
      </w:r>
      <w:r>
        <w:instrText xml:space="preserve"> PAGEREF _Toc1019 \h </w:instrText>
      </w:r>
      <w:r>
        <w:fldChar w:fldCharType="separate"/>
      </w:r>
      <w:r>
        <w:t>224</w:t>
      </w:r>
      <w:r>
        <w:fldChar w:fldCharType="end"/>
      </w:r>
    </w:p>
    <w:p>
      <w:pPr>
        <w:pStyle w:val="20"/>
        <w:tabs>
          <w:tab w:val="right" w:pos="2400"/>
          <w:tab w:val="right" w:leader="dot" w:pos="9641"/>
          <w:tab w:val="clear" w:pos="9639"/>
        </w:tabs>
      </w:pPr>
      <w:r>
        <w:rPr>
          <w:snapToGrid w:val="0"/>
        </w:rPr>
        <w:t>A.2.2.1</w:t>
      </w:r>
      <w:r>
        <w:rPr>
          <w:snapToGrid w:val="0"/>
        </w:rPr>
        <w:tab/>
      </w:r>
      <w:r>
        <w:rPr>
          <w:snapToGrid w:val="0"/>
        </w:rPr>
        <w:t>Full RB allocation</w:t>
      </w:r>
      <w:r>
        <w:tab/>
      </w:r>
      <w:r>
        <w:fldChar w:fldCharType="begin"/>
      </w:r>
      <w:r>
        <w:instrText xml:space="preserve"> PAGEREF _Toc26274 \h </w:instrText>
      </w:r>
      <w:r>
        <w:fldChar w:fldCharType="separate"/>
      </w:r>
      <w:r>
        <w:t>224</w:t>
      </w:r>
      <w:r>
        <w:fldChar w:fldCharType="end"/>
      </w:r>
    </w:p>
    <w:p>
      <w:pPr>
        <w:pStyle w:val="19"/>
        <w:tabs>
          <w:tab w:val="right" w:pos="2400"/>
          <w:tab w:val="right" w:leader="dot" w:pos="9641"/>
          <w:tab w:val="clear" w:pos="9639"/>
        </w:tabs>
      </w:pPr>
      <w:r>
        <w:t>A.2.2.1.1</w:t>
      </w:r>
      <w:r>
        <w:tab/>
      </w:r>
      <w:r>
        <w:t>QPSK</w:t>
      </w:r>
      <w:r>
        <w:tab/>
      </w:r>
      <w:r>
        <w:fldChar w:fldCharType="begin"/>
      </w:r>
      <w:r>
        <w:instrText xml:space="preserve"> PAGEREF _Toc21991 \h </w:instrText>
      </w:r>
      <w:r>
        <w:fldChar w:fldCharType="separate"/>
      </w:r>
      <w:r>
        <w:t>224</w:t>
      </w:r>
      <w:r>
        <w:fldChar w:fldCharType="end"/>
      </w:r>
    </w:p>
    <w:p>
      <w:pPr>
        <w:pStyle w:val="19"/>
        <w:tabs>
          <w:tab w:val="right" w:pos="2400"/>
          <w:tab w:val="right" w:leader="dot" w:pos="9641"/>
          <w:tab w:val="clear" w:pos="9639"/>
        </w:tabs>
      </w:pPr>
      <w:r>
        <w:t>A.2.2.1.2</w:t>
      </w:r>
      <w:r>
        <w:tab/>
      </w:r>
      <w:r>
        <w:t>16-QAM</w:t>
      </w:r>
      <w:r>
        <w:tab/>
      </w:r>
      <w:r>
        <w:fldChar w:fldCharType="begin"/>
      </w:r>
      <w:r>
        <w:instrText xml:space="preserve"> PAGEREF _Toc8857 \h </w:instrText>
      </w:r>
      <w:r>
        <w:fldChar w:fldCharType="separate"/>
      </w:r>
      <w:r>
        <w:t>224</w:t>
      </w:r>
      <w:r>
        <w:fldChar w:fldCharType="end"/>
      </w:r>
    </w:p>
    <w:p>
      <w:pPr>
        <w:pStyle w:val="20"/>
        <w:tabs>
          <w:tab w:val="right" w:pos="2400"/>
          <w:tab w:val="right" w:leader="dot" w:pos="9641"/>
          <w:tab w:val="clear" w:pos="9639"/>
        </w:tabs>
      </w:pPr>
      <w:r>
        <w:rPr>
          <w:snapToGrid w:val="0"/>
        </w:rPr>
        <w:t>A.2.2.2</w:t>
      </w:r>
      <w:r>
        <w:rPr>
          <w:snapToGrid w:val="0"/>
        </w:rPr>
        <w:tab/>
      </w:r>
      <w:r>
        <w:rPr>
          <w:snapToGrid w:val="0"/>
        </w:rPr>
        <w:t>Partial RB allocation</w:t>
      </w:r>
      <w:r>
        <w:tab/>
      </w:r>
      <w:r>
        <w:fldChar w:fldCharType="begin"/>
      </w:r>
      <w:r>
        <w:instrText xml:space="preserve"> PAGEREF _Toc3184 \h </w:instrText>
      </w:r>
      <w:r>
        <w:fldChar w:fldCharType="separate"/>
      </w:r>
      <w:r>
        <w:t>225</w:t>
      </w:r>
      <w:r>
        <w:fldChar w:fldCharType="end"/>
      </w:r>
    </w:p>
    <w:p>
      <w:pPr>
        <w:pStyle w:val="19"/>
        <w:tabs>
          <w:tab w:val="right" w:pos="2400"/>
          <w:tab w:val="right" w:leader="dot" w:pos="9641"/>
          <w:tab w:val="clear" w:pos="9639"/>
        </w:tabs>
      </w:pPr>
      <w:r>
        <w:t>A.2.2.2.1</w:t>
      </w:r>
      <w:r>
        <w:tab/>
      </w:r>
      <w:r>
        <w:t>QPSK</w:t>
      </w:r>
      <w:r>
        <w:tab/>
      </w:r>
      <w:r>
        <w:fldChar w:fldCharType="begin"/>
      </w:r>
      <w:r>
        <w:instrText xml:space="preserve"> PAGEREF _Toc16597 \h </w:instrText>
      </w:r>
      <w:r>
        <w:fldChar w:fldCharType="separate"/>
      </w:r>
      <w:r>
        <w:t>225</w:t>
      </w:r>
      <w:r>
        <w:fldChar w:fldCharType="end"/>
      </w:r>
    </w:p>
    <w:p>
      <w:pPr>
        <w:pStyle w:val="19"/>
        <w:tabs>
          <w:tab w:val="right" w:pos="2400"/>
          <w:tab w:val="right" w:leader="dot" w:pos="9641"/>
          <w:tab w:val="clear" w:pos="9639"/>
        </w:tabs>
      </w:pPr>
      <w:r>
        <w:t>A.2.2.2.2</w:t>
      </w:r>
      <w:r>
        <w:tab/>
      </w:r>
      <w:r>
        <w:t>16-QAM</w:t>
      </w:r>
      <w:r>
        <w:tab/>
      </w:r>
      <w:r>
        <w:fldChar w:fldCharType="begin"/>
      </w:r>
      <w:r>
        <w:instrText xml:space="preserve"> PAGEREF _Toc26841 \h </w:instrText>
      </w:r>
      <w:r>
        <w:fldChar w:fldCharType="separate"/>
      </w:r>
      <w:r>
        <w:t>225</w:t>
      </w:r>
      <w:r>
        <w:fldChar w:fldCharType="end"/>
      </w:r>
    </w:p>
    <w:p>
      <w:pPr>
        <w:pStyle w:val="20"/>
        <w:tabs>
          <w:tab w:val="right" w:pos="2400"/>
          <w:tab w:val="right" w:leader="dot" w:pos="9641"/>
          <w:tab w:val="clear" w:pos="9639"/>
        </w:tabs>
      </w:pPr>
      <w:r>
        <w:rPr>
          <w:snapToGrid w:val="0"/>
        </w:rPr>
        <w:t>A.2.2.3</w:t>
      </w:r>
      <w:r>
        <w:rPr>
          <w:snapToGrid w:val="0"/>
        </w:rPr>
        <w:tab/>
      </w:r>
      <w:r>
        <w:rPr>
          <w:rFonts w:hint="eastAsia" w:eastAsia="宋体"/>
          <w:snapToGrid w:val="0"/>
          <w:lang w:val="en-US" w:eastAsia="zh-CN"/>
        </w:rPr>
        <w:t>FFS</w:t>
      </w:r>
      <w:r>
        <w:tab/>
      </w:r>
      <w:r>
        <w:fldChar w:fldCharType="begin"/>
      </w:r>
      <w:r>
        <w:instrText xml:space="preserve"> PAGEREF _Toc4199 \h </w:instrText>
      </w:r>
      <w:r>
        <w:fldChar w:fldCharType="separate"/>
      </w:r>
      <w:r>
        <w:t>225</w:t>
      </w:r>
      <w:r>
        <w:fldChar w:fldCharType="end"/>
      </w:r>
    </w:p>
    <w:p>
      <w:pPr>
        <w:pStyle w:val="20"/>
        <w:tabs>
          <w:tab w:val="right" w:pos="2400"/>
          <w:tab w:val="right" w:leader="dot" w:pos="9641"/>
          <w:tab w:val="clear" w:pos="9639"/>
        </w:tabs>
      </w:pPr>
      <w:r>
        <w:rPr>
          <w:snapToGrid w:val="0"/>
        </w:rPr>
        <w:t>A.2.2.4</w:t>
      </w:r>
      <w:r>
        <w:rPr>
          <w:snapToGrid w:val="0"/>
        </w:rPr>
        <w:tab/>
      </w:r>
      <w:r>
        <w:rPr>
          <w:snapToGrid w:val="0"/>
        </w:rPr>
        <w:t>subPRB allocation</w:t>
      </w:r>
      <w:r>
        <w:tab/>
      </w:r>
      <w:r>
        <w:fldChar w:fldCharType="begin"/>
      </w:r>
      <w:r>
        <w:instrText xml:space="preserve"> PAGEREF _Toc11616 \h </w:instrText>
      </w:r>
      <w:r>
        <w:fldChar w:fldCharType="separate"/>
      </w:r>
      <w:r>
        <w:t>225</w:t>
      </w:r>
      <w:r>
        <w:fldChar w:fldCharType="end"/>
      </w:r>
    </w:p>
    <w:p>
      <w:pPr>
        <w:pStyle w:val="21"/>
        <w:tabs>
          <w:tab w:val="right" w:pos="2000"/>
          <w:tab w:val="right" w:leader="dot" w:pos="9641"/>
          <w:tab w:val="clear" w:pos="9639"/>
        </w:tabs>
      </w:pPr>
      <w:r>
        <w:t>A.2.3</w:t>
      </w:r>
      <w:r>
        <w:tab/>
      </w:r>
      <w:r>
        <w:t>FFS</w:t>
      </w:r>
      <w:r>
        <w:tab/>
      </w:r>
      <w:r>
        <w:fldChar w:fldCharType="begin"/>
      </w:r>
      <w:r>
        <w:instrText xml:space="preserve"> PAGEREF _Toc1085 \h </w:instrText>
      </w:r>
      <w:r>
        <w:fldChar w:fldCharType="separate"/>
      </w:r>
      <w:r>
        <w:t>226</w:t>
      </w:r>
      <w:r>
        <w:fldChar w:fldCharType="end"/>
      </w:r>
    </w:p>
    <w:p>
      <w:pPr>
        <w:pStyle w:val="21"/>
        <w:tabs>
          <w:tab w:val="right" w:pos="2000"/>
          <w:tab w:val="right" w:leader="dot" w:pos="9641"/>
          <w:tab w:val="clear" w:pos="9639"/>
        </w:tabs>
      </w:pPr>
      <w:r>
        <w:t>A.2.</w:t>
      </w:r>
      <w:r>
        <w:rPr>
          <w:lang w:eastAsia="zh-CN"/>
        </w:rPr>
        <w:t>4</w:t>
      </w:r>
      <w:r>
        <w:tab/>
      </w:r>
      <w:r>
        <w:t>Reference measurement channels for category NB1</w:t>
      </w:r>
      <w:r>
        <w:tab/>
      </w:r>
      <w:r>
        <w:fldChar w:fldCharType="begin"/>
      </w:r>
      <w:r>
        <w:instrText xml:space="preserve"> PAGEREF _Toc31802 \h </w:instrText>
      </w:r>
      <w:r>
        <w:fldChar w:fldCharType="separate"/>
      </w:r>
      <w:r>
        <w:t>226</w:t>
      </w:r>
      <w:r>
        <w:fldChar w:fldCharType="end"/>
      </w:r>
    </w:p>
    <w:p>
      <w:pPr>
        <w:pStyle w:val="22"/>
        <w:tabs>
          <w:tab w:val="right" w:pos="2000"/>
          <w:tab w:val="right" w:leader="dot" w:pos="9641"/>
          <w:tab w:val="clear" w:pos="9639"/>
        </w:tabs>
      </w:pPr>
      <w:r>
        <w:t>A.3</w:t>
      </w:r>
      <w:r>
        <w:tab/>
      </w:r>
      <w:r>
        <w:t>DL reference measurement channels</w:t>
      </w:r>
      <w:r>
        <w:tab/>
      </w:r>
      <w:r>
        <w:fldChar w:fldCharType="begin"/>
      </w:r>
      <w:r>
        <w:instrText xml:space="preserve"> PAGEREF _Toc19635 \h </w:instrText>
      </w:r>
      <w:r>
        <w:fldChar w:fldCharType="separate"/>
      </w:r>
      <w:r>
        <w:t>228</w:t>
      </w:r>
      <w:r>
        <w:fldChar w:fldCharType="end"/>
      </w:r>
    </w:p>
    <w:p>
      <w:pPr>
        <w:pStyle w:val="21"/>
        <w:tabs>
          <w:tab w:val="right" w:pos="2000"/>
          <w:tab w:val="right" w:leader="dot" w:pos="9641"/>
          <w:tab w:val="clear" w:pos="9639"/>
        </w:tabs>
      </w:pPr>
      <w:r>
        <w:t>A.3.1</w:t>
      </w:r>
      <w:r>
        <w:tab/>
      </w:r>
      <w:r>
        <w:t>General</w:t>
      </w:r>
      <w:r>
        <w:tab/>
      </w:r>
      <w:r>
        <w:fldChar w:fldCharType="begin"/>
      </w:r>
      <w:r>
        <w:instrText xml:space="preserve"> PAGEREF _Toc26477 \h </w:instrText>
      </w:r>
      <w:r>
        <w:fldChar w:fldCharType="separate"/>
      </w:r>
      <w:r>
        <w:t>228</w:t>
      </w:r>
      <w:r>
        <w:fldChar w:fldCharType="end"/>
      </w:r>
    </w:p>
    <w:p>
      <w:pPr>
        <w:pStyle w:val="20"/>
        <w:tabs>
          <w:tab w:val="right" w:pos="2400"/>
          <w:tab w:val="right" w:leader="dot" w:pos="9641"/>
          <w:tab w:val="clear" w:pos="9639"/>
        </w:tabs>
      </w:pPr>
      <w:r>
        <w:rPr>
          <w:snapToGrid w:val="0"/>
        </w:rPr>
        <w:t>A.3.1.1</w:t>
      </w:r>
      <w:r>
        <w:rPr>
          <w:snapToGrid w:val="0"/>
        </w:rPr>
        <w:tab/>
      </w:r>
      <w:r>
        <w:rPr>
          <w:snapToGrid w:val="0"/>
        </w:rPr>
        <w:t>Overview of DL reference measurement channels</w:t>
      </w:r>
      <w:r>
        <w:tab/>
      </w:r>
      <w:r>
        <w:fldChar w:fldCharType="begin"/>
      </w:r>
      <w:r>
        <w:instrText xml:space="preserve"> PAGEREF _Toc4737 \h </w:instrText>
      </w:r>
      <w:r>
        <w:fldChar w:fldCharType="separate"/>
      </w:r>
      <w:r>
        <w:t>228</w:t>
      </w:r>
      <w:r>
        <w:fldChar w:fldCharType="end"/>
      </w:r>
    </w:p>
    <w:p>
      <w:pPr>
        <w:pStyle w:val="21"/>
        <w:tabs>
          <w:tab w:val="right" w:pos="2000"/>
          <w:tab w:val="right" w:leader="dot" w:pos="9641"/>
          <w:tab w:val="clear" w:pos="9639"/>
        </w:tabs>
      </w:pPr>
      <w:r>
        <w:t>A.3.2</w:t>
      </w:r>
      <w:r>
        <w:tab/>
      </w:r>
      <w:r>
        <w:t>Reference measurement channel for receiver characteristics</w:t>
      </w:r>
      <w:r>
        <w:tab/>
      </w:r>
      <w:r>
        <w:fldChar w:fldCharType="begin"/>
      </w:r>
      <w:r>
        <w:instrText xml:space="preserve"> PAGEREF _Toc108 \h </w:instrText>
      </w:r>
      <w:r>
        <w:fldChar w:fldCharType="separate"/>
      </w:r>
      <w:r>
        <w:t>229</w:t>
      </w:r>
      <w:r>
        <w:fldChar w:fldCharType="end"/>
      </w:r>
    </w:p>
    <w:p>
      <w:pPr>
        <w:pStyle w:val="21"/>
        <w:tabs>
          <w:tab w:val="right" w:pos="2400"/>
          <w:tab w:val="right" w:leader="dot" w:pos="9641"/>
          <w:tab w:val="clear" w:pos="9639"/>
        </w:tabs>
      </w:pPr>
      <w:r>
        <w:t>A.3.2A</w:t>
      </w:r>
      <w:r>
        <w:tab/>
      </w:r>
      <w:r>
        <w:t>Downlink Reference measurement channel for TX characteristics</w:t>
      </w:r>
      <w:r>
        <w:tab/>
      </w:r>
      <w:r>
        <w:fldChar w:fldCharType="begin"/>
      </w:r>
      <w:r>
        <w:instrText xml:space="preserve"> PAGEREF _Toc1643 \h </w:instrText>
      </w:r>
      <w:r>
        <w:fldChar w:fldCharType="separate"/>
      </w:r>
      <w:r>
        <w:t>233</w:t>
      </w:r>
      <w:r>
        <w:fldChar w:fldCharType="end"/>
      </w:r>
    </w:p>
    <w:p>
      <w:pPr>
        <w:pStyle w:val="21"/>
        <w:tabs>
          <w:tab w:val="right" w:pos="2000"/>
          <w:tab w:val="right" w:leader="dot" w:pos="9641"/>
          <w:tab w:val="clear" w:pos="9639"/>
        </w:tabs>
      </w:pPr>
      <w:r>
        <w:t>A.3.3</w:t>
      </w:r>
      <w:r>
        <w:tab/>
      </w:r>
      <w:r>
        <w:t>Reference measurement channel for PDSCH performance requirements (FDD)</w:t>
      </w:r>
      <w:r>
        <w:tab/>
      </w:r>
      <w:r>
        <w:fldChar w:fldCharType="begin"/>
      </w:r>
      <w:r>
        <w:instrText xml:space="preserve"> PAGEREF _Toc28064 \h </w:instrText>
      </w:r>
      <w:r>
        <w:fldChar w:fldCharType="separate"/>
      </w:r>
      <w:r>
        <w:t>235</w:t>
      </w:r>
      <w:r>
        <w:fldChar w:fldCharType="end"/>
      </w:r>
    </w:p>
    <w:p>
      <w:pPr>
        <w:pStyle w:val="20"/>
        <w:tabs>
          <w:tab w:val="right" w:pos="2400"/>
          <w:tab w:val="right" w:leader="dot" w:pos="9641"/>
          <w:tab w:val="clear" w:pos="9639"/>
        </w:tabs>
      </w:pPr>
      <w:r>
        <w:rPr>
          <w:lang w:eastAsia="en-GB"/>
        </w:rPr>
        <w:t>A.3.3.1</w:t>
      </w:r>
      <w:r>
        <w:rPr>
          <w:lang w:eastAsia="en-GB"/>
        </w:rPr>
        <w:tab/>
      </w:r>
      <w:r>
        <w:rPr>
          <w:lang w:eastAsia="en-GB"/>
        </w:rPr>
        <w:t>Single-antenna transmission (Common Reference Symbols)</w:t>
      </w:r>
      <w:r>
        <w:tab/>
      </w:r>
      <w:r>
        <w:fldChar w:fldCharType="begin"/>
      </w:r>
      <w:r>
        <w:instrText xml:space="preserve"> PAGEREF _Toc21274 \h </w:instrText>
      </w:r>
      <w:r>
        <w:fldChar w:fldCharType="separate"/>
      </w:r>
      <w:r>
        <w:t>235</w:t>
      </w:r>
      <w:r>
        <w:fldChar w:fldCharType="end"/>
      </w:r>
    </w:p>
    <w:p>
      <w:pPr>
        <w:pStyle w:val="21"/>
        <w:tabs>
          <w:tab w:val="right" w:pos="2000"/>
          <w:tab w:val="right" w:leader="dot" w:pos="9641"/>
          <w:tab w:val="clear" w:pos="9639"/>
        </w:tabs>
      </w:pPr>
      <w:r>
        <w:t>A.3.5</w:t>
      </w:r>
      <w:r>
        <w:tab/>
      </w:r>
      <w:r>
        <w:rPr>
          <w:rFonts w:eastAsia="宋体"/>
          <w:lang w:val="en-US" w:eastAsia="zh-CN"/>
        </w:rPr>
        <w:t>FFS</w:t>
      </w:r>
      <w:r>
        <w:tab/>
      </w:r>
      <w:r>
        <w:fldChar w:fldCharType="begin"/>
      </w:r>
      <w:r>
        <w:instrText xml:space="preserve"> PAGEREF _Toc32075 \h </w:instrText>
      </w:r>
      <w:r>
        <w:fldChar w:fldCharType="separate"/>
      </w:r>
      <w:r>
        <w:t>235</w:t>
      </w:r>
      <w:r>
        <w:fldChar w:fldCharType="end"/>
      </w:r>
    </w:p>
    <w:p>
      <w:pPr>
        <w:pStyle w:val="21"/>
        <w:tabs>
          <w:tab w:val="right" w:pos="2000"/>
          <w:tab w:val="right" w:leader="dot" w:pos="9641"/>
          <w:tab w:val="clear" w:pos="9639"/>
        </w:tabs>
      </w:pPr>
      <w:r>
        <w:t>A.3.7</w:t>
      </w:r>
      <w:r>
        <w:tab/>
      </w:r>
      <w:r>
        <w:t>FFS</w:t>
      </w:r>
      <w:r>
        <w:tab/>
      </w:r>
      <w:r>
        <w:fldChar w:fldCharType="begin"/>
      </w:r>
      <w:r>
        <w:instrText xml:space="preserve"> PAGEREF _Toc11012 \h </w:instrText>
      </w:r>
      <w:r>
        <w:fldChar w:fldCharType="separate"/>
      </w:r>
      <w:r>
        <w:t>235</w:t>
      </w:r>
      <w:r>
        <w:fldChar w:fldCharType="end"/>
      </w:r>
    </w:p>
    <w:p>
      <w:pPr>
        <w:pStyle w:val="21"/>
        <w:tabs>
          <w:tab w:val="right" w:pos="2000"/>
          <w:tab w:val="right" w:leader="dot" w:pos="9641"/>
          <w:tab w:val="clear" w:pos="9639"/>
        </w:tabs>
      </w:pPr>
      <w:r>
        <w:t>A.3.8</w:t>
      </w:r>
      <w:r>
        <w:tab/>
      </w:r>
      <w:r>
        <w:t>FFS</w:t>
      </w:r>
      <w:r>
        <w:tab/>
      </w:r>
      <w:r>
        <w:fldChar w:fldCharType="begin"/>
      </w:r>
      <w:r>
        <w:instrText xml:space="preserve"> PAGEREF _Toc10341 \h </w:instrText>
      </w:r>
      <w:r>
        <w:fldChar w:fldCharType="separate"/>
      </w:r>
      <w:r>
        <w:t>235</w:t>
      </w:r>
      <w:r>
        <w:fldChar w:fldCharType="end"/>
      </w:r>
    </w:p>
    <w:p>
      <w:pPr>
        <w:pStyle w:val="21"/>
        <w:tabs>
          <w:tab w:val="right" w:pos="2000"/>
          <w:tab w:val="right" w:leader="dot" w:pos="9641"/>
          <w:tab w:val="clear" w:pos="9639"/>
        </w:tabs>
      </w:pPr>
      <w:r>
        <w:rPr>
          <w:rFonts w:eastAsia="MS Mincho"/>
        </w:rPr>
        <w:t>A.3.9</w:t>
      </w:r>
      <w:r>
        <w:rPr>
          <w:rFonts w:eastAsia="MS Mincho"/>
        </w:rPr>
        <w:tab/>
      </w:r>
      <w:r>
        <w:rPr>
          <w:rFonts w:hint="eastAsia" w:eastAsia="宋体"/>
          <w:lang w:val="en-US" w:eastAsia="zh-CN"/>
        </w:rPr>
        <w:t>FFS</w:t>
      </w:r>
      <w:r>
        <w:tab/>
      </w:r>
      <w:r>
        <w:fldChar w:fldCharType="begin"/>
      </w:r>
      <w:r>
        <w:instrText xml:space="preserve"> PAGEREF _Toc14928 \h </w:instrText>
      </w:r>
      <w:r>
        <w:fldChar w:fldCharType="separate"/>
      </w:r>
      <w:r>
        <w:t>235</w:t>
      </w:r>
      <w:r>
        <w:fldChar w:fldCharType="end"/>
      </w:r>
    </w:p>
    <w:p>
      <w:pPr>
        <w:pStyle w:val="21"/>
        <w:tabs>
          <w:tab w:val="right" w:pos="2400"/>
          <w:tab w:val="right" w:leader="dot" w:pos="9641"/>
          <w:tab w:val="clear" w:pos="9639"/>
        </w:tabs>
      </w:pPr>
      <w:r>
        <w:t>A</w:t>
      </w:r>
      <w:r>
        <w:rPr>
          <w:lang w:eastAsia="zh-CN"/>
        </w:rPr>
        <w:t>.</w:t>
      </w:r>
      <w:r>
        <w:t>3.10</w:t>
      </w:r>
      <w:r>
        <w:tab/>
      </w:r>
      <w:r>
        <w:rPr>
          <w:rFonts w:hint="eastAsia" w:eastAsia="宋体"/>
          <w:lang w:val="en-US" w:eastAsia="zh-CN"/>
        </w:rPr>
        <w:t>FFS</w:t>
      </w:r>
      <w:r>
        <w:tab/>
      </w:r>
      <w:r>
        <w:fldChar w:fldCharType="begin"/>
      </w:r>
      <w:r>
        <w:instrText xml:space="preserve"> PAGEREF _Toc19801 \h </w:instrText>
      </w:r>
      <w:r>
        <w:fldChar w:fldCharType="separate"/>
      </w:r>
      <w:r>
        <w:t>235</w:t>
      </w:r>
      <w:r>
        <w:fldChar w:fldCharType="end"/>
      </w:r>
    </w:p>
    <w:p>
      <w:pPr>
        <w:pStyle w:val="21"/>
        <w:tabs>
          <w:tab w:val="right" w:pos="2400"/>
          <w:tab w:val="right" w:leader="dot" w:pos="9641"/>
          <w:tab w:val="clear" w:pos="9639"/>
        </w:tabs>
      </w:pPr>
      <w:r>
        <w:t>A.3.</w:t>
      </w:r>
      <w:r>
        <w:rPr>
          <w:lang w:eastAsia="zh-CN"/>
        </w:rPr>
        <w:t>11</w:t>
      </w:r>
      <w:r>
        <w:tab/>
      </w:r>
      <w:r>
        <w:t xml:space="preserve">Reference Measurement Channels for </w:t>
      </w:r>
      <w:r>
        <w:rPr>
          <w:lang w:eastAsia="zh-CN"/>
        </w:rPr>
        <w:t>M</w:t>
      </w:r>
      <w:r>
        <w:t>PDCCH performance requirements</w:t>
      </w:r>
      <w:r>
        <w:tab/>
      </w:r>
      <w:r>
        <w:fldChar w:fldCharType="begin"/>
      </w:r>
      <w:r>
        <w:instrText xml:space="preserve"> PAGEREF _Toc17683 \h </w:instrText>
      </w:r>
      <w:r>
        <w:fldChar w:fldCharType="separate"/>
      </w:r>
      <w:r>
        <w:t>236</w:t>
      </w:r>
      <w:r>
        <w:fldChar w:fldCharType="end"/>
      </w:r>
    </w:p>
    <w:p>
      <w:pPr>
        <w:pStyle w:val="20"/>
        <w:tabs>
          <w:tab w:val="right" w:pos="2400"/>
          <w:tab w:val="right" w:leader="dot" w:pos="9641"/>
          <w:tab w:val="clear" w:pos="9639"/>
        </w:tabs>
      </w:pPr>
      <w:r>
        <w:rPr>
          <w:rFonts w:eastAsia="MS Mincho"/>
        </w:rPr>
        <w:t>A.3.</w:t>
      </w:r>
      <w:r>
        <w:rPr>
          <w:lang w:eastAsia="zh-CN"/>
        </w:rPr>
        <w:t>11</w:t>
      </w:r>
      <w:r>
        <w:rPr>
          <w:rFonts w:eastAsia="MS Mincho"/>
        </w:rPr>
        <w:t>.1</w:t>
      </w:r>
      <w:r>
        <w:rPr>
          <w:rFonts w:eastAsia="MS Mincho"/>
        </w:rPr>
        <w:tab/>
      </w:r>
      <w:r>
        <w:rPr>
          <w:rFonts w:eastAsia="MS Mincho"/>
        </w:rPr>
        <w:t>FDD and half-duplex FDD</w:t>
      </w:r>
      <w:r>
        <w:tab/>
      </w:r>
      <w:r>
        <w:fldChar w:fldCharType="begin"/>
      </w:r>
      <w:r>
        <w:instrText xml:space="preserve"> PAGEREF _Toc27095 \h </w:instrText>
      </w:r>
      <w:r>
        <w:fldChar w:fldCharType="separate"/>
      </w:r>
      <w:r>
        <w:t>236</w:t>
      </w:r>
      <w:r>
        <w:fldChar w:fldCharType="end"/>
      </w:r>
    </w:p>
    <w:p>
      <w:pPr>
        <w:pStyle w:val="21"/>
        <w:tabs>
          <w:tab w:val="right" w:pos="2400"/>
          <w:tab w:val="right" w:leader="dot" w:pos="9641"/>
          <w:tab w:val="clear" w:pos="9639"/>
        </w:tabs>
      </w:pPr>
      <w:r>
        <w:t>A.3.12</w:t>
      </w:r>
      <w:r>
        <w:tab/>
      </w:r>
      <w:r>
        <w:t>Reference measurement channels for NPDSCH performance requirements</w:t>
      </w:r>
      <w:r>
        <w:tab/>
      </w:r>
      <w:r>
        <w:fldChar w:fldCharType="begin"/>
      </w:r>
      <w:r>
        <w:instrText xml:space="preserve"> PAGEREF _Toc15461 \h </w:instrText>
      </w:r>
      <w:r>
        <w:fldChar w:fldCharType="separate"/>
      </w:r>
      <w:r>
        <w:t>236</w:t>
      </w:r>
      <w:r>
        <w:fldChar w:fldCharType="end"/>
      </w:r>
    </w:p>
    <w:p>
      <w:pPr>
        <w:pStyle w:val="22"/>
        <w:tabs>
          <w:tab w:val="right" w:pos="2000"/>
          <w:tab w:val="right" w:leader="dot" w:pos="9641"/>
          <w:tab w:val="clear" w:pos="9639"/>
        </w:tabs>
      </w:pPr>
      <w:r>
        <w:t>A.4</w:t>
      </w:r>
      <w:r>
        <w:tab/>
      </w:r>
      <w:r>
        <w:t>CQI reference measurement channels</w:t>
      </w:r>
      <w:r>
        <w:tab/>
      </w:r>
      <w:r>
        <w:fldChar w:fldCharType="begin"/>
      </w:r>
      <w:r>
        <w:instrText xml:space="preserve"> PAGEREF _Toc5145 \h </w:instrText>
      </w:r>
      <w:r>
        <w:fldChar w:fldCharType="separate"/>
      </w:r>
      <w:r>
        <w:t>238</w:t>
      </w:r>
      <w:r>
        <w:fldChar w:fldCharType="end"/>
      </w:r>
    </w:p>
    <w:p>
      <w:pPr>
        <w:pStyle w:val="22"/>
        <w:tabs>
          <w:tab w:val="right" w:pos="2000"/>
          <w:tab w:val="right" w:leader="dot" w:pos="9641"/>
          <w:tab w:val="clear" w:pos="9639"/>
        </w:tabs>
      </w:pPr>
      <w:r>
        <w:t>A.5</w:t>
      </w:r>
      <w:r>
        <w:tab/>
      </w:r>
      <w:r>
        <w:t>OFDMA Channel Noise Generator (OCNG)</w:t>
      </w:r>
      <w:r>
        <w:tab/>
      </w:r>
      <w:r>
        <w:fldChar w:fldCharType="begin"/>
      </w:r>
      <w:r>
        <w:instrText xml:space="preserve"> PAGEREF _Toc14142 \h </w:instrText>
      </w:r>
      <w:r>
        <w:fldChar w:fldCharType="separate"/>
      </w:r>
      <w:r>
        <w:t>238</w:t>
      </w:r>
      <w:r>
        <w:fldChar w:fldCharType="end"/>
      </w:r>
    </w:p>
    <w:p>
      <w:pPr>
        <w:pStyle w:val="21"/>
        <w:tabs>
          <w:tab w:val="right" w:pos="2000"/>
          <w:tab w:val="right" w:leader="dot" w:pos="9641"/>
          <w:tab w:val="clear" w:pos="9639"/>
        </w:tabs>
      </w:pPr>
      <w:r>
        <w:t>A.5.1</w:t>
      </w:r>
      <w:r>
        <w:tab/>
      </w:r>
      <w:r>
        <w:t>OCNG Patterns for FDD</w:t>
      </w:r>
      <w:r>
        <w:tab/>
      </w:r>
      <w:r>
        <w:fldChar w:fldCharType="begin"/>
      </w:r>
      <w:r>
        <w:instrText xml:space="preserve"> PAGEREF _Toc272 \h </w:instrText>
      </w:r>
      <w:r>
        <w:fldChar w:fldCharType="separate"/>
      </w:r>
      <w:r>
        <w:t>238</w:t>
      </w:r>
      <w:r>
        <w:fldChar w:fldCharType="end"/>
      </w:r>
    </w:p>
    <w:p>
      <w:pPr>
        <w:pStyle w:val="20"/>
        <w:tabs>
          <w:tab w:val="right" w:pos="2400"/>
          <w:tab w:val="right" w:leader="dot" w:pos="9641"/>
          <w:tab w:val="clear" w:pos="9639"/>
        </w:tabs>
      </w:pPr>
      <w:r>
        <w:rPr>
          <w:snapToGrid w:val="0"/>
        </w:rPr>
        <w:t>A.5.1.1</w:t>
      </w:r>
      <w:r>
        <w:rPr>
          <w:snapToGrid w:val="0"/>
        </w:rPr>
        <w:tab/>
      </w:r>
      <w:r>
        <w:rPr>
          <w:snapToGrid w:val="0"/>
        </w:rPr>
        <w:t>OCNG FDD pattern 1: One sided dynamic OCNG FDD pattern</w:t>
      </w:r>
      <w:r>
        <w:tab/>
      </w:r>
      <w:r>
        <w:fldChar w:fldCharType="begin"/>
      </w:r>
      <w:r>
        <w:instrText xml:space="preserve"> PAGEREF _Toc29624 \h </w:instrText>
      </w:r>
      <w:r>
        <w:fldChar w:fldCharType="separate"/>
      </w:r>
      <w:r>
        <w:t>238</w:t>
      </w:r>
      <w:r>
        <w:fldChar w:fldCharType="end"/>
      </w:r>
    </w:p>
    <w:p>
      <w:pPr>
        <w:pStyle w:val="20"/>
        <w:tabs>
          <w:tab w:val="right" w:pos="2400"/>
          <w:tab w:val="right" w:leader="dot" w:pos="9641"/>
          <w:tab w:val="clear" w:pos="9639"/>
        </w:tabs>
      </w:pPr>
      <w:r>
        <w:rPr>
          <w:snapToGrid w:val="0"/>
          <w:lang w:val="en-US" w:eastAsia="zh-TW"/>
        </w:rPr>
        <w:t>A</w:t>
      </w:r>
      <w:r>
        <w:rPr>
          <w:snapToGrid w:val="0"/>
          <w:lang w:val="en-US"/>
        </w:rPr>
        <w:t>.</w:t>
      </w:r>
      <w:r>
        <w:rPr>
          <w:rFonts w:eastAsia="宋体"/>
          <w:snapToGrid w:val="0"/>
          <w:lang w:val="en-US" w:eastAsia="zh-CN"/>
        </w:rPr>
        <w:t>5</w:t>
      </w:r>
      <w:r>
        <w:rPr>
          <w:snapToGrid w:val="0"/>
          <w:lang w:val="en-US"/>
        </w:rPr>
        <w:t>.</w:t>
      </w:r>
      <w:r>
        <w:rPr>
          <w:rFonts w:eastAsia="宋体"/>
          <w:snapToGrid w:val="0"/>
          <w:lang w:val="en-US" w:eastAsia="zh-CN"/>
        </w:rPr>
        <w:t>1</w:t>
      </w:r>
      <w:r>
        <w:rPr>
          <w:snapToGrid w:val="0"/>
          <w:lang w:val="en-US"/>
        </w:rPr>
        <w:t>.</w:t>
      </w:r>
      <w:r>
        <w:rPr>
          <w:snapToGrid w:val="0"/>
          <w:lang w:val="en-US" w:eastAsia="zh-CN"/>
        </w:rPr>
        <w:t>2</w:t>
      </w:r>
      <w:r>
        <w:rPr>
          <w:snapToGrid w:val="0"/>
          <w:lang w:val="en-US"/>
        </w:rPr>
        <w:tab/>
      </w:r>
      <w:r>
        <w:t xml:space="preserve">OCNG FDD Pattern </w:t>
      </w:r>
      <w:r>
        <w:rPr>
          <w:rFonts w:eastAsia="宋体"/>
          <w:lang w:val="en-US" w:eastAsia="zh-CN"/>
        </w:rPr>
        <w:t>2</w:t>
      </w:r>
      <w:r>
        <w:t>: Two sided dynamic OCNG FDD pattern</w:t>
      </w:r>
      <w:r>
        <w:tab/>
      </w:r>
      <w:r>
        <w:fldChar w:fldCharType="begin"/>
      </w:r>
      <w:r>
        <w:instrText xml:space="preserve"> PAGEREF _Toc25753 \h </w:instrText>
      </w:r>
      <w:r>
        <w:fldChar w:fldCharType="separate"/>
      </w:r>
      <w:r>
        <w:t>239</w:t>
      </w:r>
      <w:r>
        <w:fldChar w:fldCharType="end"/>
      </w:r>
    </w:p>
    <w:p>
      <w:pPr>
        <w:pStyle w:val="21"/>
        <w:tabs>
          <w:tab w:val="right" w:pos="2000"/>
          <w:tab w:val="right" w:leader="dot" w:pos="9641"/>
          <w:tab w:val="clear" w:pos="9639"/>
        </w:tabs>
      </w:pPr>
      <w:r>
        <w:t>A.5.2</w:t>
      </w:r>
      <w:r>
        <w:tab/>
      </w:r>
      <w:r>
        <w:rPr>
          <w:rFonts w:hint="eastAsia" w:eastAsia="宋体"/>
          <w:lang w:val="en-US" w:eastAsia="zh-CN"/>
        </w:rPr>
        <w:t>FFS</w:t>
      </w:r>
      <w:r>
        <w:tab/>
      </w:r>
      <w:r>
        <w:fldChar w:fldCharType="begin"/>
      </w:r>
      <w:r>
        <w:instrText xml:space="preserve"> PAGEREF _Toc19414 \h </w:instrText>
      </w:r>
      <w:r>
        <w:fldChar w:fldCharType="separate"/>
      </w:r>
      <w:r>
        <w:t>239</w:t>
      </w:r>
      <w:r>
        <w:fldChar w:fldCharType="end"/>
      </w:r>
    </w:p>
    <w:p>
      <w:pPr>
        <w:pStyle w:val="21"/>
        <w:tabs>
          <w:tab w:val="right" w:pos="2000"/>
          <w:tab w:val="right" w:leader="dot" w:pos="9641"/>
          <w:tab w:val="clear" w:pos="9639"/>
        </w:tabs>
      </w:pPr>
      <w:r>
        <w:t>A.5.3</w:t>
      </w:r>
      <w:r>
        <w:tab/>
      </w:r>
      <w:r>
        <w:t xml:space="preserve">OCNG Patterns for </w:t>
      </w:r>
      <w:r>
        <w:rPr>
          <w:lang w:eastAsia="zh-CN"/>
        </w:rPr>
        <w:t>Narrowband IoT</w:t>
      </w:r>
      <w:r>
        <w:tab/>
      </w:r>
      <w:r>
        <w:fldChar w:fldCharType="begin"/>
      </w:r>
      <w:r>
        <w:instrText xml:space="preserve"> PAGEREF _Toc27437 \h </w:instrText>
      </w:r>
      <w:r>
        <w:fldChar w:fldCharType="separate"/>
      </w:r>
      <w:r>
        <w:t>239</w:t>
      </w:r>
      <w:r>
        <w:fldChar w:fldCharType="end"/>
      </w:r>
    </w:p>
    <w:p>
      <w:pPr>
        <w:pStyle w:val="20"/>
        <w:tabs>
          <w:tab w:val="right" w:pos="2400"/>
          <w:tab w:val="right" w:leader="dot" w:pos="9641"/>
          <w:tab w:val="clear" w:pos="9639"/>
        </w:tabs>
      </w:pPr>
      <w:r>
        <w:rPr>
          <w:snapToGrid w:val="0"/>
        </w:rPr>
        <w:t>A.5.</w:t>
      </w:r>
      <w:r>
        <w:rPr>
          <w:snapToGrid w:val="0"/>
          <w:lang w:eastAsia="zh-CN"/>
        </w:rPr>
        <w:t>3</w:t>
      </w:r>
      <w:r>
        <w:rPr>
          <w:snapToGrid w:val="0"/>
        </w:rPr>
        <w:t>.1</w:t>
      </w:r>
      <w:r>
        <w:rPr>
          <w:snapToGrid w:val="0"/>
        </w:rPr>
        <w:tab/>
      </w:r>
      <w:r>
        <w:rPr>
          <w:lang w:eastAsia="zh-CN"/>
        </w:rPr>
        <w:t>Narrowband IoT</w:t>
      </w:r>
      <w:r>
        <w:rPr>
          <w:snapToGrid w:val="0"/>
        </w:rPr>
        <w:t xml:space="preserve"> OCNG pattern 1</w:t>
      </w:r>
      <w:r>
        <w:tab/>
      </w:r>
      <w:r>
        <w:fldChar w:fldCharType="begin"/>
      </w:r>
      <w:r>
        <w:instrText xml:space="preserve"> PAGEREF _Toc17906 \h </w:instrText>
      </w:r>
      <w:r>
        <w:fldChar w:fldCharType="separate"/>
      </w:r>
      <w:r>
        <w:t>240</w:t>
      </w:r>
      <w:r>
        <w:fldChar w:fldCharType="end"/>
      </w:r>
    </w:p>
    <w:p>
      <w:pPr>
        <w:pStyle w:val="22"/>
        <w:tabs>
          <w:tab w:val="right" w:pos="2000"/>
          <w:tab w:val="right" w:leader="dot" w:pos="9641"/>
          <w:tab w:val="clear" w:pos="9639"/>
        </w:tabs>
      </w:pPr>
      <w:r>
        <w:rPr>
          <w:rFonts w:eastAsia="宋体"/>
        </w:rPr>
        <w:t>A.6</w:t>
      </w:r>
      <w:r>
        <w:rPr>
          <w:rFonts w:eastAsia="宋体"/>
          <w:snapToGrid w:val="0"/>
        </w:rPr>
        <w:tab/>
      </w:r>
      <w:r>
        <w:rPr>
          <w:rFonts w:eastAsia="宋体"/>
        </w:rPr>
        <w:t>Testing related to Satellite Access</w:t>
      </w:r>
      <w:r>
        <w:tab/>
      </w:r>
      <w:r>
        <w:fldChar w:fldCharType="begin"/>
      </w:r>
      <w:r>
        <w:instrText xml:space="preserve"> PAGEREF _Toc9080 \h </w:instrText>
      </w:r>
      <w:r>
        <w:fldChar w:fldCharType="separate"/>
      </w:r>
      <w:r>
        <w:t>240</w:t>
      </w:r>
      <w:r>
        <w:fldChar w:fldCharType="end"/>
      </w:r>
    </w:p>
    <w:p>
      <w:pPr>
        <w:pStyle w:val="21"/>
        <w:tabs>
          <w:tab w:val="right" w:pos="2000"/>
          <w:tab w:val="right" w:leader="dot" w:pos="9641"/>
          <w:tab w:val="clear" w:pos="9639"/>
        </w:tabs>
      </w:pPr>
      <w:r>
        <w:rPr>
          <w:rFonts w:eastAsia="宋体"/>
        </w:rPr>
        <w:t>A.6.1</w:t>
      </w:r>
      <w:r>
        <w:rPr>
          <w:rFonts w:eastAsia="宋体"/>
          <w:snapToGrid w:val="0"/>
        </w:rPr>
        <w:tab/>
      </w:r>
      <w:r>
        <w:rPr>
          <w:rFonts w:eastAsia="宋体"/>
        </w:rPr>
        <w:t>General</w:t>
      </w:r>
      <w:r>
        <w:tab/>
      </w:r>
      <w:r>
        <w:fldChar w:fldCharType="begin"/>
      </w:r>
      <w:r>
        <w:instrText xml:space="preserve"> PAGEREF _Toc14547 \h </w:instrText>
      </w:r>
      <w:r>
        <w:fldChar w:fldCharType="separate"/>
      </w:r>
      <w:r>
        <w:t>240</w:t>
      </w:r>
      <w:r>
        <w:fldChar w:fldCharType="end"/>
      </w:r>
    </w:p>
    <w:p>
      <w:pPr>
        <w:pStyle w:val="21"/>
        <w:tabs>
          <w:tab w:val="right" w:pos="2000"/>
          <w:tab w:val="right" w:leader="dot" w:pos="9641"/>
          <w:tab w:val="clear" w:pos="9639"/>
        </w:tabs>
      </w:pPr>
      <w:r>
        <w:rPr>
          <w:rFonts w:eastAsia="宋体"/>
        </w:rPr>
        <w:t>A.6.2</w:t>
      </w:r>
      <w:r>
        <w:rPr>
          <w:rFonts w:eastAsia="宋体"/>
          <w:snapToGrid w:val="0"/>
        </w:rPr>
        <w:tab/>
      </w:r>
      <w:r>
        <w:rPr>
          <w:rFonts w:eastAsia="宋体"/>
        </w:rPr>
        <w:t>Test condition for transmitter characteristics</w:t>
      </w:r>
      <w:r>
        <w:tab/>
      </w:r>
      <w:r>
        <w:fldChar w:fldCharType="begin"/>
      </w:r>
      <w:r>
        <w:instrText xml:space="preserve"> PAGEREF _Toc18610 \h </w:instrText>
      </w:r>
      <w:r>
        <w:fldChar w:fldCharType="separate"/>
      </w:r>
      <w:r>
        <w:t>240</w:t>
      </w:r>
      <w:r>
        <w:fldChar w:fldCharType="end"/>
      </w:r>
    </w:p>
    <w:p>
      <w:pPr>
        <w:pStyle w:val="21"/>
        <w:tabs>
          <w:tab w:val="right" w:pos="2000"/>
          <w:tab w:val="right" w:leader="dot" w:pos="9641"/>
          <w:tab w:val="clear" w:pos="9639"/>
        </w:tabs>
      </w:pPr>
      <w:r>
        <w:rPr>
          <w:rFonts w:eastAsia="宋体"/>
        </w:rPr>
        <w:t>A.6.3</w:t>
      </w:r>
      <w:r>
        <w:rPr>
          <w:rFonts w:eastAsia="宋体"/>
          <w:snapToGrid w:val="0"/>
        </w:rPr>
        <w:tab/>
      </w:r>
      <w:r>
        <w:rPr>
          <w:rFonts w:eastAsia="宋体"/>
        </w:rPr>
        <w:t>Test condition for receiver characteristics</w:t>
      </w:r>
      <w:r>
        <w:tab/>
      </w:r>
      <w:r>
        <w:fldChar w:fldCharType="begin"/>
      </w:r>
      <w:r>
        <w:instrText xml:space="preserve"> PAGEREF _Toc23604 \h </w:instrText>
      </w:r>
      <w:r>
        <w:fldChar w:fldCharType="separate"/>
      </w:r>
      <w:r>
        <w:t>240</w:t>
      </w:r>
      <w:r>
        <w:fldChar w:fldCharType="end"/>
      </w:r>
    </w:p>
    <w:p>
      <w:pPr>
        <w:pStyle w:val="21"/>
        <w:tabs>
          <w:tab w:val="right" w:pos="2000"/>
          <w:tab w:val="right" w:leader="dot" w:pos="9641"/>
          <w:tab w:val="clear" w:pos="9639"/>
        </w:tabs>
      </w:pPr>
      <w:r>
        <w:rPr>
          <w:rFonts w:eastAsia="宋体"/>
        </w:rPr>
        <w:t>A.6.4</w:t>
      </w:r>
      <w:r>
        <w:rPr>
          <w:rFonts w:eastAsia="宋体"/>
          <w:snapToGrid w:val="0"/>
        </w:rPr>
        <w:tab/>
      </w:r>
      <w:r>
        <w:rPr>
          <w:rFonts w:eastAsia="宋体"/>
        </w:rPr>
        <w:t>Test condition for performance requirements</w:t>
      </w:r>
      <w:r>
        <w:tab/>
      </w:r>
      <w:r>
        <w:fldChar w:fldCharType="begin"/>
      </w:r>
      <w:r>
        <w:instrText xml:space="preserve"> PAGEREF _Toc32638 \h </w:instrText>
      </w:r>
      <w:r>
        <w:fldChar w:fldCharType="separate"/>
      </w:r>
      <w:r>
        <w:t>241</w:t>
      </w:r>
      <w:r>
        <w:fldChar w:fldCharType="end"/>
      </w:r>
    </w:p>
    <w:p>
      <w:pPr>
        <w:pStyle w:val="54"/>
        <w:tabs>
          <w:tab w:val="right" w:leader="dot" w:pos="9641"/>
          <w:tab w:val="clear" w:pos="9639"/>
        </w:tabs>
      </w:pPr>
      <w:r>
        <w:t>Annex B (</w:t>
      </w:r>
      <w:r>
        <w:rPr>
          <w:lang w:eastAsia="en-GB"/>
        </w:rPr>
        <w:t>normative</w:t>
      </w:r>
      <w:r>
        <w:t>): Propagation Conditions</w:t>
      </w:r>
      <w:r>
        <w:tab/>
      </w:r>
      <w:r>
        <w:fldChar w:fldCharType="begin"/>
      </w:r>
      <w:r>
        <w:instrText xml:space="preserve"> PAGEREF _Toc18081 \h </w:instrText>
      </w:r>
      <w:r>
        <w:fldChar w:fldCharType="separate"/>
      </w:r>
      <w:r>
        <w:t>241</w:t>
      </w:r>
      <w:r>
        <w:fldChar w:fldCharType="end"/>
      </w:r>
    </w:p>
    <w:p>
      <w:pPr>
        <w:pStyle w:val="22"/>
        <w:tabs>
          <w:tab w:val="right" w:pos="2000"/>
          <w:tab w:val="right" w:leader="dot" w:pos="9641"/>
          <w:tab w:val="clear" w:pos="9639"/>
        </w:tabs>
      </w:pPr>
      <w:r>
        <w:t>B.0</w:t>
      </w:r>
      <w:r>
        <w:tab/>
      </w:r>
      <w:r>
        <w:t>No interference</w:t>
      </w:r>
      <w:r>
        <w:tab/>
      </w:r>
      <w:r>
        <w:fldChar w:fldCharType="begin"/>
      </w:r>
      <w:r>
        <w:instrText xml:space="preserve"> PAGEREF _Toc16101 \h </w:instrText>
      </w:r>
      <w:r>
        <w:fldChar w:fldCharType="separate"/>
      </w:r>
      <w:r>
        <w:t>241</w:t>
      </w:r>
      <w:r>
        <w:fldChar w:fldCharType="end"/>
      </w:r>
    </w:p>
    <w:p>
      <w:pPr>
        <w:pStyle w:val="22"/>
        <w:tabs>
          <w:tab w:val="right" w:pos="2000"/>
          <w:tab w:val="right" w:leader="dot" w:pos="9641"/>
          <w:tab w:val="clear" w:pos="9639"/>
        </w:tabs>
      </w:pPr>
      <w:r>
        <w:t>B.1</w:t>
      </w:r>
      <w:r>
        <w:tab/>
      </w:r>
      <w:r>
        <w:t>Static propagation condition</w:t>
      </w:r>
      <w:r>
        <w:tab/>
      </w:r>
      <w:r>
        <w:fldChar w:fldCharType="begin"/>
      </w:r>
      <w:r>
        <w:instrText xml:space="preserve"> PAGEREF _Toc2814 \h </w:instrText>
      </w:r>
      <w:r>
        <w:fldChar w:fldCharType="separate"/>
      </w:r>
      <w:r>
        <w:t>241</w:t>
      </w:r>
      <w:r>
        <w:fldChar w:fldCharType="end"/>
      </w:r>
    </w:p>
    <w:p>
      <w:pPr>
        <w:pStyle w:val="21"/>
        <w:tabs>
          <w:tab w:val="right" w:pos="2000"/>
          <w:tab w:val="right" w:leader="dot" w:pos="9641"/>
          <w:tab w:val="clear" w:pos="9639"/>
        </w:tabs>
      </w:pPr>
      <w:r>
        <w:t>B.1.1</w:t>
      </w:r>
      <w:r>
        <w:tab/>
      </w:r>
      <w:r>
        <w:t>Definition of Additive White Gaussian Noise (AWGN) Interferer</w:t>
      </w:r>
      <w:r>
        <w:tab/>
      </w:r>
      <w:r>
        <w:fldChar w:fldCharType="begin"/>
      </w:r>
      <w:r>
        <w:instrText xml:space="preserve"> PAGEREF _Toc28214 \h </w:instrText>
      </w:r>
      <w:r>
        <w:fldChar w:fldCharType="separate"/>
      </w:r>
      <w:r>
        <w:t>241</w:t>
      </w:r>
      <w:r>
        <w:fldChar w:fldCharType="end"/>
      </w:r>
    </w:p>
    <w:p>
      <w:pPr>
        <w:pStyle w:val="22"/>
        <w:tabs>
          <w:tab w:val="right" w:pos="2000"/>
          <w:tab w:val="right" w:leader="dot" w:pos="9641"/>
          <w:tab w:val="clear" w:pos="9639"/>
        </w:tabs>
      </w:pPr>
      <w:r>
        <w:t>B.2</w:t>
      </w:r>
      <w:r>
        <w:tab/>
      </w:r>
      <w:r>
        <w:t>Multi-path fading Propagation Conditions</w:t>
      </w:r>
      <w:r>
        <w:tab/>
      </w:r>
      <w:r>
        <w:fldChar w:fldCharType="begin"/>
      </w:r>
      <w:r>
        <w:instrText xml:space="preserve"> PAGEREF _Toc31600 \h </w:instrText>
      </w:r>
      <w:r>
        <w:fldChar w:fldCharType="separate"/>
      </w:r>
      <w:r>
        <w:t>241</w:t>
      </w:r>
      <w:r>
        <w:fldChar w:fldCharType="end"/>
      </w:r>
    </w:p>
    <w:p>
      <w:pPr>
        <w:pStyle w:val="21"/>
        <w:tabs>
          <w:tab w:val="right" w:pos="2000"/>
          <w:tab w:val="right" w:leader="dot" w:pos="9641"/>
          <w:tab w:val="clear" w:pos="9639"/>
        </w:tabs>
      </w:pPr>
      <w:r>
        <w:rPr>
          <w:snapToGrid w:val="0"/>
        </w:rPr>
        <w:t>B.2.1</w:t>
      </w:r>
      <w:r>
        <w:rPr>
          <w:snapToGrid w:val="0"/>
        </w:rPr>
        <w:tab/>
      </w:r>
      <w:r>
        <w:rPr>
          <w:snapToGrid w:val="0"/>
        </w:rPr>
        <w:t>Delay profiles</w:t>
      </w:r>
      <w:r>
        <w:tab/>
      </w:r>
      <w:r>
        <w:fldChar w:fldCharType="begin"/>
      </w:r>
      <w:r>
        <w:instrText xml:space="preserve"> PAGEREF _Toc18124 \h </w:instrText>
      </w:r>
      <w:r>
        <w:fldChar w:fldCharType="separate"/>
      </w:r>
      <w:r>
        <w:t>241</w:t>
      </w:r>
      <w:r>
        <w:fldChar w:fldCharType="end"/>
      </w:r>
    </w:p>
    <w:p>
      <w:pPr>
        <w:pStyle w:val="21"/>
        <w:tabs>
          <w:tab w:val="right" w:pos="2000"/>
          <w:tab w:val="right" w:leader="dot" w:pos="9641"/>
          <w:tab w:val="clear" w:pos="9639"/>
        </w:tabs>
      </w:pPr>
      <w:r>
        <w:t>B.2.2</w:t>
      </w:r>
      <w:r>
        <w:tab/>
      </w:r>
      <w:r>
        <w:t>Combinations of channel model parameters</w:t>
      </w:r>
      <w:r>
        <w:tab/>
      </w:r>
      <w:r>
        <w:fldChar w:fldCharType="begin"/>
      </w:r>
      <w:r>
        <w:instrText xml:space="preserve"> PAGEREF _Toc1164 \h </w:instrText>
      </w:r>
      <w:r>
        <w:fldChar w:fldCharType="separate"/>
      </w:r>
      <w:r>
        <w:t>243</w:t>
      </w:r>
      <w:r>
        <w:fldChar w:fldCharType="end"/>
      </w:r>
    </w:p>
    <w:p>
      <w:pPr>
        <w:pStyle w:val="54"/>
        <w:tabs>
          <w:tab w:val="right" w:leader="dot" w:pos="9641"/>
          <w:tab w:val="clear" w:pos="9639"/>
        </w:tabs>
      </w:pPr>
      <w:r>
        <w:t>Annex C (</w:t>
      </w:r>
      <w:r>
        <w:rPr>
          <w:lang w:eastAsia="en-GB"/>
        </w:rPr>
        <w:t>normative</w:t>
      </w:r>
      <w:r>
        <w:t>): Downlink Physical Channels</w:t>
      </w:r>
      <w:r>
        <w:tab/>
      </w:r>
      <w:r>
        <w:fldChar w:fldCharType="begin"/>
      </w:r>
      <w:r>
        <w:instrText xml:space="preserve"> PAGEREF _Toc27376 \h </w:instrText>
      </w:r>
      <w:r>
        <w:fldChar w:fldCharType="separate"/>
      </w:r>
      <w:r>
        <w:t>243</w:t>
      </w:r>
      <w:r>
        <w:fldChar w:fldCharType="end"/>
      </w:r>
    </w:p>
    <w:p>
      <w:pPr>
        <w:pStyle w:val="22"/>
        <w:tabs>
          <w:tab w:val="right" w:pos="2000"/>
          <w:tab w:val="right" w:leader="dot" w:pos="9641"/>
          <w:tab w:val="clear" w:pos="9639"/>
        </w:tabs>
      </w:pPr>
      <w:r>
        <w:t>C.0</w:t>
      </w:r>
      <w:r>
        <w:tab/>
      </w:r>
      <w:r>
        <w:t>Downlink signal levels</w:t>
      </w:r>
      <w:r>
        <w:tab/>
      </w:r>
      <w:r>
        <w:fldChar w:fldCharType="begin"/>
      </w:r>
      <w:r>
        <w:instrText xml:space="preserve"> PAGEREF _Toc19941 \h </w:instrText>
      </w:r>
      <w:r>
        <w:fldChar w:fldCharType="separate"/>
      </w:r>
      <w:r>
        <w:t>243</w:t>
      </w:r>
      <w:r>
        <w:fldChar w:fldCharType="end"/>
      </w:r>
    </w:p>
    <w:p>
      <w:pPr>
        <w:pStyle w:val="22"/>
        <w:tabs>
          <w:tab w:val="right" w:pos="2000"/>
          <w:tab w:val="right" w:leader="dot" w:pos="9641"/>
          <w:tab w:val="clear" w:pos="9639"/>
        </w:tabs>
      </w:pPr>
      <w:r>
        <w:t>C.1</w:t>
      </w:r>
      <w:r>
        <w:tab/>
      </w:r>
      <w:r>
        <w:t>General</w:t>
      </w:r>
      <w:r>
        <w:tab/>
      </w:r>
      <w:r>
        <w:fldChar w:fldCharType="begin"/>
      </w:r>
      <w:r>
        <w:instrText xml:space="preserve"> PAGEREF _Toc18101 \h </w:instrText>
      </w:r>
      <w:r>
        <w:fldChar w:fldCharType="separate"/>
      </w:r>
      <w:r>
        <w:t>244</w:t>
      </w:r>
      <w:r>
        <w:fldChar w:fldCharType="end"/>
      </w:r>
    </w:p>
    <w:p>
      <w:pPr>
        <w:pStyle w:val="22"/>
        <w:tabs>
          <w:tab w:val="right" w:pos="2000"/>
          <w:tab w:val="right" w:leader="dot" w:pos="9641"/>
          <w:tab w:val="clear" w:pos="9639"/>
        </w:tabs>
      </w:pPr>
      <w:r>
        <w:t>C.2</w:t>
      </w:r>
      <w:r>
        <w:tab/>
      </w:r>
      <w:r>
        <w:t>Set-up</w:t>
      </w:r>
      <w:r>
        <w:tab/>
      </w:r>
      <w:r>
        <w:fldChar w:fldCharType="begin"/>
      </w:r>
      <w:r>
        <w:instrText xml:space="preserve"> PAGEREF _Toc27496 \h </w:instrText>
      </w:r>
      <w:r>
        <w:fldChar w:fldCharType="separate"/>
      </w:r>
      <w:r>
        <w:t>248</w:t>
      </w:r>
      <w:r>
        <w:fldChar w:fldCharType="end"/>
      </w:r>
    </w:p>
    <w:p>
      <w:pPr>
        <w:pStyle w:val="22"/>
        <w:tabs>
          <w:tab w:val="right" w:pos="2000"/>
          <w:tab w:val="right" w:leader="dot" w:pos="9641"/>
          <w:tab w:val="clear" w:pos="9639"/>
        </w:tabs>
      </w:pPr>
      <w:r>
        <w:t>C.3</w:t>
      </w:r>
      <w:r>
        <w:tab/>
      </w:r>
      <w:r>
        <w:t>Connection</w:t>
      </w:r>
      <w:r>
        <w:tab/>
      </w:r>
      <w:r>
        <w:fldChar w:fldCharType="begin"/>
      </w:r>
      <w:r>
        <w:instrText xml:space="preserve"> PAGEREF _Toc13145 \h </w:instrText>
      </w:r>
      <w:r>
        <w:fldChar w:fldCharType="separate"/>
      </w:r>
      <w:r>
        <w:t>249</w:t>
      </w:r>
      <w:r>
        <w:fldChar w:fldCharType="end"/>
      </w:r>
    </w:p>
    <w:p>
      <w:pPr>
        <w:pStyle w:val="21"/>
        <w:tabs>
          <w:tab w:val="right" w:pos="2000"/>
          <w:tab w:val="right" w:leader="dot" w:pos="9641"/>
          <w:tab w:val="clear" w:pos="9639"/>
        </w:tabs>
      </w:pPr>
      <w:r>
        <w:t>C.3.0</w:t>
      </w:r>
      <w:r>
        <w:tab/>
      </w:r>
      <w:r>
        <w:t>Measurement of Transmitter Characteristics</w:t>
      </w:r>
      <w:r>
        <w:tab/>
      </w:r>
      <w:r>
        <w:fldChar w:fldCharType="begin"/>
      </w:r>
      <w:r>
        <w:instrText xml:space="preserve"> PAGEREF _Toc20248 \h </w:instrText>
      </w:r>
      <w:r>
        <w:fldChar w:fldCharType="separate"/>
      </w:r>
      <w:r>
        <w:t>249</w:t>
      </w:r>
      <w:r>
        <w:fldChar w:fldCharType="end"/>
      </w:r>
    </w:p>
    <w:p>
      <w:pPr>
        <w:pStyle w:val="21"/>
        <w:tabs>
          <w:tab w:val="right" w:pos="2000"/>
          <w:tab w:val="right" w:leader="dot" w:pos="9641"/>
          <w:tab w:val="clear" w:pos="9639"/>
        </w:tabs>
      </w:pPr>
      <w:r>
        <w:t>C.3.1</w:t>
      </w:r>
      <w:r>
        <w:tab/>
      </w:r>
      <w:r>
        <w:t>Measurement of Receiver Characteristics</w:t>
      </w:r>
      <w:r>
        <w:tab/>
      </w:r>
      <w:r>
        <w:fldChar w:fldCharType="begin"/>
      </w:r>
      <w:r>
        <w:instrText xml:space="preserve"> PAGEREF _Toc8211 \h </w:instrText>
      </w:r>
      <w:r>
        <w:fldChar w:fldCharType="separate"/>
      </w:r>
      <w:r>
        <w:t>250</w:t>
      </w:r>
      <w:r>
        <w:fldChar w:fldCharType="end"/>
      </w:r>
    </w:p>
    <w:p>
      <w:pPr>
        <w:pStyle w:val="21"/>
        <w:tabs>
          <w:tab w:val="right" w:pos="2000"/>
          <w:tab w:val="right" w:leader="dot" w:pos="9641"/>
          <w:tab w:val="clear" w:pos="9639"/>
        </w:tabs>
      </w:pPr>
      <w:r>
        <w:t>C.3.2</w:t>
      </w:r>
      <w:r>
        <w:tab/>
      </w:r>
      <w:r>
        <w:t>Measurement of Performance requirements</w:t>
      </w:r>
      <w:r>
        <w:tab/>
      </w:r>
      <w:r>
        <w:fldChar w:fldCharType="begin"/>
      </w:r>
      <w:r>
        <w:instrText xml:space="preserve"> PAGEREF _Toc941 \h </w:instrText>
      </w:r>
      <w:r>
        <w:fldChar w:fldCharType="separate"/>
      </w:r>
      <w:r>
        <w:t>251</w:t>
      </w:r>
      <w:r>
        <w:fldChar w:fldCharType="end"/>
      </w:r>
    </w:p>
    <w:p>
      <w:pPr>
        <w:pStyle w:val="21"/>
        <w:tabs>
          <w:tab w:val="right" w:pos="2000"/>
          <w:tab w:val="right" w:leader="dot" w:pos="9641"/>
          <w:tab w:val="clear" w:pos="9639"/>
        </w:tabs>
      </w:pPr>
      <w:r>
        <w:rPr>
          <w:rFonts w:eastAsia="宋体"/>
          <w:lang w:val="en-US" w:eastAsia="zh-CN"/>
        </w:rPr>
        <w:t>C</w:t>
      </w:r>
      <w:r>
        <w:rPr>
          <w:lang w:val="en-US"/>
        </w:rPr>
        <w:t>.3.3</w:t>
      </w:r>
      <w:r>
        <w:rPr>
          <w:lang w:val="en-US"/>
        </w:rPr>
        <w:tab/>
      </w:r>
      <w:r>
        <w:rPr>
          <w:lang w:val="en-US"/>
        </w:rPr>
        <w:t>Measurement of Receiver Characteristics for Narrowband IoT</w:t>
      </w:r>
      <w:r>
        <w:tab/>
      </w:r>
      <w:r>
        <w:fldChar w:fldCharType="begin"/>
      </w:r>
      <w:r>
        <w:instrText xml:space="preserve"> PAGEREF _Toc19375 \h </w:instrText>
      </w:r>
      <w:r>
        <w:fldChar w:fldCharType="separate"/>
      </w:r>
      <w:r>
        <w:t>252</w:t>
      </w:r>
      <w:r>
        <w:fldChar w:fldCharType="end"/>
      </w:r>
    </w:p>
    <w:p>
      <w:pPr>
        <w:pStyle w:val="54"/>
        <w:tabs>
          <w:tab w:val="right" w:leader="dot" w:pos="9641"/>
          <w:tab w:val="clear" w:pos="9639"/>
        </w:tabs>
      </w:pPr>
      <w:r>
        <w:t>Annex D (</w:t>
      </w:r>
      <w:r>
        <w:rPr>
          <w:lang w:eastAsia="en-GB"/>
        </w:rPr>
        <w:t>normative</w:t>
      </w:r>
      <w:r>
        <w:t>): Characteristics of the Interfering Signal</w:t>
      </w:r>
      <w:r>
        <w:tab/>
      </w:r>
      <w:r>
        <w:fldChar w:fldCharType="begin"/>
      </w:r>
      <w:r>
        <w:instrText xml:space="preserve"> PAGEREF _Toc30698 \h </w:instrText>
      </w:r>
      <w:r>
        <w:fldChar w:fldCharType="separate"/>
      </w:r>
      <w:r>
        <w:t>252</w:t>
      </w:r>
      <w:r>
        <w:fldChar w:fldCharType="end"/>
      </w:r>
    </w:p>
    <w:p>
      <w:pPr>
        <w:pStyle w:val="22"/>
        <w:tabs>
          <w:tab w:val="right" w:pos="2000"/>
          <w:tab w:val="right" w:leader="dot" w:pos="9641"/>
          <w:tab w:val="clear" w:pos="9639"/>
        </w:tabs>
      </w:pPr>
      <w:r>
        <w:t>D.1</w:t>
      </w:r>
      <w:r>
        <w:tab/>
      </w:r>
      <w:r>
        <w:t>General</w:t>
      </w:r>
      <w:r>
        <w:tab/>
      </w:r>
      <w:r>
        <w:fldChar w:fldCharType="begin"/>
      </w:r>
      <w:r>
        <w:instrText xml:space="preserve"> PAGEREF _Toc4196 \h </w:instrText>
      </w:r>
      <w:r>
        <w:fldChar w:fldCharType="separate"/>
      </w:r>
      <w:r>
        <w:t>252</w:t>
      </w:r>
      <w:r>
        <w:fldChar w:fldCharType="end"/>
      </w:r>
    </w:p>
    <w:p>
      <w:pPr>
        <w:pStyle w:val="22"/>
        <w:tabs>
          <w:tab w:val="right" w:pos="2000"/>
          <w:tab w:val="right" w:leader="dot" w:pos="9641"/>
          <w:tab w:val="clear" w:pos="9639"/>
        </w:tabs>
      </w:pPr>
      <w:r>
        <w:t>D.2</w:t>
      </w:r>
      <w:r>
        <w:tab/>
      </w:r>
      <w:r>
        <w:t>Interference signals</w:t>
      </w:r>
      <w:r>
        <w:tab/>
      </w:r>
      <w:r>
        <w:fldChar w:fldCharType="begin"/>
      </w:r>
      <w:r>
        <w:instrText xml:space="preserve"> PAGEREF _Toc12709 \h </w:instrText>
      </w:r>
      <w:r>
        <w:fldChar w:fldCharType="separate"/>
      </w:r>
      <w:r>
        <w:t>252</w:t>
      </w:r>
      <w:r>
        <w:fldChar w:fldCharType="end"/>
      </w:r>
    </w:p>
    <w:p>
      <w:pPr>
        <w:pStyle w:val="54"/>
        <w:tabs>
          <w:tab w:val="right" w:leader="dot" w:pos="9641"/>
          <w:tab w:val="clear" w:pos="9639"/>
        </w:tabs>
      </w:pPr>
      <w:r>
        <w:t>Annex E (no</w:t>
      </w:r>
      <w:r>
        <w:rPr>
          <w:lang w:eastAsia="en-GB"/>
        </w:rPr>
        <w:t>rmative</w:t>
      </w:r>
      <w:r>
        <w:t>): Global In-Channel TX-Test</w:t>
      </w:r>
      <w:r>
        <w:tab/>
      </w:r>
      <w:r>
        <w:fldChar w:fldCharType="begin"/>
      </w:r>
      <w:r>
        <w:instrText xml:space="preserve"> PAGEREF _Toc1860 \h </w:instrText>
      </w:r>
      <w:r>
        <w:fldChar w:fldCharType="separate"/>
      </w:r>
      <w:r>
        <w:t>253</w:t>
      </w:r>
      <w:r>
        <w:fldChar w:fldCharType="end"/>
      </w:r>
    </w:p>
    <w:p>
      <w:pPr>
        <w:pStyle w:val="22"/>
        <w:tabs>
          <w:tab w:val="right" w:pos="2000"/>
          <w:tab w:val="right" w:leader="dot" w:pos="9641"/>
          <w:tab w:val="clear" w:pos="9639"/>
        </w:tabs>
      </w:pPr>
      <w:r>
        <w:rPr>
          <w:snapToGrid w:val="0"/>
        </w:rPr>
        <w:t>E.1</w:t>
      </w:r>
      <w:r>
        <w:rPr>
          <w:snapToGrid w:val="0"/>
        </w:rPr>
        <w:tab/>
      </w:r>
      <w:r>
        <w:rPr>
          <w:snapToGrid w:val="0"/>
        </w:rPr>
        <w:t>General</w:t>
      </w:r>
      <w:r>
        <w:tab/>
      </w:r>
      <w:r>
        <w:fldChar w:fldCharType="begin"/>
      </w:r>
      <w:r>
        <w:instrText xml:space="preserve"> PAGEREF _Toc11763 \h </w:instrText>
      </w:r>
      <w:r>
        <w:fldChar w:fldCharType="separate"/>
      </w:r>
      <w:r>
        <w:t>253</w:t>
      </w:r>
      <w:r>
        <w:fldChar w:fldCharType="end"/>
      </w:r>
    </w:p>
    <w:p>
      <w:pPr>
        <w:pStyle w:val="22"/>
        <w:tabs>
          <w:tab w:val="right" w:pos="2000"/>
          <w:tab w:val="right" w:leader="dot" w:pos="9641"/>
          <w:tab w:val="clear" w:pos="9639"/>
        </w:tabs>
      </w:pPr>
      <w:r>
        <w:t>E.2</w:t>
      </w:r>
      <w:r>
        <w:tab/>
      </w:r>
      <w:r>
        <w:t>Signals and results</w:t>
      </w:r>
      <w:r>
        <w:tab/>
      </w:r>
      <w:r>
        <w:fldChar w:fldCharType="begin"/>
      </w:r>
      <w:r>
        <w:instrText xml:space="preserve"> PAGEREF _Toc2096 \h </w:instrText>
      </w:r>
      <w:r>
        <w:fldChar w:fldCharType="separate"/>
      </w:r>
      <w:r>
        <w:t>253</w:t>
      </w:r>
      <w:r>
        <w:fldChar w:fldCharType="end"/>
      </w:r>
    </w:p>
    <w:p>
      <w:pPr>
        <w:pStyle w:val="21"/>
        <w:tabs>
          <w:tab w:val="right" w:pos="2000"/>
          <w:tab w:val="right" w:leader="dot" w:pos="9641"/>
          <w:tab w:val="clear" w:pos="9639"/>
        </w:tabs>
      </w:pPr>
      <w:r>
        <w:t>E.2.1</w:t>
      </w:r>
      <w:r>
        <w:tab/>
      </w:r>
      <w:r>
        <w:t>Basic principle</w:t>
      </w:r>
      <w:r>
        <w:tab/>
      </w:r>
      <w:r>
        <w:fldChar w:fldCharType="begin"/>
      </w:r>
      <w:r>
        <w:instrText xml:space="preserve"> PAGEREF _Toc32713 \h </w:instrText>
      </w:r>
      <w:r>
        <w:fldChar w:fldCharType="separate"/>
      </w:r>
      <w:r>
        <w:t>253</w:t>
      </w:r>
      <w:r>
        <w:fldChar w:fldCharType="end"/>
      </w:r>
    </w:p>
    <w:p>
      <w:pPr>
        <w:pStyle w:val="21"/>
        <w:tabs>
          <w:tab w:val="right" w:pos="2000"/>
          <w:tab w:val="right" w:leader="dot" w:pos="9641"/>
          <w:tab w:val="clear" w:pos="9639"/>
        </w:tabs>
      </w:pPr>
      <w:r>
        <w:t>E.2.2</w:t>
      </w:r>
      <w:r>
        <w:tab/>
      </w:r>
      <w:r>
        <w:t>Output signal of the TX under test</w:t>
      </w:r>
      <w:r>
        <w:tab/>
      </w:r>
      <w:r>
        <w:fldChar w:fldCharType="begin"/>
      </w:r>
      <w:r>
        <w:instrText xml:space="preserve"> PAGEREF _Toc29310 \h </w:instrText>
      </w:r>
      <w:r>
        <w:fldChar w:fldCharType="separate"/>
      </w:r>
      <w:r>
        <w:t>253</w:t>
      </w:r>
      <w:r>
        <w:fldChar w:fldCharType="end"/>
      </w:r>
    </w:p>
    <w:p>
      <w:pPr>
        <w:pStyle w:val="21"/>
        <w:tabs>
          <w:tab w:val="right" w:pos="2000"/>
          <w:tab w:val="right" w:leader="dot" w:pos="9641"/>
          <w:tab w:val="clear" w:pos="9639"/>
        </w:tabs>
      </w:pPr>
      <w:r>
        <w:t>E.2.3</w:t>
      </w:r>
      <w:r>
        <w:tab/>
      </w:r>
      <w:r>
        <w:t>Reference signal</w:t>
      </w:r>
      <w:r>
        <w:tab/>
      </w:r>
      <w:r>
        <w:fldChar w:fldCharType="begin"/>
      </w:r>
      <w:r>
        <w:instrText xml:space="preserve"> PAGEREF _Toc2194 \h </w:instrText>
      </w:r>
      <w:r>
        <w:fldChar w:fldCharType="separate"/>
      </w:r>
      <w:r>
        <w:t>254</w:t>
      </w:r>
      <w:r>
        <w:fldChar w:fldCharType="end"/>
      </w:r>
    </w:p>
    <w:p>
      <w:pPr>
        <w:pStyle w:val="21"/>
        <w:tabs>
          <w:tab w:val="right" w:pos="2000"/>
          <w:tab w:val="right" w:leader="dot" w:pos="9641"/>
          <w:tab w:val="clear" w:pos="9639"/>
        </w:tabs>
      </w:pPr>
      <w:r>
        <w:rPr>
          <w:snapToGrid w:val="0"/>
        </w:rPr>
        <w:t>E.2.4</w:t>
      </w:r>
      <w:r>
        <w:rPr>
          <w:snapToGrid w:val="0"/>
        </w:rPr>
        <w:tab/>
      </w:r>
      <w:r>
        <w:rPr>
          <w:snapToGrid w:val="0"/>
        </w:rPr>
        <w:t>Measurement results</w:t>
      </w:r>
      <w:r>
        <w:tab/>
      </w:r>
      <w:r>
        <w:fldChar w:fldCharType="begin"/>
      </w:r>
      <w:r>
        <w:instrText xml:space="preserve"> PAGEREF _Toc19373 \h </w:instrText>
      </w:r>
      <w:r>
        <w:fldChar w:fldCharType="separate"/>
      </w:r>
      <w:r>
        <w:t>254</w:t>
      </w:r>
      <w:r>
        <w:fldChar w:fldCharType="end"/>
      </w:r>
    </w:p>
    <w:p>
      <w:pPr>
        <w:pStyle w:val="21"/>
        <w:tabs>
          <w:tab w:val="right" w:pos="2000"/>
          <w:tab w:val="right" w:leader="dot" w:pos="9641"/>
          <w:tab w:val="clear" w:pos="9639"/>
        </w:tabs>
      </w:pPr>
      <w:r>
        <w:t>E.2.5</w:t>
      </w:r>
      <w:r>
        <w:tab/>
      </w:r>
      <w:r>
        <w:t>Measurement points</w:t>
      </w:r>
      <w:r>
        <w:tab/>
      </w:r>
      <w:r>
        <w:fldChar w:fldCharType="begin"/>
      </w:r>
      <w:r>
        <w:instrText xml:space="preserve"> PAGEREF _Toc17034 \h </w:instrText>
      </w:r>
      <w:r>
        <w:fldChar w:fldCharType="separate"/>
      </w:r>
      <w:r>
        <w:t>254</w:t>
      </w:r>
      <w:r>
        <w:fldChar w:fldCharType="end"/>
      </w:r>
    </w:p>
    <w:p>
      <w:pPr>
        <w:pStyle w:val="22"/>
        <w:tabs>
          <w:tab w:val="right" w:pos="2000"/>
          <w:tab w:val="right" w:leader="dot" w:pos="9641"/>
          <w:tab w:val="clear" w:pos="9639"/>
        </w:tabs>
      </w:pPr>
      <w:r>
        <w:rPr>
          <w:snapToGrid w:val="0"/>
        </w:rPr>
        <w:t>E.3</w:t>
      </w:r>
      <w:r>
        <w:rPr>
          <w:snapToGrid w:val="0"/>
        </w:rPr>
        <w:tab/>
      </w:r>
      <w:r>
        <w:rPr>
          <w:snapToGrid w:val="0"/>
        </w:rPr>
        <w:t>Signal processing</w:t>
      </w:r>
      <w:r>
        <w:tab/>
      </w:r>
      <w:r>
        <w:fldChar w:fldCharType="begin"/>
      </w:r>
      <w:r>
        <w:instrText xml:space="preserve"> PAGEREF _Toc27866 \h </w:instrText>
      </w:r>
      <w:r>
        <w:fldChar w:fldCharType="separate"/>
      </w:r>
      <w:r>
        <w:t>255</w:t>
      </w:r>
      <w:r>
        <w:fldChar w:fldCharType="end"/>
      </w:r>
    </w:p>
    <w:p>
      <w:pPr>
        <w:pStyle w:val="21"/>
        <w:tabs>
          <w:tab w:val="right" w:pos="2000"/>
          <w:tab w:val="right" w:leader="dot" w:pos="9641"/>
          <w:tab w:val="clear" w:pos="9639"/>
        </w:tabs>
      </w:pPr>
      <w:r>
        <w:t>E.3.1</w:t>
      </w:r>
      <w:r>
        <w:tab/>
      </w:r>
      <w:r>
        <w:t>Pre FFT minimization process</w:t>
      </w:r>
      <w:r>
        <w:tab/>
      </w:r>
      <w:r>
        <w:fldChar w:fldCharType="begin"/>
      </w:r>
      <w:r>
        <w:instrText xml:space="preserve"> PAGEREF _Toc4831 \h </w:instrText>
      </w:r>
      <w:r>
        <w:fldChar w:fldCharType="separate"/>
      </w:r>
      <w:r>
        <w:t>255</w:t>
      </w:r>
      <w:r>
        <w:fldChar w:fldCharType="end"/>
      </w:r>
    </w:p>
    <w:p>
      <w:pPr>
        <w:pStyle w:val="21"/>
        <w:tabs>
          <w:tab w:val="right" w:pos="2000"/>
          <w:tab w:val="right" w:leader="dot" w:pos="9641"/>
          <w:tab w:val="clear" w:pos="9639"/>
        </w:tabs>
      </w:pPr>
      <w:r>
        <w:t>E.3.2</w:t>
      </w:r>
      <w:r>
        <w:tab/>
      </w:r>
      <w:r>
        <w:t>Timing of the FFT window</w:t>
      </w:r>
      <w:r>
        <w:tab/>
      </w:r>
      <w:r>
        <w:fldChar w:fldCharType="begin"/>
      </w:r>
      <w:r>
        <w:instrText xml:space="preserve"> PAGEREF _Toc31967 \h </w:instrText>
      </w:r>
      <w:r>
        <w:fldChar w:fldCharType="separate"/>
      </w:r>
      <w:r>
        <w:t>255</w:t>
      </w:r>
      <w:r>
        <w:fldChar w:fldCharType="end"/>
      </w:r>
    </w:p>
    <w:p>
      <w:pPr>
        <w:pStyle w:val="21"/>
        <w:tabs>
          <w:tab w:val="right" w:pos="2000"/>
          <w:tab w:val="right" w:leader="dot" w:pos="9641"/>
          <w:tab w:val="clear" w:pos="9639"/>
        </w:tabs>
      </w:pPr>
      <w:r>
        <w:t>E.3.3</w:t>
      </w:r>
      <w:r>
        <w:tab/>
      </w:r>
      <w:r>
        <w:t>Post FFT equalisation</w:t>
      </w:r>
      <w:r>
        <w:tab/>
      </w:r>
      <w:r>
        <w:fldChar w:fldCharType="begin"/>
      </w:r>
      <w:r>
        <w:instrText xml:space="preserve"> PAGEREF _Toc2533 \h </w:instrText>
      </w:r>
      <w:r>
        <w:fldChar w:fldCharType="separate"/>
      </w:r>
      <w:r>
        <w:t>256</w:t>
      </w:r>
      <w:r>
        <w:fldChar w:fldCharType="end"/>
      </w:r>
    </w:p>
    <w:p>
      <w:pPr>
        <w:pStyle w:val="22"/>
        <w:tabs>
          <w:tab w:val="right" w:pos="2000"/>
          <w:tab w:val="right" w:leader="dot" w:pos="9641"/>
          <w:tab w:val="clear" w:pos="9639"/>
        </w:tabs>
      </w:pPr>
      <w:r>
        <w:rPr>
          <w:snapToGrid w:val="0"/>
        </w:rPr>
        <w:t>E.4</w:t>
      </w:r>
      <w:r>
        <w:rPr>
          <w:snapToGrid w:val="0"/>
        </w:rPr>
        <w:tab/>
      </w:r>
      <w:r>
        <w:rPr>
          <w:snapToGrid w:val="0"/>
        </w:rPr>
        <w:t>Derivation of the results</w:t>
      </w:r>
      <w:r>
        <w:tab/>
      </w:r>
      <w:r>
        <w:fldChar w:fldCharType="begin"/>
      </w:r>
      <w:r>
        <w:instrText xml:space="preserve"> PAGEREF _Toc9265 \h </w:instrText>
      </w:r>
      <w:r>
        <w:fldChar w:fldCharType="separate"/>
      </w:r>
      <w:r>
        <w:t>257</w:t>
      </w:r>
      <w:r>
        <w:fldChar w:fldCharType="end"/>
      </w:r>
    </w:p>
    <w:p>
      <w:pPr>
        <w:pStyle w:val="21"/>
        <w:tabs>
          <w:tab w:val="right" w:pos="2000"/>
          <w:tab w:val="right" w:leader="dot" w:pos="9641"/>
          <w:tab w:val="clear" w:pos="9639"/>
        </w:tabs>
      </w:pPr>
      <w:r>
        <w:t>E.4.1</w:t>
      </w:r>
      <w:r>
        <w:tab/>
      </w:r>
      <w:r>
        <w:t>EVM</w:t>
      </w:r>
      <w:r>
        <w:tab/>
      </w:r>
      <w:r>
        <w:fldChar w:fldCharType="begin"/>
      </w:r>
      <w:r>
        <w:instrText xml:space="preserve"> PAGEREF _Toc27105 \h </w:instrText>
      </w:r>
      <w:r>
        <w:fldChar w:fldCharType="separate"/>
      </w:r>
      <w:r>
        <w:t>257</w:t>
      </w:r>
      <w:r>
        <w:fldChar w:fldCharType="end"/>
      </w:r>
    </w:p>
    <w:p>
      <w:pPr>
        <w:pStyle w:val="21"/>
        <w:tabs>
          <w:tab w:val="right" w:pos="2000"/>
          <w:tab w:val="right" w:leader="dot" w:pos="9641"/>
          <w:tab w:val="clear" w:pos="9639"/>
        </w:tabs>
      </w:pPr>
      <w:r>
        <w:t>E.4.2</w:t>
      </w:r>
      <w:r>
        <w:tab/>
      </w:r>
      <w:r>
        <w:t>Averaged EVM</w:t>
      </w:r>
      <w:r>
        <w:tab/>
      </w:r>
      <w:r>
        <w:fldChar w:fldCharType="begin"/>
      </w:r>
      <w:r>
        <w:instrText xml:space="preserve"> PAGEREF _Toc4355 \h </w:instrText>
      </w:r>
      <w:r>
        <w:fldChar w:fldCharType="separate"/>
      </w:r>
      <w:r>
        <w:t>257</w:t>
      </w:r>
      <w:r>
        <w:fldChar w:fldCharType="end"/>
      </w:r>
    </w:p>
    <w:p>
      <w:pPr>
        <w:pStyle w:val="21"/>
        <w:tabs>
          <w:tab w:val="right" w:pos="2000"/>
          <w:tab w:val="right" w:leader="dot" w:pos="9641"/>
          <w:tab w:val="clear" w:pos="9639"/>
        </w:tabs>
      </w:pPr>
      <w:r>
        <w:t>E.4.3</w:t>
      </w:r>
      <w:r>
        <w:tab/>
      </w:r>
      <w:r>
        <w:t>In-band emissions measurement</w:t>
      </w:r>
      <w:r>
        <w:tab/>
      </w:r>
      <w:r>
        <w:fldChar w:fldCharType="begin"/>
      </w:r>
      <w:r>
        <w:instrText xml:space="preserve"> PAGEREF _Toc20792 \h </w:instrText>
      </w:r>
      <w:r>
        <w:fldChar w:fldCharType="separate"/>
      </w:r>
      <w:r>
        <w:t>258</w:t>
      </w:r>
      <w:r>
        <w:fldChar w:fldCharType="end"/>
      </w:r>
    </w:p>
    <w:p>
      <w:pPr>
        <w:pStyle w:val="21"/>
        <w:tabs>
          <w:tab w:val="right" w:pos="2000"/>
          <w:tab w:val="right" w:leader="dot" w:pos="9641"/>
          <w:tab w:val="clear" w:pos="9639"/>
        </w:tabs>
      </w:pPr>
      <w:r>
        <w:t>E.4.4</w:t>
      </w:r>
      <w:r>
        <w:tab/>
      </w:r>
      <w:r>
        <w:t>EVM equalizer spectrum flatness</w:t>
      </w:r>
      <w:r>
        <w:tab/>
      </w:r>
      <w:r>
        <w:fldChar w:fldCharType="begin"/>
      </w:r>
      <w:r>
        <w:instrText xml:space="preserve"> PAGEREF _Toc21819 \h </w:instrText>
      </w:r>
      <w:r>
        <w:fldChar w:fldCharType="separate"/>
      </w:r>
      <w:r>
        <w:t>260</w:t>
      </w:r>
      <w:r>
        <w:fldChar w:fldCharType="end"/>
      </w:r>
    </w:p>
    <w:p>
      <w:pPr>
        <w:pStyle w:val="21"/>
        <w:tabs>
          <w:tab w:val="right" w:pos="2000"/>
          <w:tab w:val="right" w:leader="dot" w:pos="9641"/>
          <w:tab w:val="clear" w:pos="9639"/>
        </w:tabs>
      </w:pPr>
      <w:r>
        <w:t>E.4.5</w:t>
      </w:r>
      <w:r>
        <w:tab/>
      </w:r>
      <w:r>
        <w:t>Frequency error and Carrier leakage</w:t>
      </w:r>
      <w:r>
        <w:tab/>
      </w:r>
      <w:r>
        <w:fldChar w:fldCharType="begin"/>
      </w:r>
      <w:r>
        <w:instrText xml:space="preserve"> PAGEREF _Toc2818 \h </w:instrText>
      </w:r>
      <w:r>
        <w:fldChar w:fldCharType="separate"/>
      </w:r>
      <w:r>
        <w:t>260</w:t>
      </w:r>
      <w:r>
        <w:fldChar w:fldCharType="end"/>
      </w:r>
    </w:p>
    <w:p>
      <w:pPr>
        <w:pStyle w:val="21"/>
        <w:tabs>
          <w:tab w:val="right" w:pos="2000"/>
          <w:tab w:val="right" w:leader="dot" w:pos="9641"/>
          <w:tab w:val="clear" w:pos="9639"/>
        </w:tabs>
      </w:pPr>
      <w:r>
        <w:t>E.4.6</w:t>
      </w:r>
      <w:r>
        <w:tab/>
      </w:r>
      <w:r>
        <w:t>EVM of Demodulation reference symbols (EVM</w:t>
      </w:r>
      <w:r>
        <w:rPr>
          <w:szCs w:val="28"/>
          <w:vertAlign w:val="subscript"/>
        </w:rPr>
        <w:t>DMRS</w:t>
      </w:r>
      <w:r>
        <w:t>)</w:t>
      </w:r>
      <w:r>
        <w:tab/>
      </w:r>
      <w:r>
        <w:fldChar w:fldCharType="begin"/>
      </w:r>
      <w:r>
        <w:instrText xml:space="preserve"> PAGEREF _Toc13614 \h </w:instrText>
      </w:r>
      <w:r>
        <w:fldChar w:fldCharType="separate"/>
      </w:r>
      <w:r>
        <w:t>260</w:t>
      </w:r>
      <w:r>
        <w:fldChar w:fldCharType="end"/>
      </w:r>
    </w:p>
    <w:p>
      <w:pPr>
        <w:pStyle w:val="20"/>
        <w:tabs>
          <w:tab w:val="right" w:pos="2400"/>
          <w:tab w:val="right" w:leader="dot" w:pos="9641"/>
          <w:tab w:val="clear" w:pos="9639"/>
        </w:tabs>
      </w:pPr>
      <w:r>
        <w:t>E.4.6.1</w:t>
      </w:r>
      <w:r>
        <w:tab/>
      </w:r>
      <w:r>
        <w:t>1</w:t>
      </w:r>
      <w:r>
        <w:rPr>
          <w:vertAlign w:val="superscript"/>
        </w:rPr>
        <w:t>st</w:t>
      </w:r>
      <w:r>
        <w:t xml:space="preserve"> average for EVM </w:t>
      </w:r>
      <w:r>
        <w:rPr>
          <w:vertAlign w:val="subscript"/>
        </w:rPr>
        <w:t>DMRS</w:t>
      </w:r>
      <w:r>
        <w:tab/>
      </w:r>
      <w:r>
        <w:fldChar w:fldCharType="begin"/>
      </w:r>
      <w:r>
        <w:instrText xml:space="preserve"> PAGEREF _Toc24916 \h </w:instrText>
      </w:r>
      <w:r>
        <w:fldChar w:fldCharType="separate"/>
      </w:r>
      <w:r>
        <w:t>261</w:t>
      </w:r>
      <w:r>
        <w:fldChar w:fldCharType="end"/>
      </w:r>
    </w:p>
    <w:p>
      <w:pPr>
        <w:pStyle w:val="20"/>
        <w:tabs>
          <w:tab w:val="right" w:pos="2400"/>
          <w:tab w:val="right" w:leader="dot" w:pos="9641"/>
          <w:tab w:val="clear" w:pos="9639"/>
        </w:tabs>
      </w:pPr>
      <w:r>
        <w:t>E.4.6.2</w:t>
      </w:r>
      <w:r>
        <w:tab/>
      </w:r>
      <w:r>
        <w:t xml:space="preserve">Final average for EVM </w:t>
      </w:r>
      <w:r>
        <w:rPr>
          <w:vertAlign w:val="subscript"/>
        </w:rPr>
        <w:t>DMRS</w:t>
      </w:r>
      <w:r>
        <w:tab/>
      </w:r>
      <w:r>
        <w:fldChar w:fldCharType="begin"/>
      </w:r>
      <w:r>
        <w:instrText xml:space="preserve"> PAGEREF _Toc30033 \h </w:instrText>
      </w:r>
      <w:r>
        <w:fldChar w:fldCharType="separate"/>
      </w:r>
      <w:r>
        <w:t>262</w:t>
      </w:r>
      <w:r>
        <w:fldChar w:fldCharType="end"/>
      </w:r>
    </w:p>
    <w:p>
      <w:pPr>
        <w:pStyle w:val="22"/>
        <w:tabs>
          <w:tab w:val="right" w:pos="2000"/>
          <w:tab w:val="right" w:leader="dot" w:pos="9641"/>
          <w:tab w:val="clear" w:pos="9639"/>
        </w:tabs>
      </w:pPr>
      <w:r>
        <w:t>E.5</w:t>
      </w:r>
      <w:r>
        <w:tab/>
      </w:r>
      <w:r>
        <w:t>EVM and inband emissions for PUCCH</w:t>
      </w:r>
      <w:r>
        <w:tab/>
      </w:r>
      <w:r>
        <w:fldChar w:fldCharType="begin"/>
      </w:r>
      <w:r>
        <w:instrText xml:space="preserve"> PAGEREF _Toc26303 \h </w:instrText>
      </w:r>
      <w:r>
        <w:fldChar w:fldCharType="separate"/>
      </w:r>
      <w:r>
        <w:t>262</w:t>
      </w:r>
      <w:r>
        <w:fldChar w:fldCharType="end"/>
      </w:r>
    </w:p>
    <w:p>
      <w:pPr>
        <w:pStyle w:val="21"/>
        <w:tabs>
          <w:tab w:val="right" w:pos="2000"/>
          <w:tab w:val="right" w:leader="dot" w:pos="9641"/>
          <w:tab w:val="clear" w:pos="9639"/>
        </w:tabs>
      </w:pPr>
      <w:r>
        <w:t>E.5.1</w:t>
      </w:r>
      <w:r>
        <w:tab/>
      </w:r>
      <w:r>
        <w:t>Basic principle</w:t>
      </w:r>
      <w:r>
        <w:tab/>
      </w:r>
      <w:r>
        <w:fldChar w:fldCharType="begin"/>
      </w:r>
      <w:r>
        <w:instrText xml:space="preserve"> PAGEREF _Toc26162 \h </w:instrText>
      </w:r>
      <w:r>
        <w:fldChar w:fldCharType="separate"/>
      </w:r>
      <w:r>
        <w:t>262</w:t>
      </w:r>
      <w:r>
        <w:fldChar w:fldCharType="end"/>
      </w:r>
    </w:p>
    <w:p>
      <w:pPr>
        <w:pStyle w:val="21"/>
        <w:tabs>
          <w:tab w:val="right" w:pos="2000"/>
          <w:tab w:val="right" w:leader="dot" w:pos="9641"/>
          <w:tab w:val="clear" w:pos="9639"/>
        </w:tabs>
      </w:pPr>
      <w:r>
        <w:t>E.5.2</w:t>
      </w:r>
      <w:r>
        <w:tab/>
      </w:r>
      <w:r>
        <w:t>Output signal of the TX under test</w:t>
      </w:r>
      <w:r>
        <w:tab/>
      </w:r>
      <w:r>
        <w:fldChar w:fldCharType="begin"/>
      </w:r>
      <w:r>
        <w:instrText xml:space="preserve"> PAGEREF _Toc6355 \h </w:instrText>
      </w:r>
      <w:r>
        <w:fldChar w:fldCharType="separate"/>
      </w:r>
      <w:r>
        <w:t>262</w:t>
      </w:r>
      <w:r>
        <w:fldChar w:fldCharType="end"/>
      </w:r>
    </w:p>
    <w:p>
      <w:pPr>
        <w:pStyle w:val="21"/>
        <w:tabs>
          <w:tab w:val="right" w:pos="2000"/>
          <w:tab w:val="right" w:leader="dot" w:pos="9641"/>
          <w:tab w:val="clear" w:pos="9639"/>
        </w:tabs>
      </w:pPr>
      <w:r>
        <w:t>E.5.3</w:t>
      </w:r>
      <w:r>
        <w:tab/>
      </w:r>
      <w:r>
        <w:t>Reference signal</w:t>
      </w:r>
      <w:r>
        <w:tab/>
      </w:r>
      <w:r>
        <w:fldChar w:fldCharType="begin"/>
      </w:r>
      <w:r>
        <w:instrText xml:space="preserve"> PAGEREF _Toc10615 \h </w:instrText>
      </w:r>
      <w:r>
        <w:fldChar w:fldCharType="separate"/>
      </w:r>
      <w:r>
        <w:t>262</w:t>
      </w:r>
      <w:r>
        <w:fldChar w:fldCharType="end"/>
      </w:r>
    </w:p>
    <w:p>
      <w:pPr>
        <w:pStyle w:val="21"/>
        <w:tabs>
          <w:tab w:val="right" w:pos="2000"/>
          <w:tab w:val="right" w:leader="dot" w:pos="9641"/>
          <w:tab w:val="clear" w:pos="9639"/>
        </w:tabs>
      </w:pPr>
      <w:r>
        <w:t>E.5.4</w:t>
      </w:r>
      <w:r>
        <w:tab/>
      </w:r>
      <w:r>
        <w:t>Measurement results</w:t>
      </w:r>
      <w:r>
        <w:tab/>
      </w:r>
      <w:r>
        <w:fldChar w:fldCharType="begin"/>
      </w:r>
      <w:r>
        <w:instrText xml:space="preserve"> PAGEREF _Toc2980 \h </w:instrText>
      </w:r>
      <w:r>
        <w:fldChar w:fldCharType="separate"/>
      </w:r>
      <w:r>
        <w:t>262</w:t>
      </w:r>
      <w:r>
        <w:fldChar w:fldCharType="end"/>
      </w:r>
    </w:p>
    <w:p>
      <w:pPr>
        <w:pStyle w:val="21"/>
        <w:tabs>
          <w:tab w:val="right" w:pos="2000"/>
          <w:tab w:val="right" w:leader="dot" w:pos="9641"/>
          <w:tab w:val="clear" w:pos="9639"/>
        </w:tabs>
      </w:pPr>
      <w:r>
        <w:t>E.5.5</w:t>
      </w:r>
      <w:r>
        <w:tab/>
      </w:r>
      <w:r>
        <w:t>Measurement points</w:t>
      </w:r>
      <w:r>
        <w:tab/>
      </w:r>
      <w:r>
        <w:fldChar w:fldCharType="begin"/>
      </w:r>
      <w:r>
        <w:instrText xml:space="preserve"> PAGEREF _Toc16321 \h </w:instrText>
      </w:r>
      <w:r>
        <w:fldChar w:fldCharType="separate"/>
      </w:r>
      <w:r>
        <w:t>262</w:t>
      </w:r>
      <w:r>
        <w:fldChar w:fldCharType="end"/>
      </w:r>
    </w:p>
    <w:p>
      <w:pPr>
        <w:pStyle w:val="21"/>
        <w:tabs>
          <w:tab w:val="right" w:pos="2000"/>
          <w:tab w:val="right" w:leader="dot" w:pos="9641"/>
          <w:tab w:val="clear" w:pos="9639"/>
        </w:tabs>
      </w:pPr>
      <w:r>
        <w:t>E.5.6</w:t>
      </w:r>
      <w:r>
        <w:tab/>
      </w:r>
      <w:r>
        <w:t>Pre FFT minimization process</w:t>
      </w:r>
      <w:r>
        <w:tab/>
      </w:r>
      <w:r>
        <w:fldChar w:fldCharType="begin"/>
      </w:r>
      <w:r>
        <w:instrText xml:space="preserve"> PAGEREF _Toc3756 \h </w:instrText>
      </w:r>
      <w:r>
        <w:fldChar w:fldCharType="separate"/>
      </w:r>
      <w:r>
        <w:t>263</w:t>
      </w:r>
      <w:r>
        <w:fldChar w:fldCharType="end"/>
      </w:r>
    </w:p>
    <w:p>
      <w:pPr>
        <w:pStyle w:val="21"/>
        <w:tabs>
          <w:tab w:val="right" w:pos="2000"/>
          <w:tab w:val="right" w:leader="dot" w:pos="9641"/>
          <w:tab w:val="clear" w:pos="9639"/>
        </w:tabs>
      </w:pPr>
      <w:r>
        <w:t>E.5.7</w:t>
      </w:r>
      <w:r>
        <w:tab/>
      </w:r>
      <w:r>
        <w:t>Timing of the FFT window</w:t>
      </w:r>
      <w:r>
        <w:tab/>
      </w:r>
      <w:r>
        <w:fldChar w:fldCharType="begin"/>
      </w:r>
      <w:r>
        <w:instrText xml:space="preserve"> PAGEREF _Toc11929 \h </w:instrText>
      </w:r>
      <w:r>
        <w:fldChar w:fldCharType="separate"/>
      </w:r>
      <w:r>
        <w:t>263</w:t>
      </w:r>
      <w:r>
        <w:fldChar w:fldCharType="end"/>
      </w:r>
    </w:p>
    <w:p>
      <w:pPr>
        <w:pStyle w:val="21"/>
        <w:tabs>
          <w:tab w:val="right" w:pos="2000"/>
          <w:tab w:val="right" w:leader="dot" w:pos="9641"/>
          <w:tab w:val="clear" w:pos="9639"/>
        </w:tabs>
      </w:pPr>
      <w:r>
        <w:t>E.5.8</w:t>
      </w:r>
      <w:r>
        <w:tab/>
      </w:r>
      <w:r>
        <w:t>Post FFT equalisation</w:t>
      </w:r>
      <w:r>
        <w:tab/>
      </w:r>
      <w:r>
        <w:fldChar w:fldCharType="begin"/>
      </w:r>
      <w:r>
        <w:instrText xml:space="preserve"> PAGEREF _Toc32120 \h </w:instrText>
      </w:r>
      <w:r>
        <w:fldChar w:fldCharType="separate"/>
      </w:r>
      <w:r>
        <w:t>263</w:t>
      </w:r>
      <w:r>
        <w:fldChar w:fldCharType="end"/>
      </w:r>
    </w:p>
    <w:p>
      <w:pPr>
        <w:pStyle w:val="21"/>
        <w:tabs>
          <w:tab w:val="right" w:pos="2000"/>
          <w:tab w:val="right" w:leader="dot" w:pos="9641"/>
          <w:tab w:val="clear" w:pos="9639"/>
        </w:tabs>
      </w:pPr>
      <w:r>
        <w:rPr>
          <w:snapToGrid w:val="0"/>
        </w:rPr>
        <w:t>E.5.9</w:t>
      </w:r>
      <w:r>
        <w:rPr>
          <w:snapToGrid w:val="0"/>
        </w:rPr>
        <w:tab/>
      </w:r>
      <w:r>
        <w:rPr>
          <w:snapToGrid w:val="0"/>
        </w:rPr>
        <w:t>Derivation of the results</w:t>
      </w:r>
      <w:r>
        <w:tab/>
      </w:r>
      <w:r>
        <w:fldChar w:fldCharType="begin"/>
      </w:r>
      <w:r>
        <w:instrText xml:space="preserve"> PAGEREF _Toc18133 \h </w:instrText>
      </w:r>
      <w:r>
        <w:fldChar w:fldCharType="separate"/>
      </w:r>
      <w:r>
        <w:t>264</w:t>
      </w:r>
      <w:r>
        <w:fldChar w:fldCharType="end"/>
      </w:r>
    </w:p>
    <w:p>
      <w:pPr>
        <w:pStyle w:val="20"/>
        <w:tabs>
          <w:tab w:val="right" w:pos="2400"/>
          <w:tab w:val="right" w:leader="dot" w:pos="9641"/>
          <w:tab w:val="clear" w:pos="9639"/>
        </w:tabs>
      </w:pPr>
      <w:r>
        <w:t>E.5.9.1</w:t>
      </w:r>
      <w:r>
        <w:tab/>
      </w:r>
      <w:r>
        <w:t>EVM</w:t>
      </w:r>
      <w:r>
        <w:rPr>
          <w:szCs w:val="24"/>
          <w:vertAlign w:val="subscript"/>
        </w:rPr>
        <w:t>PUCCH</w:t>
      </w:r>
      <w:r>
        <w:tab/>
      </w:r>
      <w:r>
        <w:fldChar w:fldCharType="begin"/>
      </w:r>
      <w:r>
        <w:instrText xml:space="preserve"> PAGEREF _Toc17156 \h </w:instrText>
      </w:r>
      <w:r>
        <w:fldChar w:fldCharType="separate"/>
      </w:r>
      <w:r>
        <w:t>264</w:t>
      </w:r>
      <w:r>
        <w:fldChar w:fldCharType="end"/>
      </w:r>
    </w:p>
    <w:p>
      <w:pPr>
        <w:pStyle w:val="20"/>
        <w:tabs>
          <w:tab w:val="right" w:pos="2400"/>
          <w:tab w:val="right" w:leader="dot" w:pos="9641"/>
          <w:tab w:val="clear" w:pos="9639"/>
        </w:tabs>
      </w:pPr>
      <w:r>
        <w:t>E.5.9.2</w:t>
      </w:r>
      <w:r>
        <w:tab/>
      </w:r>
      <w:r>
        <w:t>Averaged EVM</w:t>
      </w:r>
      <w:r>
        <w:rPr>
          <w:vertAlign w:val="subscript"/>
        </w:rPr>
        <w:t>PUCCH</w:t>
      </w:r>
      <w:r>
        <w:tab/>
      </w:r>
      <w:r>
        <w:fldChar w:fldCharType="begin"/>
      </w:r>
      <w:r>
        <w:instrText xml:space="preserve"> PAGEREF _Toc5909 \h </w:instrText>
      </w:r>
      <w:r>
        <w:fldChar w:fldCharType="separate"/>
      </w:r>
      <w:r>
        <w:t>264</w:t>
      </w:r>
      <w:r>
        <w:fldChar w:fldCharType="end"/>
      </w:r>
    </w:p>
    <w:p>
      <w:pPr>
        <w:pStyle w:val="20"/>
        <w:tabs>
          <w:tab w:val="right" w:pos="2400"/>
          <w:tab w:val="right" w:leader="dot" w:pos="9641"/>
          <w:tab w:val="clear" w:pos="9639"/>
        </w:tabs>
      </w:pPr>
      <w:r>
        <w:t>E.5.9.3</w:t>
      </w:r>
      <w:r>
        <w:tab/>
      </w:r>
      <w:r>
        <w:t>In-band emissions measurement</w:t>
      </w:r>
      <w:r>
        <w:tab/>
      </w:r>
      <w:r>
        <w:fldChar w:fldCharType="begin"/>
      </w:r>
      <w:r>
        <w:instrText xml:space="preserve"> PAGEREF _Toc3253 \h </w:instrText>
      </w:r>
      <w:r>
        <w:fldChar w:fldCharType="separate"/>
      </w:r>
      <w:r>
        <w:t>265</w:t>
      </w:r>
      <w:r>
        <w:fldChar w:fldCharType="end"/>
      </w:r>
    </w:p>
    <w:p>
      <w:pPr>
        <w:pStyle w:val="22"/>
        <w:tabs>
          <w:tab w:val="right" w:pos="2000"/>
          <w:tab w:val="right" w:leader="dot" w:pos="9641"/>
          <w:tab w:val="clear" w:pos="9639"/>
        </w:tabs>
      </w:pPr>
      <w:r>
        <w:t>E.6</w:t>
      </w:r>
      <w:r>
        <w:tab/>
      </w:r>
      <w:r>
        <w:t>EVM for PRACH</w:t>
      </w:r>
      <w:r>
        <w:tab/>
      </w:r>
      <w:r>
        <w:fldChar w:fldCharType="begin"/>
      </w:r>
      <w:r>
        <w:instrText xml:space="preserve"> PAGEREF _Toc13134 \h </w:instrText>
      </w:r>
      <w:r>
        <w:fldChar w:fldCharType="separate"/>
      </w:r>
      <w:r>
        <w:t>266</w:t>
      </w:r>
      <w:r>
        <w:fldChar w:fldCharType="end"/>
      </w:r>
    </w:p>
    <w:p>
      <w:pPr>
        <w:pStyle w:val="21"/>
        <w:tabs>
          <w:tab w:val="right" w:pos="2000"/>
          <w:tab w:val="right" w:leader="dot" w:pos="9641"/>
          <w:tab w:val="clear" w:pos="9639"/>
        </w:tabs>
      </w:pPr>
      <w:r>
        <w:t>E.6.1</w:t>
      </w:r>
      <w:r>
        <w:tab/>
      </w:r>
      <w:r>
        <w:t>Basic principle</w:t>
      </w:r>
      <w:r>
        <w:tab/>
      </w:r>
      <w:r>
        <w:fldChar w:fldCharType="begin"/>
      </w:r>
      <w:r>
        <w:instrText xml:space="preserve"> PAGEREF _Toc21063 \h </w:instrText>
      </w:r>
      <w:r>
        <w:fldChar w:fldCharType="separate"/>
      </w:r>
      <w:r>
        <w:t>266</w:t>
      </w:r>
      <w:r>
        <w:fldChar w:fldCharType="end"/>
      </w:r>
    </w:p>
    <w:p>
      <w:pPr>
        <w:pStyle w:val="21"/>
        <w:tabs>
          <w:tab w:val="right" w:pos="2000"/>
          <w:tab w:val="right" w:leader="dot" w:pos="9641"/>
          <w:tab w:val="clear" w:pos="9639"/>
        </w:tabs>
      </w:pPr>
      <w:r>
        <w:t>E.6.2</w:t>
      </w:r>
      <w:r>
        <w:tab/>
      </w:r>
      <w:r>
        <w:t>Output signal of the TX under test</w:t>
      </w:r>
      <w:r>
        <w:tab/>
      </w:r>
      <w:r>
        <w:fldChar w:fldCharType="begin"/>
      </w:r>
      <w:r>
        <w:instrText xml:space="preserve"> PAGEREF _Toc378 \h </w:instrText>
      </w:r>
      <w:r>
        <w:fldChar w:fldCharType="separate"/>
      </w:r>
      <w:r>
        <w:t>266</w:t>
      </w:r>
      <w:r>
        <w:fldChar w:fldCharType="end"/>
      </w:r>
    </w:p>
    <w:p>
      <w:pPr>
        <w:pStyle w:val="21"/>
        <w:tabs>
          <w:tab w:val="right" w:pos="2000"/>
          <w:tab w:val="right" w:leader="dot" w:pos="9641"/>
          <w:tab w:val="clear" w:pos="9639"/>
        </w:tabs>
      </w:pPr>
      <w:r>
        <w:t>E.6.3</w:t>
      </w:r>
      <w:r>
        <w:tab/>
      </w:r>
      <w:r>
        <w:t>Reference signal</w:t>
      </w:r>
      <w:r>
        <w:tab/>
      </w:r>
      <w:r>
        <w:fldChar w:fldCharType="begin"/>
      </w:r>
      <w:r>
        <w:instrText xml:space="preserve"> PAGEREF _Toc16955 \h </w:instrText>
      </w:r>
      <w:r>
        <w:fldChar w:fldCharType="separate"/>
      </w:r>
      <w:r>
        <w:t>266</w:t>
      </w:r>
      <w:r>
        <w:fldChar w:fldCharType="end"/>
      </w:r>
    </w:p>
    <w:p>
      <w:pPr>
        <w:pStyle w:val="21"/>
        <w:tabs>
          <w:tab w:val="right" w:pos="2000"/>
          <w:tab w:val="right" w:leader="dot" w:pos="9641"/>
          <w:tab w:val="clear" w:pos="9639"/>
        </w:tabs>
      </w:pPr>
      <w:r>
        <w:t>E.6.4</w:t>
      </w:r>
      <w:r>
        <w:tab/>
      </w:r>
      <w:r>
        <w:t>Measurement results</w:t>
      </w:r>
      <w:r>
        <w:tab/>
      </w:r>
      <w:r>
        <w:fldChar w:fldCharType="begin"/>
      </w:r>
      <w:r>
        <w:instrText xml:space="preserve"> PAGEREF _Toc24184 \h </w:instrText>
      </w:r>
      <w:r>
        <w:fldChar w:fldCharType="separate"/>
      </w:r>
      <w:r>
        <w:t>266</w:t>
      </w:r>
      <w:r>
        <w:fldChar w:fldCharType="end"/>
      </w:r>
    </w:p>
    <w:p>
      <w:pPr>
        <w:pStyle w:val="21"/>
        <w:tabs>
          <w:tab w:val="right" w:pos="2000"/>
          <w:tab w:val="right" w:leader="dot" w:pos="9641"/>
          <w:tab w:val="clear" w:pos="9639"/>
        </w:tabs>
      </w:pPr>
      <w:r>
        <w:t>E.6.5</w:t>
      </w:r>
      <w:r>
        <w:tab/>
      </w:r>
      <w:r>
        <w:t>Measurement points</w:t>
      </w:r>
      <w:r>
        <w:tab/>
      </w:r>
      <w:r>
        <w:fldChar w:fldCharType="begin"/>
      </w:r>
      <w:r>
        <w:instrText xml:space="preserve"> PAGEREF _Toc11407 \h </w:instrText>
      </w:r>
      <w:r>
        <w:fldChar w:fldCharType="separate"/>
      </w:r>
      <w:r>
        <w:t>266</w:t>
      </w:r>
      <w:r>
        <w:fldChar w:fldCharType="end"/>
      </w:r>
    </w:p>
    <w:p>
      <w:pPr>
        <w:pStyle w:val="21"/>
        <w:tabs>
          <w:tab w:val="right" w:pos="2000"/>
          <w:tab w:val="right" w:leader="dot" w:pos="9641"/>
          <w:tab w:val="clear" w:pos="9639"/>
        </w:tabs>
      </w:pPr>
      <w:r>
        <w:t>E.6.6</w:t>
      </w:r>
      <w:r>
        <w:tab/>
      </w:r>
      <w:r>
        <w:t>Pre FFT minimization process</w:t>
      </w:r>
      <w:r>
        <w:tab/>
      </w:r>
      <w:r>
        <w:fldChar w:fldCharType="begin"/>
      </w:r>
      <w:r>
        <w:instrText xml:space="preserve"> PAGEREF _Toc13124 \h </w:instrText>
      </w:r>
      <w:r>
        <w:fldChar w:fldCharType="separate"/>
      </w:r>
      <w:r>
        <w:t>267</w:t>
      </w:r>
      <w:r>
        <w:fldChar w:fldCharType="end"/>
      </w:r>
    </w:p>
    <w:p>
      <w:pPr>
        <w:pStyle w:val="21"/>
        <w:tabs>
          <w:tab w:val="right" w:pos="2000"/>
          <w:tab w:val="right" w:leader="dot" w:pos="9641"/>
          <w:tab w:val="clear" w:pos="9639"/>
        </w:tabs>
      </w:pPr>
      <w:r>
        <w:t>E.6.7</w:t>
      </w:r>
      <w:r>
        <w:tab/>
      </w:r>
      <w:r>
        <w:t>Timing of the FFT window</w:t>
      </w:r>
      <w:r>
        <w:tab/>
      </w:r>
      <w:r>
        <w:fldChar w:fldCharType="begin"/>
      </w:r>
      <w:r>
        <w:instrText xml:space="preserve"> PAGEREF _Toc12066 \h </w:instrText>
      </w:r>
      <w:r>
        <w:fldChar w:fldCharType="separate"/>
      </w:r>
      <w:r>
        <w:t>267</w:t>
      </w:r>
      <w:r>
        <w:fldChar w:fldCharType="end"/>
      </w:r>
    </w:p>
    <w:p>
      <w:pPr>
        <w:pStyle w:val="21"/>
        <w:tabs>
          <w:tab w:val="right" w:pos="2000"/>
          <w:tab w:val="right" w:leader="dot" w:pos="9641"/>
          <w:tab w:val="clear" w:pos="9639"/>
        </w:tabs>
      </w:pPr>
      <w:r>
        <w:t>E.6.8</w:t>
      </w:r>
      <w:r>
        <w:tab/>
      </w:r>
      <w:r>
        <w:t>Post FFT equalisation</w:t>
      </w:r>
      <w:r>
        <w:tab/>
      </w:r>
      <w:r>
        <w:fldChar w:fldCharType="begin"/>
      </w:r>
      <w:r>
        <w:instrText xml:space="preserve"> PAGEREF _Toc8901 \h </w:instrText>
      </w:r>
      <w:r>
        <w:fldChar w:fldCharType="separate"/>
      </w:r>
      <w:r>
        <w:t>268</w:t>
      </w:r>
      <w:r>
        <w:fldChar w:fldCharType="end"/>
      </w:r>
    </w:p>
    <w:p>
      <w:pPr>
        <w:pStyle w:val="21"/>
        <w:tabs>
          <w:tab w:val="right" w:pos="2000"/>
          <w:tab w:val="right" w:leader="dot" w:pos="9641"/>
          <w:tab w:val="clear" w:pos="9639"/>
        </w:tabs>
      </w:pPr>
      <w:r>
        <w:t>E.6.9</w:t>
      </w:r>
      <w:r>
        <w:tab/>
      </w:r>
      <w:r>
        <w:t>Derivation of the results</w:t>
      </w:r>
      <w:r>
        <w:tab/>
      </w:r>
      <w:r>
        <w:fldChar w:fldCharType="begin"/>
      </w:r>
      <w:r>
        <w:instrText xml:space="preserve"> PAGEREF _Toc3224 \h </w:instrText>
      </w:r>
      <w:r>
        <w:fldChar w:fldCharType="separate"/>
      </w:r>
      <w:r>
        <w:t>268</w:t>
      </w:r>
      <w:r>
        <w:fldChar w:fldCharType="end"/>
      </w:r>
    </w:p>
    <w:p>
      <w:pPr>
        <w:pStyle w:val="20"/>
        <w:tabs>
          <w:tab w:val="right" w:pos="2400"/>
          <w:tab w:val="right" w:leader="dot" w:pos="9641"/>
          <w:tab w:val="clear" w:pos="9639"/>
        </w:tabs>
      </w:pPr>
      <w:r>
        <w:t>E.6.9.1</w:t>
      </w:r>
      <w:r>
        <w:tab/>
      </w:r>
      <w:r>
        <w:t>EVM</w:t>
      </w:r>
      <w:r>
        <w:rPr>
          <w:szCs w:val="24"/>
          <w:vertAlign w:val="subscript"/>
        </w:rPr>
        <w:t>PRACH</w:t>
      </w:r>
      <w:r>
        <w:tab/>
      </w:r>
      <w:r>
        <w:fldChar w:fldCharType="begin"/>
      </w:r>
      <w:r>
        <w:instrText xml:space="preserve"> PAGEREF _Toc20891 \h </w:instrText>
      </w:r>
      <w:r>
        <w:fldChar w:fldCharType="separate"/>
      </w:r>
      <w:r>
        <w:t>268</w:t>
      </w:r>
      <w:r>
        <w:fldChar w:fldCharType="end"/>
      </w:r>
    </w:p>
    <w:p>
      <w:pPr>
        <w:pStyle w:val="20"/>
        <w:tabs>
          <w:tab w:val="right" w:pos="2400"/>
          <w:tab w:val="right" w:leader="dot" w:pos="9641"/>
          <w:tab w:val="clear" w:pos="9639"/>
        </w:tabs>
      </w:pPr>
      <w:r>
        <w:t>E.6.9.2</w:t>
      </w:r>
      <w:r>
        <w:tab/>
      </w:r>
      <w:r>
        <w:t>Averaged EVM</w:t>
      </w:r>
      <w:r>
        <w:rPr>
          <w:szCs w:val="28"/>
          <w:vertAlign w:val="subscript"/>
        </w:rPr>
        <w:t>PRACH</w:t>
      </w:r>
      <w:r>
        <w:tab/>
      </w:r>
      <w:r>
        <w:fldChar w:fldCharType="begin"/>
      </w:r>
      <w:r>
        <w:instrText xml:space="preserve"> PAGEREF _Toc18705 \h </w:instrText>
      </w:r>
      <w:r>
        <w:fldChar w:fldCharType="separate"/>
      </w:r>
      <w:r>
        <w:t>269</w:t>
      </w:r>
      <w:r>
        <w:fldChar w:fldCharType="end"/>
      </w:r>
    </w:p>
    <w:p>
      <w:pPr>
        <w:pStyle w:val="22"/>
        <w:tabs>
          <w:tab w:val="right" w:pos="2000"/>
          <w:tab w:val="right" w:leader="dot" w:pos="9641"/>
          <w:tab w:val="clear" w:pos="9639"/>
        </w:tabs>
      </w:pPr>
      <w:r>
        <w:t>E.7</w:t>
      </w:r>
      <w:r>
        <w:tab/>
      </w:r>
      <w:r>
        <w:rPr>
          <w:rFonts w:hint="eastAsia" w:eastAsia="宋体"/>
          <w:lang w:val="en-US" w:eastAsia="zh-CN"/>
        </w:rPr>
        <w:t>[FFS]</w:t>
      </w:r>
      <w:r>
        <w:tab/>
      </w:r>
      <w:r>
        <w:fldChar w:fldCharType="begin"/>
      </w:r>
      <w:r>
        <w:instrText xml:space="preserve"> PAGEREF _Toc25951 \h </w:instrText>
      </w:r>
      <w:r>
        <w:fldChar w:fldCharType="separate"/>
      </w:r>
      <w:r>
        <w:t>269</w:t>
      </w:r>
      <w:r>
        <w:fldChar w:fldCharType="end"/>
      </w:r>
    </w:p>
    <w:p>
      <w:pPr>
        <w:pStyle w:val="22"/>
        <w:tabs>
          <w:tab w:val="right" w:pos="2000"/>
          <w:tab w:val="right" w:leader="dot" w:pos="9641"/>
          <w:tab w:val="clear" w:pos="9639"/>
        </w:tabs>
      </w:pPr>
      <w:r>
        <w:t>E.8</w:t>
      </w:r>
      <w:r>
        <w:tab/>
      </w:r>
      <w:r>
        <w:t>EVM for category NB1</w:t>
      </w:r>
      <w:r>
        <w:tab/>
      </w:r>
      <w:r>
        <w:fldChar w:fldCharType="begin"/>
      </w:r>
      <w:r>
        <w:instrText xml:space="preserve"> PAGEREF _Toc17876 \h </w:instrText>
      </w:r>
      <w:r>
        <w:fldChar w:fldCharType="separate"/>
      </w:r>
      <w:r>
        <w:t>269</w:t>
      </w:r>
      <w:r>
        <w:fldChar w:fldCharType="end"/>
      </w:r>
    </w:p>
    <w:p>
      <w:pPr>
        <w:pStyle w:val="21"/>
        <w:tabs>
          <w:tab w:val="right" w:pos="2000"/>
          <w:tab w:val="right" w:leader="dot" w:pos="9641"/>
          <w:tab w:val="clear" w:pos="9639"/>
        </w:tabs>
      </w:pPr>
      <w:r>
        <w:t>E.8.1</w:t>
      </w:r>
      <w:r>
        <w:tab/>
      </w:r>
      <w:r>
        <w:t>Averaged EVM</w:t>
      </w:r>
      <w:r>
        <w:tab/>
      </w:r>
      <w:r>
        <w:fldChar w:fldCharType="begin"/>
      </w:r>
      <w:r>
        <w:instrText xml:space="preserve"> PAGEREF _Toc3081 \h </w:instrText>
      </w:r>
      <w:r>
        <w:fldChar w:fldCharType="separate"/>
      </w:r>
      <w:r>
        <w:t>269</w:t>
      </w:r>
      <w:r>
        <w:fldChar w:fldCharType="end"/>
      </w:r>
    </w:p>
    <w:p>
      <w:pPr>
        <w:pStyle w:val="21"/>
        <w:tabs>
          <w:tab w:val="right" w:pos="2000"/>
          <w:tab w:val="right" w:leader="dot" w:pos="9641"/>
          <w:tab w:val="clear" w:pos="9639"/>
        </w:tabs>
      </w:pPr>
      <w:r>
        <w:t>E.8.2</w:t>
      </w:r>
      <w:r>
        <w:tab/>
      </w:r>
      <w:r>
        <w:t>EVM of Demodulation reference symbols (EVM</w:t>
      </w:r>
      <w:r>
        <w:rPr>
          <w:szCs w:val="28"/>
          <w:vertAlign w:val="subscript"/>
        </w:rPr>
        <w:t>DMRS</w:t>
      </w:r>
      <w:r>
        <w:t>)</w:t>
      </w:r>
      <w:r>
        <w:tab/>
      </w:r>
      <w:r>
        <w:fldChar w:fldCharType="begin"/>
      </w:r>
      <w:r>
        <w:instrText xml:space="preserve"> PAGEREF _Toc11162 \h </w:instrText>
      </w:r>
      <w:r>
        <w:fldChar w:fldCharType="separate"/>
      </w:r>
      <w:r>
        <w:t>269</w:t>
      </w:r>
      <w:r>
        <w:fldChar w:fldCharType="end"/>
      </w:r>
    </w:p>
    <w:p>
      <w:pPr>
        <w:pStyle w:val="21"/>
        <w:tabs>
          <w:tab w:val="right" w:pos="2000"/>
          <w:tab w:val="right" w:leader="dot" w:pos="9641"/>
          <w:tab w:val="clear" w:pos="9639"/>
        </w:tabs>
      </w:pPr>
      <w:r>
        <w:t>E.8.3</w:t>
      </w:r>
      <w:r>
        <w:tab/>
      </w:r>
      <w:r>
        <w:t>EVM for NPRACH</w:t>
      </w:r>
      <w:r>
        <w:tab/>
      </w:r>
      <w:r>
        <w:fldChar w:fldCharType="begin"/>
      </w:r>
      <w:r>
        <w:instrText xml:space="preserve"> PAGEREF _Toc15240 \h </w:instrText>
      </w:r>
      <w:r>
        <w:fldChar w:fldCharType="separate"/>
      </w:r>
      <w:r>
        <w:t>269</w:t>
      </w:r>
      <w:r>
        <w:fldChar w:fldCharType="end"/>
      </w:r>
    </w:p>
    <w:p>
      <w:pPr>
        <w:pStyle w:val="21"/>
        <w:tabs>
          <w:tab w:val="right" w:pos="2000"/>
          <w:tab w:val="right" w:leader="dot" w:pos="9641"/>
          <w:tab w:val="clear" w:pos="9639"/>
        </w:tabs>
      </w:pPr>
      <w:r>
        <w:t>E.8.4</w:t>
      </w:r>
      <w:r>
        <w:tab/>
      </w:r>
      <w:r>
        <w:t>Window length for category NB1</w:t>
      </w:r>
      <w:r>
        <w:tab/>
      </w:r>
      <w:r>
        <w:fldChar w:fldCharType="begin"/>
      </w:r>
      <w:r>
        <w:instrText xml:space="preserve"> PAGEREF _Toc12362 \h </w:instrText>
      </w:r>
      <w:r>
        <w:fldChar w:fldCharType="separate"/>
      </w:r>
      <w:r>
        <w:t>269</w:t>
      </w:r>
      <w:r>
        <w:fldChar w:fldCharType="end"/>
      </w:r>
    </w:p>
    <w:p>
      <w:pPr>
        <w:pStyle w:val="54"/>
        <w:tabs>
          <w:tab w:val="right" w:leader="dot" w:pos="9641"/>
          <w:tab w:val="clear" w:pos="9639"/>
        </w:tabs>
      </w:pPr>
      <w:r>
        <w:t>Annex F (normative): Measurement uncertainties and Test Tolerances</w:t>
      </w:r>
      <w:r>
        <w:tab/>
      </w:r>
      <w:r>
        <w:fldChar w:fldCharType="begin"/>
      </w:r>
      <w:r>
        <w:instrText xml:space="preserve"> PAGEREF _Toc21264 \h </w:instrText>
      </w:r>
      <w:r>
        <w:fldChar w:fldCharType="separate"/>
      </w:r>
      <w:r>
        <w:t>270</w:t>
      </w:r>
      <w:r>
        <w:fldChar w:fldCharType="end"/>
      </w:r>
    </w:p>
    <w:p>
      <w:pPr>
        <w:pStyle w:val="22"/>
        <w:tabs>
          <w:tab w:val="right" w:pos="2000"/>
          <w:tab w:val="right" w:leader="dot" w:pos="9641"/>
          <w:tab w:val="clear" w:pos="9639"/>
        </w:tabs>
      </w:pPr>
      <w:r>
        <w:t>F.1</w:t>
      </w:r>
      <w:r>
        <w:tab/>
      </w:r>
      <w:r>
        <w:t>Acceptable uncertainty of Test System (normative)</w:t>
      </w:r>
      <w:r>
        <w:tab/>
      </w:r>
      <w:r>
        <w:fldChar w:fldCharType="begin"/>
      </w:r>
      <w:r>
        <w:instrText xml:space="preserve"> PAGEREF _Toc23433 \h </w:instrText>
      </w:r>
      <w:r>
        <w:fldChar w:fldCharType="separate"/>
      </w:r>
      <w:r>
        <w:t>270</w:t>
      </w:r>
      <w:r>
        <w:fldChar w:fldCharType="end"/>
      </w:r>
    </w:p>
    <w:p>
      <w:pPr>
        <w:pStyle w:val="21"/>
        <w:tabs>
          <w:tab w:val="right" w:pos="2000"/>
          <w:tab w:val="right" w:leader="dot" w:pos="9641"/>
          <w:tab w:val="clear" w:pos="9639"/>
        </w:tabs>
      </w:pPr>
      <w:r>
        <w:t>F.1.1</w:t>
      </w:r>
      <w:r>
        <w:tab/>
      </w:r>
      <w:r>
        <w:rPr>
          <w:lang w:eastAsia="sv-SE"/>
        </w:rPr>
        <w:t>Measurement of test environments</w:t>
      </w:r>
      <w:r>
        <w:tab/>
      </w:r>
      <w:r>
        <w:fldChar w:fldCharType="begin"/>
      </w:r>
      <w:r>
        <w:instrText xml:space="preserve"> PAGEREF _Toc21486 \h </w:instrText>
      </w:r>
      <w:r>
        <w:fldChar w:fldCharType="separate"/>
      </w:r>
      <w:r>
        <w:t>270</w:t>
      </w:r>
      <w:r>
        <w:fldChar w:fldCharType="end"/>
      </w:r>
    </w:p>
    <w:p>
      <w:pPr>
        <w:pStyle w:val="21"/>
        <w:tabs>
          <w:tab w:val="right" w:pos="2000"/>
          <w:tab w:val="right" w:leader="dot" w:pos="9641"/>
          <w:tab w:val="clear" w:pos="9639"/>
        </w:tabs>
      </w:pPr>
      <w:r>
        <w:t>F.1.2</w:t>
      </w:r>
      <w:r>
        <w:tab/>
      </w:r>
      <w:r>
        <w:rPr>
          <w:lang w:eastAsia="sv-SE"/>
        </w:rPr>
        <w:t xml:space="preserve">Measurement of </w:t>
      </w:r>
      <w:r>
        <w:t>transmitter</w:t>
      </w:r>
      <w:r>
        <w:tab/>
      </w:r>
      <w:r>
        <w:fldChar w:fldCharType="begin"/>
      </w:r>
      <w:r>
        <w:instrText xml:space="preserve"> PAGEREF _Toc18630 \h </w:instrText>
      </w:r>
      <w:r>
        <w:fldChar w:fldCharType="separate"/>
      </w:r>
      <w:r>
        <w:t>271</w:t>
      </w:r>
      <w:r>
        <w:fldChar w:fldCharType="end"/>
      </w:r>
    </w:p>
    <w:p>
      <w:pPr>
        <w:pStyle w:val="21"/>
        <w:tabs>
          <w:tab w:val="right" w:pos="2000"/>
          <w:tab w:val="right" w:leader="dot" w:pos="9641"/>
          <w:tab w:val="clear" w:pos="9639"/>
        </w:tabs>
      </w:pPr>
      <w:r>
        <w:t>F.1.3</w:t>
      </w:r>
      <w:r>
        <w:tab/>
      </w:r>
      <w:r>
        <w:rPr>
          <w:lang w:eastAsia="sv-SE"/>
        </w:rPr>
        <w:t xml:space="preserve">Measurement of </w:t>
      </w:r>
      <w:r>
        <w:t>receiver</w:t>
      </w:r>
      <w:r>
        <w:tab/>
      </w:r>
      <w:r>
        <w:fldChar w:fldCharType="begin"/>
      </w:r>
      <w:r>
        <w:instrText xml:space="preserve"> PAGEREF _Toc21980 \h </w:instrText>
      </w:r>
      <w:r>
        <w:fldChar w:fldCharType="separate"/>
      </w:r>
      <w:r>
        <w:t>273</w:t>
      </w:r>
      <w:r>
        <w:fldChar w:fldCharType="end"/>
      </w:r>
    </w:p>
    <w:p>
      <w:pPr>
        <w:pStyle w:val="21"/>
        <w:tabs>
          <w:tab w:val="right" w:pos="2000"/>
          <w:tab w:val="right" w:leader="dot" w:pos="9641"/>
          <w:tab w:val="clear" w:pos="9639"/>
        </w:tabs>
      </w:pPr>
      <w:r>
        <w:t>F.1.4</w:t>
      </w:r>
      <w:r>
        <w:tab/>
      </w:r>
      <w:r>
        <w:rPr>
          <w:lang w:eastAsia="sv-SE"/>
        </w:rPr>
        <w:t xml:space="preserve">Measurement of </w:t>
      </w:r>
      <w:r>
        <w:t>performance requirements</w:t>
      </w:r>
      <w:r>
        <w:tab/>
      </w:r>
      <w:r>
        <w:fldChar w:fldCharType="begin"/>
      </w:r>
      <w:r>
        <w:instrText xml:space="preserve"> PAGEREF _Toc6827 \h </w:instrText>
      </w:r>
      <w:r>
        <w:fldChar w:fldCharType="separate"/>
      </w:r>
      <w:r>
        <w:t>274</w:t>
      </w:r>
      <w:r>
        <w:fldChar w:fldCharType="end"/>
      </w:r>
    </w:p>
    <w:p>
      <w:pPr>
        <w:pStyle w:val="22"/>
        <w:tabs>
          <w:tab w:val="right" w:pos="2000"/>
          <w:tab w:val="right" w:leader="dot" w:pos="9641"/>
          <w:tab w:val="clear" w:pos="9639"/>
        </w:tabs>
      </w:pPr>
      <w:r>
        <w:t>F.2</w:t>
      </w:r>
      <w:r>
        <w:tab/>
      </w:r>
      <w:r>
        <w:t>Interpretation of measurement results (normative)</w:t>
      </w:r>
      <w:r>
        <w:tab/>
      </w:r>
      <w:r>
        <w:fldChar w:fldCharType="begin"/>
      </w:r>
      <w:r>
        <w:instrText xml:space="preserve"> PAGEREF _Toc15159 \h </w:instrText>
      </w:r>
      <w:r>
        <w:fldChar w:fldCharType="separate"/>
      </w:r>
      <w:r>
        <w:t>274</w:t>
      </w:r>
      <w:r>
        <w:fldChar w:fldCharType="end"/>
      </w:r>
    </w:p>
    <w:p>
      <w:pPr>
        <w:pStyle w:val="22"/>
        <w:tabs>
          <w:tab w:val="right" w:pos="2000"/>
          <w:tab w:val="right" w:leader="dot" w:pos="9641"/>
          <w:tab w:val="clear" w:pos="9639"/>
        </w:tabs>
      </w:pPr>
      <w:r>
        <w:t>F.3</w:t>
      </w:r>
      <w:r>
        <w:tab/>
      </w:r>
      <w:r>
        <w:t>Test Tolerance and Derivation of Test Requirements (informative)</w:t>
      </w:r>
      <w:r>
        <w:tab/>
      </w:r>
      <w:r>
        <w:fldChar w:fldCharType="begin"/>
      </w:r>
      <w:r>
        <w:instrText xml:space="preserve"> PAGEREF _Toc13086 \h </w:instrText>
      </w:r>
      <w:r>
        <w:fldChar w:fldCharType="separate"/>
      </w:r>
      <w:r>
        <w:t>275</w:t>
      </w:r>
      <w:r>
        <w:fldChar w:fldCharType="end"/>
      </w:r>
    </w:p>
    <w:p>
      <w:pPr>
        <w:pStyle w:val="21"/>
        <w:tabs>
          <w:tab w:val="right" w:pos="2000"/>
          <w:tab w:val="right" w:leader="dot" w:pos="9641"/>
          <w:tab w:val="clear" w:pos="9639"/>
        </w:tabs>
      </w:pPr>
      <w:r>
        <w:t>F.3.1</w:t>
      </w:r>
      <w:r>
        <w:tab/>
      </w:r>
      <w:r>
        <w:rPr>
          <w:lang w:eastAsia="sv-SE"/>
        </w:rPr>
        <w:t>Measurement of test environments</w:t>
      </w:r>
      <w:r>
        <w:tab/>
      </w:r>
      <w:r>
        <w:fldChar w:fldCharType="begin"/>
      </w:r>
      <w:r>
        <w:instrText xml:space="preserve"> PAGEREF _Toc2935 \h </w:instrText>
      </w:r>
      <w:r>
        <w:fldChar w:fldCharType="separate"/>
      </w:r>
      <w:r>
        <w:t>275</w:t>
      </w:r>
      <w:r>
        <w:fldChar w:fldCharType="end"/>
      </w:r>
    </w:p>
    <w:p>
      <w:pPr>
        <w:pStyle w:val="21"/>
        <w:tabs>
          <w:tab w:val="right" w:pos="2000"/>
          <w:tab w:val="right" w:leader="dot" w:pos="9641"/>
          <w:tab w:val="clear" w:pos="9639"/>
        </w:tabs>
      </w:pPr>
      <w:r>
        <w:t>F.3.2</w:t>
      </w:r>
      <w:r>
        <w:tab/>
      </w:r>
      <w:r>
        <w:rPr>
          <w:lang w:eastAsia="sv-SE"/>
        </w:rPr>
        <w:t xml:space="preserve">Measurement of </w:t>
      </w:r>
      <w:r>
        <w:t>transmitter</w:t>
      </w:r>
      <w:r>
        <w:tab/>
      </w:r>
      <w:r>
        <w:fldChar w:fldCharType="begin"/>
      </w:r>
      <w:r>
        <w:instrText xml:space="preserve"> PAGEREF _Toc7218 \h </w:instrText>
      </w:r>
      <w:r>
        <w:fldChar w:fldCharType="separate"/>
      </w:r>
      <w:r>
        <w:t>276</w:t>
      </w:r>
      <w:r>
        <w:fldChar w:fldCharType="end"/>
      </w:r>
    </w:p>
    <w:p>
      <w:pPr>
        <w:pStyle w:val="21"/>
        <w:tabs>
          <w:tab w:val="right" w:pos="2000"/>
          <w:tab w:val="right" w:leader="dot" w:pos="9641"/>
          <w:tab w:val="clear" w:pos="9639"/>
        </w:tabs>
      </w:pPr>
      <w:r>
        <w:t>F.3.3</w:t>
      </w:r>
      <w:r>
        <w:tab/>
      </w:r>
      <w:r>
        <w:rPr>
          <w:lang w:eastAsia="sv-SE"/>
        </w:rPr>
        <w:t xml:space="preserve">Measurement of </w:t>
      </w:r>
      <w:r>
        <w:t>receiver</w:t>
      </w:r>
      <w:r>
        <w:tab/>
      </w:r>
      <w:r>
        <w:fldChar w:fldCharType="begin"/>
      </w:r>
      <w:r>
        <w:instrText xml:space="preserve"> PAGEREF _Toc20189 \h </w:instrText>
      </w:r>
      <w:r>
        <w:fldChar w:fldCharType="separate"/>
      </w:r>
      <w:r>
        <w:t>280</w:t>
      </w:r>
      <w:r>
        <w:fldChar w:fldCharType="end"/>
      </w:r>
    </w:p>
    <w:p>
      <w:pPr>
        <w:pStyle w:val="21"/>
        <w:tabs>
          <w:tab w:val="right" w:pos="2000"/>
          <w:tab w:val="right" w:leader="dot" w:pos="9641"/>
          <w:tab w:val="clear" w:pos="9639"/>
        </w:tabs>
      </w:pPr>
      <w:r>
        <w:t>F.3.4</w:t>
      </w:r>
      <w:r>
        <w:tab/>
      </w:r>
      <w:r>
        <w:rPr>
          <w:lang w:eastAsia="sv-SE"/>
        </w:rPr>
        <w:t xml:space="preserve">Measurement of </w:t>
      </w:r>
      <w:r>
        <w:t>performance requirements</w:t>
      </w:r>
      <w:r>
        <w:tab/>
      </w:r>
      <w:r>
        <w:fldChar w:fldCharType="begin"/>
      </w:r>
      <w:r>
        <w:instrText xml:space="preserve"> PAGEREF _Toc12729 \h </w:instrText>
      </w:r>
      <w:r>
        <w:fldChar w:fldCharType="separate"/>
      </w:r>
      <w:r>
        <w:t>281</w:t>
      </w:r>
      <w:r>
        <w:fldChar w:fldCharType="end"/>
      </w:r>
    </w:p>
    <w:p>
      <w:pPr>
        <w:pStyle w:val="54"/>
        <w:tabs>
          <w:tab w:val="right" w:leader="dot" w:pos="9641"/>
          <w:tab w:val="clear" w:pos="9639"/>
        </w:tabs>
      </w:pPr>
      <w:r>
        <w:t>Annex G (no</w:t>
      </w:r>
      <w:r>
        <w:rPr>
          <w:lang w:eastAsia="en-GB"/>
        </w:rPr>
        <w:t>rmative</w:t>
      </w:r>
      <w:r>
        <w:t xml:space="preserve">): </w:t>
      </w:r>
      <w:r>
        <w:rPr>
          <w:rFonts w:cs="v4.2.0"/>
        </w:rPr>
        <w:t>Statistical Testing</w:t>
      </w:r>
      <w:r>
        <w:tab/>
      </w:r>
      <w:r>
        <w:fldChar w:fldCharType="begin"/>
      </w:r>
      <w:r>
        <w:instrText xml:space="preserve"> PAGEREF _Toc23612 \h </w:instrText>
      </w:r>
      <w:r>
        <w:fldChar w:fldCharType="separate"/>
      </w:r>
      <w:r>
        <w:t>282</w:t>
      </w:r>
      <w:r>
        <w:fldChar w:fldCharType="end"/>
      </w:r>
    </w:p>
    <w:p>
      <w:pPr>
        <w:pStyle w:val="22"/>
        <w:tabs>
          <w:tab w:val="right" w:pos="2000"/>
          <w:tab w:val="right" w:leader="dot" w:pos="9641"/>
          <w:tab w:val="clear" w:pos="9639"/>
        </w:tabs>
      </w:pPr>
      <w:r>
        <w:t>G.1</w:t>
      </w:r>
      <w:r>
        <w:tab/>
      </w:r>
      <w:r>
        <w:t>General</w:t>
      </w:r>
      <w:r>
        <w:tab/>
      </w:r>
      <w:r>
        <w:fldChar w:fldCharType="begin"/>
      </w:r>
      <w:r>
        <w:instrText xml:space="preserve"> PAGEREF _Toc22618 \h </w:instrText>
      </w:r>
      <w:r>
        <w:fldChar w:fldCharType="separate"/>
      </w:r>
      <w:r>
        <w:t>282</w:t>
      </w:r>
      <w:r>
        <w:fldChar w:fldCharType="end"/>
      </w:r>
    </w:p>
    <w:p>
      <w:pPr>
        <w:pStyle w:val="22"/>
        <w:tabs>
          <w:tab w:val="right" w:pos="2000"/>
          <w:tab w:val="right" w:leader="dot" w:pos="9641"/>
          <w:tab w:val="clear" w:pos="9639"/>
        </w:tabs>
      </w:pPr>
      <w:r>
        <w:t>G.2</w:t>
      </w:r>
      <w:r>
        <w:tab/>
      </w:r>
      <w:r>
        <w:t>Statistical testing of receiver characteristics</w:t>
      </w:r>
      <w:r>
        <w:tab/>
      </w:r>
      <w:r>
        <w:fldChar w:fldCharType="begin"/>
      </w:r>
      <w:r>
        <w:instrText xml:space="preserve"> PAGEREF _Toc21052 \h </w:instrText>
      </w:r>
      <w:r>
        <w:fldChar w:fldCharType="separate"/>
      </w:r>
      <w:r>
        <w:t>282</w:t>
      </w:r>
      <w:r>
        <w:fldChar w:fldCharType="end"/>
      </w:r>
    </w:p>
    <w:p>
      <w:pPr>
        <w:pStyle w:val="21"/>
        <w:tabs>
          <w:tab w:val="right" w:pos="2000"/>
          <w:tab w:val="right" w:leader="dot" w:pos="9641"/>
          <w:tab w:val="clear" w:pos="9639"/>
        </w:tabs>
      </w:pPr>
      <w:r>
        <w:t>G.2.1</w:t>
      </w:r>
      <w:r>
        <w:tab/>
      </w:r>
      <w:r>
        <w:t>General</w:t>
      </w:r>
      <w:r>
        <w:tab/>
      </w:r>
      <w:r>
        <w:fldChar w:fldCharType="begin"/>
      </w:r>
      <w:r>
        <w:instrText xml:space="preserve"> PAGEREF _Toc13906 \h </w:instrText>
      </w:r>
      <w:r>
        <w:fldChar w:fldCharType="separate"/>
      </w:r>
      <w:r>
        <w:t>282</w:t>
      </w:r>
      <w:r>
        <w:fldChar w:fldCharType="end"/>
      </w:r>
    </w:p>
    <w:p>
      <w:pPr>
        <w:pStyle w:val="21"/>
        <w:tabs>
          <w:tab w:val="right" w:pos="2000"/>
          <w:tab w:val="right" w:leader="dot" w:pos="9641"/>
          <w:tab w:val="clear" w:pos="9639"/>
        </w:tabs>
      </w:pPr>
      <w:r>
        <w:t>G.2.2</w:t>
      </w:r>
      <w:r>
        <w:tab/>
      </w:r>
      <w:r>
        <w:t>Mapping throughput to error ratio</w:t>
      </w:r>
      <w:r>
        <w:tab/>
      </w:r>
      <w:r>
        <w:fldChar w:fldCharType="begin"/>
      </w:r>
      <w:r>
        <w:instrText xml:space="preserve"> PAGEREF _Toc32654 \h </w:instrText>
      </w:r>
      <w:r>
        <w:fldChar w:fldCharType="separate"/>
      </w:r>
      <w:r>
        <w:t>282</w:t>
      </w:r>
      <w:r>
        <w:fldChar w:fldCharType="end"/>
      </w:r>
    </w:p>
    <w:p>
      <w:pPr>
        <w:pStyle w:val="21"/>
        <w:tabs>
          <w:tab w:val="right" w:pos="2000"/>
          <w:tab w:val="right" w:leader="dot" w:pos="9641"/>
          <w:tab w:val="clear" w:pos="9639"/>
        </w:tabs>
      </w:pPr>
      <w:r>
        <w:t>G.2.3</w:t>
      </w:r>
      <w:r>
        <w:tab/>
      </w:r>
      <w:r>
        <w:t>Design of the test</w:t>
      </w:r>
      <w:r>
        <w:tab/>
      </w:r>
      <w:r>
        <w:fldChar w:fldCharType="begin"/>
      </w:r>
      <w:r>
        <w:instrText xml:space="preserve"> PAGEREF _Toc17229 \h </w:instrText>
      </w:r>
      <w:r>
        <w:fldChar w:fldCharType="separate"/>
      </w:r>
      <w:r>
        <w:t>282</w:t>
      </w:r>
      <w:r>
        <w:fldChar w:fldCharType="end"/>
      </w:r>
    </w:p>
    <w:p>
      <w:pPr>
        <w:pStyle w:val="21"/>
        <w:tabs>
          <w:tab w:val="right" w:pos="2000"/>
          <w:tab w:val="right" w:leader="dot" w:pos="9641"/>
          <w:tab w:val="clear" w:pos="9639"/>
        </w:tabs>
      </w:pPr>
      <w:r>
        <w:t>G.2.4</w:t>
      </w:r>
      <w:r>
        <w:tab/>
      </w:r>
      <w:r>
        <w:t>Numerical definition of the pass fail limits</w:t>
      </w:r>
      <w:r>
        <w:tab/>
      </w:r>
      <w:r>
        <w:fldChar w:fldCharType="begin"/>
      </w:r>
      <w:r>
        <w:instrText xml:space="preserve"> PAGEREF _Toc23017 \h </w:instrText>
      </w:r>
      <w:r>
        <w:fldChar w:fldCharType="separate"/>
      </w:r>
      <w:r>
        <w:t>283</w:t>
      </w:r>
      <w:r>
        <w:fldChar w:fldCharType="end"/>
      </w:r>
    </w:p>
    <w:p>
      <w:pPr>
        <w:pStyle w:val="21"/>
        <w:tabs>
          <w:tab w:val="right" w:pos="2000"/>
          <w:tab w:val="right" w:leader="dot" w:pos="9641"/>
          <w:tab w:val="clear" w:pos="9639"/>
        </w:tabs>
      </w:pPr>
      <w:r>
        <w:t>G.2.5</w:t>
      </w:r>
      <w:r>
        <w:tab/>
      </w:r>
      <w:r>
        <w:t>Pass fail decision rules</w:t>
      </w:r>
      <w:r>
        <w:tab/>
      </w:r>
      <w:r>
        <w:fldChar w:fldCharType="begin"/>
      </w:r>
      <w:r>
        <w:instrText xml:space="preserve"> PAGEREF _Toc28666 \h </w:instrText>
      </w:r>
      <w:r>
        <w:fldChar w:fldCharType="separate"/>
      </w:r>
      <w:r>
        <w:t>284</w:t>
      </w:r>
      <w:r>
        <w:fldChar w:fldCharType="end"/>
      </w:r>
    </w:p>
    <w:p>
      <w:pPr>
        <w:pStyle w:val="22"/>
        <w:tabs>
          <w:tab w:val="right" w:pos="2000"/>
          <w:tab w:val="right" w:leader="dot" w:pos="9641"/>
          <w:tab w:val="clear" w:pos="9639"/>
        </w:tabs>
      </w:pPr>
      <w:r>
        <w:t>G.3</w:t>
      </w:r>
      <w:r>
        <w:tab/>
      </w:r>
      <w:r>
        <w:t>Statistical testing of Performance Requirements with throughput</w:t>
      </w:r>
      <w:r>
        <w:tab/>
      </w:r>
      <w:r>
        <w:fldChar w:fldCharType="begin"/>
      </w:r>
      <w:r>
        <w:instrText xml:space="preserve"> PAGEREF _Toc25034 \h </w:instrText>
      </w:r>
      <w:r>
        <w:fldChar w:fldCharType="separate"/>
      </w:r>
      <w:r>
        <w:t>284</w:t>
      </w:r>
      <w:r>
        <w:fldChar w:fldCharType="end"/>
      </w:r>
    </w:p>
    <w:p>
      <w:pPr>
        <w:pStyle w:val="21"/>
        <w:tabs>
          <w:tab w:val="right" w:pos="2000"/>
          <w:tab w:val="right" w:leader="dot" w:pos="9641"/>
          <w:tab w:val="clear" w:pos="9639"/>
        </w:tabs>
      </w:pPr>
      <w:r>
        <w:t>G.3.1</w:t>
      </w:r>
      <w:r>
        <w:tab/>
      </w:r>
      <w:r>
        <w:t>General</w:t>
      </w:r>
      <w:r>
        <w:tab/>
      </w:r>
      <w:r>
        <w:fldChar w:fldCharType="begin"/>
      </w:r>
      <w:r>
        <w:instrText xml:space="preserve"> PAGEREF _Toc27460 \h </w:instrText>
      </w:r>
      <w:r>
        <w:fldChar w:fldCharType="separate"/>
      </w:r>
      <w:r>
        <w:t>284</w:t>
      </w:r>
      <w:r>
        <w:fldChar w:fldCharType="end"/>
      </w:r>
    </w:p>
    <w:p>
      <w:pPr>
        <w:pStyle w:val="21"/>
        <w:tabs>
          <w:tab w:val="right" w:pos="2000"/>
          <w:tab w:val="right" w:leader="dot" w:pos="9641"/>
          <w:tab w:val="clear" w:pos="9639"/>
        </w:tabs>
      </w:pPr>
      <w:r>
        <w:t>G.3.2</w:t>
      </w:r>
      <w:r>
        <w:tab/>
      </w:r>
      <w:r>
        <w:t>Mapping throughput to error ratio</w:t>
      </w:r>
      <w:r>
        <w:tab/>
      </w:r>
      <w:r>
        <w:fldChar w:fldCharType="begin"/>
      </w:r>
      <w:r>
        <w:instrText xml:space="preserve"> PAGEREF _Toc326 \h </w:instrText>
      </w:r>
      <w:r>
        <w:fldChar w:fldCharType="separate"/>
      </w:r>
      <w:r>
        <w:t>284</w:t>
      </w:r>
      <w:r>
        <w:fldChar w:fldCharType="end"/>
      </w:r>
    </w:p>
    <w:p>
      <w:pPr>
        <w:pStyle w:val="21"/>
        <w:tabs>
          <w:tab w:val="right" w:pos="2000"/>
          <w:tab w:val="right" w:leader="dot" w:pos="9641"/>
          <w:tab w:val="clear" w:pos="9639"/>
        </w:tabs>
      </w:pPr>
      <w:r>
        <w:t>G.3.3</w:t>
      </w:r>
      <w:r>
        <w:tab/>
      </w:r>
      <w:r>
        <w:t>Design of the test</w:t>
      </w:r>
      <w:r>
        <w:tab/>
      </w:r>
      <w:r>
        <w:fldChar w:fldCharType="begin"/>
      </w:r>
      <w:r>
        <w:instrText xml:space="preserve"> PAGEREF _Toc31324 \h </w:instrText>
      </w:r>
      <w:r>
        <w:fldChar w:fldCharType="separate"/>
      </w:r>
      <w:r>
        <w:t>284</w:t>
      </w:r>
      <w:r>
        <w:fldChar w:fldCharType="end"/>
      </w:r>
    </w:p>
    <w:p>
      <w:pPr>
        <w:pStyle w:val="21"/>
        <w:tabs>
          <w:tab w:val="right" w:pos="2000"/>
          <w:tab w:val="right" w:leader="dot" w:pos="9641"/>
          <w:tab w:val="clear" w:pos="9639"/>
        </w:tabs>
      </w:pPr>
      <w:r>
        <w:t>G.3.4</w:t>
      </w:r>
      <w:r>
        <w:tab/>
      </w:r>
      <w:r>
        <w:t>Pass Fail limit</w:t>
      </w:r>
      <w:r>
        <w:tab/>
      </w:r>
      <w:r>
        <w:fldChar w:fldCharType="begin"/>
      </w:r>
      <w:r>
        <w:instrText xml:space="preserve"> PAGEREF _Toc9849 \h </w:instrText>
      </w:r>
      <w:r>
        <w:fldChar w:fldCharType="separate"/>
      </w:r>
      <w:r>
        <w:t>285</w:t>
      </w:r>
      <w:r>
        <w:fldChar w:fldCharType="end"/>
      </w:r>
    </w:p>
    <w:p>
      <w:pPr>
        <w:pStyle w:val="21"/>
        <w:tabs>
          <w:tab w:val="right" w:pos="2000"/>
          <w:tab w:val="right" w:leader="dot" w:pos="9641"/>
          <w:tab w:val="clear" w:pos="9639"/>
        </w:tabs>
      </w:pPr>
      <w:r>
        <w:t>G.3.5</w:t>
      </w:r>
      <w:r>
        <w:tab/>
      </w:r>
      <w:r>
        <w:t>Minimum Test time</w:t>
      </w:r>
      <w:r>
        <w:tab/>
      </w:r>
      <w:r>
        <w:fldChar w:fldCharType="begin"/>
      </w:r>
      <w:r>
        <w:instrText xml:space="preserve"> PAGEREF _Toc16880 \h </w:instrText>
      </w:r>
      <w:r>
        <w:fldChar w:fldCharType="separate"/>
      </w:r>
      <w:r>
        <w:t>285</w:t>
      </w:r>
      <w:r>
        <w:fldChar w:fldCharType="end"/>
      </w:r>
    </w:p>
    <w:p>
      <w:pPr>
        <w:pStyle w:val="22"/>
        <w:tabs>
          <w:tab w:val="right" w:pos="2000"/>
          <w:tab w:val="right" w:leader="dot" w:pos="9641"/>
          <w:tab w:val="clear" w:pos="9639"/>
        </w:tabs>
      </w:pPr>
      <w:r>
        <w:t>G.</w:t>
      </w:r>
      <w:r>
        <w:rPr>
          <w:rFonts w:hint="eastAsia" w:eastAsia="宋体"/>
          <w:lang w:val="en-US" w:eastAsia="zh-CN"/>
        </w:rPr>
        <w:t>4</w:t>
      </w:r>
      <w:r>
        <w:tab/>
      </w:r>
      <w:r>
        <w:rPr>
          <w:rFonts w:hint="eastAsia" w:eastAsia="宋体"/>
          <w:lang w:val="en-US" w:eastAsia="zh-CN"/>
        </w:rPr>
        <w:t>[FFS]</w:t>
      </w:r>
      <w:r>
        <w:tab/>
      </w:r>
      <w:r>
        <w:fldChar w:fldCharType="begin"/>
      </w:r>
      <w:r>
        <w:instrText xml:space="preserve"> PAGEREF _Toc7763 \h </w:instrText>
      </w:r>
      <w:r>
        <w:fldChar w:fldCharType="separate"/>
      </w:r>
      <w:r>
        <w:t>286</w:t>
      </w:r>
      <w:r>
        <w:fldChar w:fldCharType="end"/>
      </w:r>
    </w:p>
    <w:p>
      <w:pPr>
        <w:pStyle w:val="22"/>
        <w:tabs>
          <w:tab w:val="right" w:pos="2000"/>
          <w:tab w:val="right" w:leader="dot" w:pos="9641"/>
          <w:tab w:val="clear" w:pos="9639"/>
        </w:tabs>
      </w:pPr>
      <w:r>
        <w:t>G.</w:t>
      </w:r>
      <w:r>
        <w:rPr>
          <w:rFonts w:hint="eastAsia" w:eastAsia="宋体"/>
          <w:lang w:val="en-US" w:eastAsia="zh-CN"/>
        </w:rPr>
        <w:t>5</w:t>
      </w:r>
      <w:r>
        <w:tab/>
      </w:r>
      <w:r>
        <w:rPr>
          <w:rFonts w:hint="eastAsia" w:eastAsia="宋体"/>
          <w:lang w:val="en-US" w:eastAsia="zh-CN"/>
        </w:rPr>
        <w:t>[FFS]</w:t>
      </w:r>
      <w:r>
        <w:tab/>
      </w:r>
      <w:r>
        <w:fldChar w:fldCharType="begin"/>
      </w:r>
      <w:r>
        <w:instrText xml:space="preserve"> PAGEREF _Toc4677 \h </w:instrText>
      </w:r>
      <w:r>
        <w:fldChar w:fldCharType="separate"/>
      </w:r>
      <w:r>
        <w:t>287</w:t>
      </w:r>
      <w:r>
        <w:fldChar w:fldCharType="end"/>
      </w:r>
    </w:p>
    <w:p>
      <w:pPr>
        <w:pStyle w:val="22"/>
        <w:tabs>
          <w:tab w:val="right" w:pos="2000"/>
          <w:tab w:val="right" w:leader="dot" w:pos="9641"/>
          <w:tab w:val="clear" w:pos="9639"/>
        </w:tabs>
      </w:pPr>
      <w:r>
        <w:t>G.</w:t>
      </w:r>
      <w:r>
        <w:rPr>
          <w:rFonts w:hint="eastAsia" w:eastAsia="宋体"/>
          <w:lang w:val="en-US" w:eastAsia="zh-CN"/>
        </w:rPr>
        <w:t>6</w:t>
      </w:r>
      <w:r>
        <w:tab/>
      </w:r>
      <w:r>
        <w:rPr>
          <w:rFonts w:hint="eastAsia" w:eastAsia="宋体"/>
          <w:lang w:val="en-US" w:eastAsia="zh-CN"/>
        </w:rPr>
        <w:t>[FFS]</w:t>
      </w:r>
      <w:r>
        <w:tab/>
      </w:r>
      <w:r>
        <w:fldChar w:fldCharType="begin"/>
      </w:r>
      <w:r>
        <w:instrText xml:space="preserve"> PAGEREF _Toc6859 \h </w:instrText>
      </w:r>
      <w:r>
        <w:fldChar w:fldCharType="separate"/>
      </w:r>
      <w:r>
        <w:t>287</w:t>
      </w:r>
      <w:r>
        <w:fldChar w:fldCharType="end"/>
      </w:r>
    </w:p>
    <w:p>
      <w:pPr>
        <w:pStyle w:val="22"/>
        <w:tabs>
          <w:tab w:val="right" w:pos="2000"/>
          <w:tab w:val="right" w:leader="dot" w:pos="9641"/>
          <w:tab w:val="clear" w:pos="9639"/>
        </w:tabs>
      </w:pPr>
      <w:r>
        <w:t>G.7</w:t>
      </w:r>
      <w:r>
        <w:tab/>
      </w:r>
      <w:r>
        <w:t>Theory to derive the numbers in Table G.2.4-1 (Informative)</w:t>
      </w:r>
      <w:r>
        <w:tab/>
      </w:r>
      <w:r>
        <w:fldChar w:fldCharType="begin"/>
      </w:r>
      <w:r>
        <w:instrText xml:space="preserve"> PAGEREF _Toc5400 \h </w:instrText>
      </w:r>
      <w:r>
        <w:fldChar w:fldCharType="separate"/>
      </w:r>
      <w:r>
        <w:t>287</w:t>
      </w:r>
      <w:r>
        <w:fldChar w:fldCharType="end"/>
      </w:r>
    </w:p>
    <w:p>
      <w:pPr>
        <w:pStyle w:val="21"/>
        <w:tabs>
          <w:tab w:val="right" w:pos="2000"/>
          <w:tab w:val="right" w:leader="dot" w:pos="9641"/>
          <w:tab w:val="clear" w:pos="9639"/>
        </w:tabs>
      </w:pPr>
      <w:r>
        <w:t>G.7.1</w:t>
      </w:r>
      <w:r>
        <w:tab/>
      </w:r>
      <w:r>
        <w:t>Error Ratio (ER)</w:t>
      </w:r>
      <w:r>
        <w:tab/>
      </w:r>
      <w:r>
        <w:fldChar w:fldCharType="begin"/>
      </w:r>
      <w:r>
        <w:instrText xml:space="preserve"> PAGEREF _Toc26567 \h </w:instrText>
      </w:r>
      <w:r>
        <w:fldChar w:fldCharType="separate"/>
      </w:r>
      <w:r>
        <w:t>287</w:t>
      </w:r>
      <w:r>
        <w:fldChar w:fldCharType="end"/>
      </w:r>
    </w:p>
    <w:p>
      <w:pPr>
        <w:pStyle w:val="21"/>
        <w:tabs>
          <w:tab w:val="right" w:pos="2000"/>
          <w:tab w:val="right" w:leader="dot" w:pos="9641"/>
          <w:tab w:val="clear" w:pos="9639"/>
        </w:tabs>
      </w:pPr>
      <w:r>
        <w:t>G.7.2</w:t>
      </w:r>
      <w:r>
        <w:tab/>
      </w:r>
      <w:r>
        <w:t>Test Design</w:t>
      </w:r>
      <w:r>
        <w:tab/>
      </w:r>
      <w:r>
        <w:fldChar w:fldCharType="begin"/>
      </w:r>
      <w:r>
        <w:instrText xml:space="preserve"> PAGEREF _Toc29540 \h </w:instrText>
      </w:r>
      <w:r>
        <w:fldChar w:fldCharType="separate"/>
      </w:r>
      <w:r>
        <w:t>287</w:t>
      </w:r>
      <w:r>
        <w:fldChar w:fldCharType="end"/>
      </w:r>
    </w:p>
    <w:p>
      <w:pPr>
        <w:pStyle w:val="21"/>
        <w:tabs>
          <w:tab w:val="right" w:pos="2000"/>
          <w:tab w:val="right" w:leader="dot" w:pos="9641"/>
          <w:tab w:val="clear" w:pos="9639"/>
        </w:tabs>
      </w:pPr>
      <w:r>
        <w:t>G.7.3</w:t>
      </w:r>
      <w:r>
        <w:tab/>
      </w:r>
      <w:r>
        <w:t>Confidence level</w:t>
      </w:r>
      <w:r>
        <w:tab/>
      </w:r>
      <w:r>
        <w:fldChar w:fldCharType="begin"/>
      </w:r>
      <w:r>
        <w:instrText xml:space="preserve"> PAGEREF _Toc11329 \h </w:instrText>
      </w:r>
      <w:r>
        <w:fldChar w:fldCharType="separate"/>
      </w:r>
      <w:r>
        <w:t>287</w:t>
      </w:r>
      <w:r>
        <w:fldChar w:fldCharType="end"/>
      </w:r>
    </w:p>
    <w:p>
      <w:pPr>
        <w:pStyle w:val="21"/>
        <w:tabs>
          <w:tab w:val="right" w:pos="2000"/>
          <w:tab w:val="right" w:leader="dot" w:pos="9641"/>
          <w:tab w:val="clear" w:pos="9639"/>
        </w:tabs>
      </w:pPr>
      <w:r>
        <w:t>G.7.4</w:t>
      </w:r>
      <w:r>
        <w:tab/>
      </w:r>
      <w:r>
        <w:t>Introduction: Supplier Risk versus Customer Risk</w:t>
      </w:r>
      <w:r>
        <w:tab/>
      </w:r>
      <w:r>
        <w:fldChar w:fldCharType="begin"/>
      </w:r>
      <w:r>
        <w:instrText xml:space="preserve"> PAGEREF _Toc31363 \h </w:instrText>
      </w:r>
      <w:r>
        <w:fldChar w:fldCharType="separate"/>
      </w:r>
      <w:r>
        <w:t>287</w:t>
      </w:r>
      <w:r>
        <w:fldChar w:fldCharType="end"/>
      </w:r>
    </w:p>
    <w:p>
      <w:pPr>
        <w:pStyle w:val="21"/>
        <w:tabs>
          <w:tab w:val="right" w:pos="2000"/>
          <w:tab w:val="right" w:leader="dot" w:pos="9641"/>
          <w:tab w:val="clear" w:pos="9639"/>
        </w:tabs>
      </w:pPr>
      <w:r>
        <w:t>G.7.5</w:t>
      </w:r>
      <w:r>
        <w:tab/>
      </w:r>
      <w:r>
        <w:t>Supplier Risk versus Customer Risk</w:t>
      </w:r>
      <w:r>
        <w:tab/>
      </w:r>
      <w:r>
        <w:fldChar w:fldCharType="begin"/>
      </w:r>
      <w:r>
        <w:instrText xml:space="preserve"> PAGEREF _Toc17230 \h </w:instrText>
      </w:r>
      <w:r>
        <w:fldChar w:fldCharType="separate"/>
      </w:r>
      <w:r>
        <w:t>288</w:t>
      </w:r>
      <w:r>
        <w:fldChar w:fldCharType="end"/>
      </w:r>
    </w:p>
    <w:p>
      <w:pPr>
        <w:pStyle w:val="21"/>
        <w:tabs>
          <w:tab w:val="right" w:pos="2000"/>
          <w:tab w:val="right" w:leader="dot" w:pos="9641"/>
          <w:tab w:val="clear" w:pos="9639"/>
        </w:tabs>
      </w:pPr>
      <w:r>
        <w:t>G.7.6</w:t>
      </w:r>
      <w:r>
        <w:tab/>
      </w:r>
      <w:r>
        <w:t>Introduction: Standard test versus early decision concept</w:t>
      </w:r>
      <w:r>
        <w:tab/>
      </w:r>
      <w:r>
        <w:fldChar w:fldCharType="begin"/>
      </w:r>
      <w:r>
        <w:instrText xml:space="preserve"> PAGEREF _Toc14249 \h </w:instrText>
      </w:r>
      <w:r>
        <w:fldChar w:fldCharType="separate"/>
      </w:r>
      <w:r>
        <w:t>288</w:t>
      </w:r>
      <w:r>
        <w:fldChar w:fldCharType="end"/>
      </w:r>
    </w:p>
    <w:p>
      <w:pPr>
        <w:pStyle w:val="21"/>
        <w:tabs>
          <w:tab w:val="right" w:pos="2000"/>
          <w:tab w:val="right" w:leader="dot" w:pos="9641"/>
          <w:tab w:val="clear" w:pos="9639"/>
        </w:tabs>
      </w:pPr>
      <w:r>
        <w:t>G.7.7</w:t>
      </w:r>
      <w:r>
        <w:tab/>
      </w:r>
      <w:r>
        <w:t>Standard test versus early decision concept</w:t>
      </w:r>
      <w:r>
        <w:tab/>
      </w:r>
      <w:r>
        <w:fldChar w:fldCharType="begin"/>
      </w:r>
      <w:r>
        <w:instrText xml:space="preserve"> PAGEREF _Toc13080 \h </w:instrText>
      </w:r>
      <w:r>
        <w:fldChar w:fldCharType="separate"/>
      </w:r>
      <w:r>
        <w:t>289</w:t>
      </w:r>
      <w:r>
        <w:fldChar w:fldCharType="end"/>
      </w:r>
    </w:p>
    <w:p>
      <w:pPr>
        <w:pStyle w:val="21"/>
        <w:tabs>
          <w:tab w:val="right" w:pos="2000"/>
          <w:tab w:val="right" w:leader="dot" w:pos="9641"/>
          <w:tab w:val="clear" w:pos="9639"/>
        </w:tabs>
      </w:pPr>
      <w:r>
        <w:t>G.7.8</w:t>
      </w:r>
      <w:r>
        <w:tab/>
      </w:r>
      <w:r>
        <w:t>Selectivity</w:t>
      </w:r>
      <w:r>
        <w:tab/>
      </w:r>
      <w:r>
        <w:fldChar w:fldCharType="begin"/>
      </w:r>
      <w:r>
        <w:instrText xml:space="preserve"> PAGEREF _Toc8823 \h </w:instrText>
      </w:r>
      <w:r>
        <w:fldChar w:fldCharType="separate"/>
      </w:r>
      <w:r>
        <w:t>289</w:t>
      </w:r>
      <w:r>
        <w:fldChar w:fldCharType="end"/>
      </w:r>
    </w:p>
    <w:p>
      <w:pPr>
        <w:pStyle w:val="21"/>
        <w:tabs>
          <w:tab w:val="right" w:pos="2000"/>
          <w:tab w:val="right" w:leader="dot" w:pos="9641"/>
          <w:tab w:val="clear" w:pos="9639"/>
        </w:tabs>
      </w:pPr>
      <w:r>
        <w:t>G.7.9</w:t>
      </w:r>
      <w:r>
        <w:tab/>
      </w:r>
      <w:r>
        <w:t>Design of the test</w:t>
      </w:r>
      <w:r>
        <w:tab/>
      </w:r>
      <w:r>
        <w:fldChar w:fldCharType="begin"/>
      </w:r>
      <w:r>
        <w:instrText xml:space="preserve"> PAGEREF _Toc11716 \h </w:instrText>
      </w:r>
      <w:r>
        <w:fldChar w:fldCharType="separate"/>
      </w:r>
      <w:r>
        <w:t>290</w:t>
      </w:r>
      <w:r>
        <w:fldChar w:fldCharType="end"/>
      </w:r>
    </w:p>
    <w:p>
      <w:pPr>
        <w:pStyle w:val="21"/>
        <w:tabs>
          <w:tab w:val="right" w:pos="2400"/>
          <w:tab w:val="right" w:leader="dot" w:pos="9641"/>
          <w:tab w:val="clear" w:pos="9639"/>
        </w:tabs>
      </w:pPr>
      <w:r>
        <w:t>G.7.10</w:t>
      </w:r>
      <w:r>
        <w:tab/>
      </w:r>
      <w:r>
        <w:t>Simulation to derive the pass fail limits in Table G.2.4-1</w:t>
      </w:r>
      <w:r>
        <w:tab/>
      </w:r>
      <w:r>
        <w:fldChar w:fldCharType="begin"/>
      </w:r>
      <w:r>
        <w:instrText xml:space="preserve"> PAGEREF _Toc17487 \h </w:instrText>
      </w:r>
      <w:r>
        <w:fldChar w:fldCharType="separate"/>
      </w:r>
      <w:r>
        <w:t>290</w:t>
      </w:r>
      <w:r>
        <w:fldChar w:fldCharType="end"/>
      </w:r>
    </w:p>
    <w:p>
      <w:pPr>
        <w:pStyle w:val="54"/>
        <w:tabs>
          <w:tab w:val="right" w:leader="dot" w:pos="9641"/>
          <w:tab w:val="clear" w:pos="9639"/>
        </w:tabs>
      </w:pPr>
      <w:r>
        <w:t>Annex H (</w:t>
      </w:r>
      <w:r>
        <w:rPr>
          <w:lang w:eastAsia="en-GB"/>
        </w:rPr>
        <w:t>normative</w:t>
      </w:r>
      <w:r>
        <w:t>): Uplink Physical Channels</w:t>
      </w:r>
      <w:r>
        <w:tab/>
      </w:r>
      <w:r>
        <w:fldChar w:fldCharType="begin"/>
      </w:r>
      <w:r>
        <w:instrText xml:space="preserve"> PAGEREF _Toc18756 \h </w:instrText>
      </w:r>
      <w:r>
        <w:fldChar w:fldCharType="separate"/>
      </w:r>
      <w:r>
        <w:t>291</w:t>
      </w:r>
      <w:r>
        <w:fldChar w:fldCharType="end"/>
      </w:r>
    </w:p>
    <w:p>
      <w:pPr>
        <w:pStyle w:val="22"/>
        <w:tabs>
          <w:tab w:val="right" w:pos="2000"/>
          <w:tab w:val="right" w:leader="dot" w:pos="9641"/>
          <w:tab w:val="clear" w:pos="9639"/>
        </w:tabs>
      </w:pPr>
      <w:r>
        <w:t>H.0</w:t>
      </w:r>
      <w:r>
        <w:tab/>
      </w:r>
      <w:r>
        <w:t>Uplink Signal Levels</w:t>
      </w:r>
      <w:r>
        <w:tab/>
      </w:r>
      <w:r>
        <w:fldChar w:fldCharType="begin"/>
      </w:r>
      <w:r>
        <w:instrText xml:space="preserve"> PAGEREF _Toc19159 \h </w:instrText>
      </w:r>
      <w:r>
        <w:fldChar w:fldCharType="separate"/>
      </w:r>
      <w:r>
        <w:t>291</w:t>
      </w:r>
      <w:r>
        <w:fldChar w:fldCharType="end"/>
      </w:r>
    </w:p>
    <w:p>
      <w:pPr>
        <w:pStyle w:val="21"/>
        <w:tabs>
          <w:tab w:val="right" w:pos="2000"/>
          <w:tab w:val="right" w:leader="dot" w:pos="9641"/>
          <w:tab w:val="clear" w:pos="9639"/>
        </w:tabs>
      </w:pPr>
      <w:r>
        <w:t>H.0.1</w:t>
      </w:r>
      <w:r>
        <w:tab/>
      </w:r>
      <w:r>
        <w:t>Uplink Signal Levels for NB1</w:t>
      </w:r>
      <w:r>
        <w:tab/>
      </w:r>
      <w:r>
        <w:fldChar w:fldCharType="begin"/>
      </w:r>
      <w:r>
        <w:instrText xml:space="preserve"> PAGEREF _Toc32626 \h </w:instrText>
      </w:r>
      <w:r>
        <w:fldChar w:fldCharType="separate"/>
      </w:r>
      <w:r>
        <w:t>291</w:t>
      </w:r>
      <w:r>
        <w:fldChar w:fldCharType="end"/>
      </w:r>
    </w:p>
    <w:p>
      <w:pPr>
        <w:pStyle w:val="22"/>
        <w:tabs>
          <w:tab w:val="right" w:pos="2000"/>
          <w:tab w:val="right" w:leader="dot" w:pos="9641"/>
          <w:tab w:val="clear" w:pos="9639"/>
        </w:tabs>
      </w:pPr>
      <w:r>
        <w:t>H.1</w:t>
      </w:r>
      <w:r>
        <w:tab/>
      </w:r>
      <w:r>
        <w:t>General</w:t>
      </w:r>
      <w:r>
        <w:tab/>
      </w:r>
      <w:r>
        <w:fldChar w:fldCharType="begin"/>
      </w:r>
      <w:r>
        <w:instrText xml:space="preserve"> PAGEREF _Toc28316 \h </w:instrText>
      </w:r>
      <w:r>
        <w:fldChar w:fldCharType="separate"/>
      </w:r>
      <w:r>
        <w:t>292</w:t>
      </w:r>
      <w:r>
        <w:fldChar w:fldCharType="end"/>
      </w:r>
    </w:p>
    <w:p>
      <w:pPr>
        <w:pStyle w:val="21"/>
        <w:tabs>
          <w:tab w:val="right" w:pos="2000"/>
          <w:tab w:val="right" w:leader="dot" w:pos="9641"/>
          <w:tab w:val="clear" w:pos="9639"/>
        </w:tabs>
      </w:pPr>
      <w:r>
        <w:t>H.1.1</w:t>
      </w:r>
      <w:r>
        <w:tab/>
      </w:r>
      <w:r>
        <w:t>General for NB1</w:t>
      </w:r>
      <w:r>
        <w:tab/>
      </w:r>
      <w:r>
        <w:fldChar w:fldCharType="begin"/>
      </w:r>
      <w:r>
        <w:instrText xml:space="preserve"> PAGEREF _Toc14799 \h </w:instrText>
      </w:r>
      <w:r>
        <w:fldChar w:fldCharType="separate"/>
      </w:r>
      <w:r>
        <w:t>292</w:t>
      </w:r>
      <w:r>
        <w:fldChar w:fldCharType="end"/>
      </w:r>
    </w:p>
    <w:p>
      <w:pPr>
        <w:pStyle w:val="22"/>
        <w:tabs>
          <w:tab w:val="right" w:pos="2000"/>
          <w:tab w:val="right" w:leader="dot" w:pos="9641"/>
          <w:tab w:val="clear" w:pos="9639"/>
        </w:tabs>
      </w:pPr>
      <w:r>
        <w:t>H.2</w:t>
      </w:r>
      <w:r>
        <w:tab/>
      </w:r>
      <w:r>
        <w:t>Set-up</w:t>
      </w:r>
      <w:r>
        <w:tab/>
      </w:r>
      <w:r>
        <w:fldChar w:fldCharType="begin"/>
      </w:r>
      <w:r>
        <w:instrText xml:space="preserve"> PAGEREF _Toc655 \h </w:instrText>
      </w:r>
      <w:r>
        <w:fldChar w:fldCharType="separate"/>
      </w:r>
      <w:r>
        <w:t>292</w:t>
      </w:r>
      <w:r>
        <w:fldChar w:fldCharType="end"/>
      </w:r>
    </w:p>
    <w:p>
      <w:pPr>
        <w:pStyle w:val="21"/>
        <w:tabs>
          <w:tab w:val="right" w:pos="2000"/>
          <w:tab w:val="right" w:leader="dot" w:pos="9641"/>
          <w:tab w:val="clear" w:pos="9639"/>
        </w:tabs>
      </w:pPr>
      <w:r>
        <w:t>H.2.1</w:t>
      </w:r>
      <w:r>
        <w:tab/>
      </w:r>
      <w:r>
        <w:t>Set-up for NB1</w:t>
      </w:r>
      <w:r>
        <w:tab/>
      </w:r>
      <w:r>
        <w:fldChar w:fldCharType="begin"/>
      </w:r>
      <w:r>
        <w:instrText xml:space="preserve"> PAGEREF _Toc3061 \h </w:instrText>
      </w:r>
      <w:r>
        <w:fldChar w:fldCharType="separate"/>
      </w:r>
      <w:r>
        <w:t>293</w:t>
      </w:r>
      <w:r>
        <w:fldChar w:fldCharType="end"/>
      </w:r>
    </w:p>
    <w:p>
      <w:pPr>
        <w:pStyle w:val="22"/>
        <w:tabs>
          <w:tab w:val="right" w:pos="2000"/>
          <w:tab w:val="right" w:leader="dot" w:pos="9641"/>
          <w:tab w:val="clear" w:pos="9639"/>
        </w:tabs>
      </w:pPr>
      <w:r>
        <w:t>H.3</w:t>
      </w:r>
      <w:r>
        <w:tab/>
      </w:r>
      <w:r>
        <w:t>Connection</w:t>
      </w:r>
      <w:r>
        <w:tab/>
      </w:r>
      <w:r>
        <w:fldChar w:fldCharType="begin"/>
      </w:r>
      <w:r>
        <w:instrText xml:space="preserve"> PAGEREF _Toc23748 \h </w:instrText>
      </w:r>
      <w:r>
        <w:fldChar w:fldCharType="separate"/>
      </w:r>
      <w:r>
        <w:t>293</w:t>
      </w:r>
      <w:r>
        <w:fldChar w:fldCharType="end"/>
      </w:r>
    </w:p>
    <w:p>
      <w:pPr>
        <w:pStyle w:val="21"/>
        <w:tabs>
          <w:tab w:val="right" w:pos="2000"/>
          <w:tab w:val="right" w:leader="dot" w:pos="9641"/>
          <w:tab w:val="clear" w:pos="9639"/>
        </w:tabs>
      </w:pPr>
      <w:r>
        <w:t>H.3.0</w:t>
      </w:r>
      <w:r>
        <w:tab/>
      </w:r>
      <w:r>
        <w:t>Measurement of Transmitter Characteristics</w:t>
      </w:r>
      <w:r>
        <w:tab/>
      </w:r>
      <w:r>
        <w:fldChar w:fldCharType="begin"/>
      </w:r>
      <w:r>
        <w:instrText xml:space="preserve"> PAGEREF _Toc7046 \h </w:instrText>
      </w:r>
      <w:r>
        <w:fldChar w:fldCharType="separate"/>
      </w:r>
      <w:r>
        <w:t>293</w:t>
      </w:r>
      <w:r>
        <w:fldChar w:fldCharType="end"/>
      </w:r>
    </w:p>
    <w:p>
      <w:pPr>
        <w:pStyle w:val="21"/>
        <w:tabs>
          <w:tab w:val="right" w:pos="2000"/>
          <w:tab w:val="right" w:leader="dot" w:pos="9641"/>
          <w:tab w:val="clear" w:pos="9639"/>
        </w:tabs>
      </w:pPr>
      <w:r>
        <w:t>H.3.1</w:t>
      </w:r>
      <w:r>
        <w:tab/>
      </w:r>
      <w:r>
        <w:t>Measurement of Receiver Characteristics</w:t>
      </w:r>
      <w:r>
        <w:tab/>
      </w:r>
      <w:r>
        <w:fldChar w:fldCharType="begin"/>
      </w:r>
      <w:r>
        <w:instrText xml:space="preserve"> PAGEREF _Toc8994 \h </w:instrText>
      </w:r>
      <w:r>
        <w:fldChar w:fldCharType="separate"/>
      </w:r>
      <w:r>
        <w:t>293</w:t>
      </w:r>
      <w:r>
        <w:fldChar w:fldCharType="end"/>
      </w:r>
    </w:p>
    <w:p>
      <w:pPr>
        <w:pStyle w:val="21"/>
        <w:tabs>
          <w:tab w:val="right" w:pos="2000"/>
          <w:tab w:val="right" w:leader="dot" w:pos="9641"/>
          <w:tab w:val="clear" w:pos="9639"/>
        </w:tabs>
      </w:pPr>
      <w:r>
        <w:t>H.3.2</w:t>
      </w:r>
      <w:r>
        <w:tab/>
      </w:r>
      <w:r>
        <w:t>Measurement of Performance Requirements</w:t>
      </w:r>
      <w:r>
        <w:tab/>
      </w:r>
      <w:r>
        <w:fldChar w:fldCharType="begin"/>
      </w:r>
      <w:r>
        <w:instrText xml:space="preserve"> PAGEREF _Toc31319 \h </w:instrText>
      </w:r>
      <w:r>
        <w:fldChar w:fldCharType="separate"/>
      </w:r>
      <w:r>
        <w:t>293</w:t>
      </w:r>
      <w:r>
        <w:fldChar w:fldCharType="end"/>
      </w:r>
    </w:p>
    <w:p>
      <w:pPr>
        <w:pStyle w:val="22"/>
        <w:tabs>
          <w:tab w:val="right" w:pos="2000"/>
          <w:tab w:val="right" w:leader="dot" w:pos="9641"/>
          <w:tab w:val="clear" w:pos="9639"/>
        </w:tabs>
      </w:pPr>
      <w:r>
        <w:t>H.4</w:t>
      </w:r>
      <w:r>
        <w:tab/>
      </w:r>
      <w:r>
        <w:t>Connection for NB1</w:t>
      </w:r>
      <w:r>
        <w:tab/>
      </w:r>
      <w:r>
        <w:fldChar w:fldCharType="begin"/>
      </w:r>
      <w:r>
        <w:instrText xml:space="preserve"> PAGEREF _Toc15759 \h </w:instrText>
      </w:r>
      <w:r>
        <w:fldChar w:fldCharType="separate"/>
      </w:r>
      <w:r>
        <w:t>293</w:t>
      </w:r>
      <w:r>
        <w:fldChar w:fldCharType="end"/>
      </w:r>
    </w:p>
    <w:p>
      <w:pPr>
        <w:pStyle w:val="21"/>
        <w:tabs>
          <w:tab w:val="right" w:pos="2000"/>
          <w:tab w:val="right" w:leader="dot" w:pos="9641"/>
          <w:tab w:val="clear" w:pos="9639"/>
        </w:tabs>
      </w:pPr>
      <w:r>
        <w:t>H.4.0</w:t>
      </w:r>
      <w:r>
        <w:tab/>
      </w:r>
      <w:r>
        <w:t>Measurement of Transmitter Characteristics</w:t>
      </w:r>
      <w:r>
        <w:tab/>
      </w:r>
      <w:r>
        <w:fldChar w:fldCharType="begin"/>
      </w:r>
      <w:r>
        <w:instrText xml:space="preserve"> PAGEREF _Toc8335 \h </w:instrText>
      </w:r>
      <w:r>
        <w:fldChar w:fldCharType="separate"/>
      </w:r>
      <w:r>
        <w:t>293</w:t>
      </w:r>
      <w:r>
        <w:fldChar w:fldCharType="end"/>
      </w:r>
    </w:p>
    <w:p>
      <w:pPr>
        <w:pStyle w:val="21"/>
        <w:tabs>
          <w:tab w:val="right" w:pos="2000"/>
          <w:tab w:val="right" w:leader="dot" w:pos="9641"/>
          <w:tab w:val="clear" w:pos="9639"/>
        </w:tabs>
      </w:pPr>
      <w:r>
        <w:t>H.4.1</w:t>
      </w:r>
      <w:r>
        <w:tab/>
      </w:r>
      <w:r>
        <w:t>Measurement of Receiver Characteristics</w:t>
      </w:r>
      <w:r>
        <w:tab/>
      </w:r>
      <w:r>
        <w:fldChar w:fldCharType="begin"/>
      </w:r>
      <w:r>
        <w:instrText xml:space="preserve"> PAGEREF _Toc7175 \h </w:instrText>
      </w:r>
      <w:r>
        <w:fldChar w:fldCharType="separate"/>
      </w:r>
      <w:r>
        <w:t>294</w:t>
      </w:r>
      <w:r>
        <w:fldChar w:fldCharType="end"/>
      </w:r>
    </w:p>
    <w:p>
      <w:pPr>
        <w:pStyle w:val="21"/>
        <w:tabs>
          <w:tab w:val="right" w:pos="2000"/>
          <w:tab w:val="right" w:leader="dot" w:pos="9641"/>
          <w:tab w:val="clear" w:pos="9639"/>
        </w:tabs>
      </w:pPr>
      <w:r>
        <w:t>H.4.2</w:t>
      </w:r>
      <w:r>
        <w:tab/>
      </w:r>
      <w:r>
        <w:t>Measurement of Performance Requirements</w:t>
      </w:r>
      <w:r>
        <w:tab/>
      </w:r>
      <w:r>
        <w:fldChar w:fldCharType="begin"/>
      </w:r>
      <w:r>
        <w:instrText xml:space="preserve"> PAGEREF _Toc31973 \h </w:instrText>
      </w:r>
      <w:r>
        <w:fldChar w:fldCharType="separate"/>
      </w:r>
      <w:r>
        <w:t>294</w:t>
      </w:r>
      <w:r>
        <w:fldChar w:fldCharType="end"/>
      </w:r>
    </w:p>
    <w:p>
      <w:pPr>
        <w:pStyle w:val="54"/>
        <w:tabs>
          <w:tab w:val="right" w:leader="dot" w:pos="9641"/>
          <w:tab w:val="clear" w:pos="9639"/>
        </w:tabs>
      </w:pPr>
      <w:r>
        <w:t>Annex I (</w:t>
      </w:r>
      <w:r>
        <w:rPr>
          <w:rFonts w:hint="eastAsia" w:eastAsia="宋体"/>
          <w:lang w:val="en-US" w:eastAsia="zh-CN"/>
        </w:rPr>
        <w:t>reserved</w:t>
      </w:r>
      <w:r>
        <w:t>):</w:t>
      </w:r>
      <w:r>
        <w:tab/>
      </w:r>
      <w:r>
        <w:fldChar w:fldCharType="begin"/>
      </w:r>
      <w:r>
        <w:instrText xml:space="preserve"> PAGEREF _Toc24167 \h </w:instrText>
      </w:r>
      <w:r>
        <w:fldChar w:fldCharType="separate"/>
      </w:r>
      <w:r>
        <w:t>295</w:t>
      </w:r>
      <w:r>
        <w:fldChar w:fldCharType="end"/>
      </w:r>
    </w:p>
    <w:p>
      <w:pPr>
        <w:pStyle w:val="54"/>
        <w:tabs>
          <w:tab w:val="right" w:leader="dot" w:pos="9641"/>
          <w:tab w:val="clear" w:pos="9639"/>
        </w:tabs>
      </w:pPr>
      <w:r>
        <w:rPr>
          <w:rFonts w:hint="eastAsia" w:eastAsia="宋体"/>
          <w:lang w:val="en-US" w:eastAsia="zh-CN"/>
        </w:rPr>
        <w:t>A</w:t>
      </w:r>
      <w:r>
        <w:t>nnex J (</w:t>
      </w:r>
      <w:r>
        <w:rPr>
          <w:rFonts w:hint="eastAsia" w:eastAsia="宋体"/>
          <w:lang w:val="en-US" w:eastAsia="zh-CN"/>
        </w:rPr>
        <w:t>reserved</w:t>
      </w:r>
      <w:r>
        <w:t xml:space="preserve">): </w:t>
      </w:r>
      <w:r>
        <w:tab/>
      </w:r>
      <w:r>
        <w:fldChar w:fldCharType="begin"/>
      </w:r>
      <w:r>
        <w:instrText xml:space="preserve"> PAGEREF _Toc29629 \h </w:instrText>
      </w:r>
      <w:r>
        <w:fldChar w:fldCharType="separate"/>
      </w:r>
      <w:r>
        <w:t>295</w:t>
      </w:r>
      <w:r>
        <w:fldChar w:fldCharType="end"/>
      </w:r>
    </w:p>
    <w:p>
      <w:pPr>
        <w:pStyle w:val="54"/>
        <w:tabs>
          <w:tab w:val="right" w:leader="dot" w:pos="9641"/>
          <w:tab w:val="clear" w:pos="9639"/>
        </w:tabs>
      </w:pPr>
      <w:r>
        <w:t>Annex K (normative): NB-IoT Test Frequencies</w:t>
      </w:r>
      <w:r>
        <w:tab/>
      </w:r>
      <w:r>
        <w:fldChar w:fldCharType="begin"/>
      </w:r>
      <w:r>
        <w:instrText xml:space="preserve"> PAGEREF _Toc29590 \h </w:instrText>
      </w:r>
      <w:r>
        <w:fldChar w:fldCharType="separate"/>
      </w:r>
      <w:r>
        <w:t>295</w:t>
      </w:r>
      <w:r>
        <w:fldChar w:fldCharType="end"/>
      </w:r>
    </w:p>
    <w:p>
      <w:pPr>
        <w:pStyle w:val="22"/>
        <w:tabs>
          <w:tab w:val="right" w:pos="2000"/>
          <w:tab w:val="right" w:leader="dot" w:pos="9641"/>
          <w:tab w:val="clear" w:pos="9639"/>
        </w:tabs>
      </w:pPr>
      <w:r>
        <w:rPr>
          <w:rFonts w:eastAsia="MS Mincho"/>
        </w:rPr>
        <w:t>K</w:t>
      </w:r>
      <w:r>
        <w:t>.1</w:t>
      </w:r>
      <w:r>
        <w:tab/>
      </w:r>
      <w:r>
        <w:t>NB-IoT Test frequencies for TRx Tests</w:t>
      </w:r>
      <w:r>
        <w:tab/>
      </w:r>
      <w:r>
        <w:fldChar w:fldCharType="begin"/>
      </w:r>
      <w:r>
        <w:instrText xml:space="preserve"> PAGEREF _Toc11310 \h </w:instrText>
      </w:r>
      <w:r>
        <w:fldChar w:fldCharType="separate"/>
      </w:r>
      <w:r>
        <w:t>295</w:t>
      </w:r>
      <w:r>
        <w:fldChar w:fldCharType="end"/>
      </w:r>
    </w:p>
    <w:p>
      <w:pPr>
        <w:pStyle w:val="21"/>
        <w:tabs>
          <w:tab w:val="right" w:pos="2000"/>
          <w:tab w:val="right" w:leader="dot" w:pos="9641"/>
          <w:tab w:val="clear" w:pos="9639"/>
        </w:tabs>
      </w:pPr>
      <w:r>
        <w:t>K.1.1</w:t>
      </w:r>
      <w:r>
        <w:tab/>
      </w:r>
      <w:r>
        <w:t>Test frequencies selection criteria 1</w:t>
      </w:r>
      <w:r>
        <w:tab/>
      </w:r>
      <w:r>
        <w:fldChar w:fldCharType="begin"/>
      </w:r>
      <w:r>
        <w:instrText xml:space="preserve"> PAGEREF _Toc13040 \h </w:instrText>
      </w:r>
      <w:r>
        <w:fldChar w:fldCharType="separate"/>
      </w:r>
      <w:r>
        <w:t>295</w:t>
      </w:r>
      <w:r>
        <w:fldChar w:fldCharType="end"/>
      </w:r>
    </w:p>
    <w:p>
      <w:pPr>
        <w:pStyle w:val="21"/>
        <w:tabs>
          <w:tab w:val="right" w:pos="2000"/>
          <w:tab w:val="right" w:leader="dot" w:pos="9641"/>
          <w:tab w:val="clear" w:pos="9639"/>
        </w:tabs>
      </w:pPr>
      <w:r>
        <w:t>K.1.2</w:t>
      </w:r>
      <w:r>
        <w:tab/>
      </w:r>
      <w:r>
        <w:t>Test frequencies selection criteria 2</w:t>
      </w:r>
      <w:r>
        <w:tab/>
      </w:r>
      <w:r>
        <w:fldChar w:fldCharType="begin"/>
      </w:r>
      <w:r>
        <w:instrText xml:space="preserve"> PAGEREF _Toc16953 \h </w:instrText>
      </w:r>
      <w:r>
        <w:fldChar w:fldCharType="separate"/>
      </w:r>
      <w:r>
        <w:t>295</w:t>
      </w:r>
      <w:r>
        <w:fldChar w:fldCharType="end"/>
      </w:r>
    </w:p>
    <w:p>
      <w:pPr>
        <w:pStyle w:val="21"/>
        <w:tabs>
          <w:tab w:val="right" w:pos="2000"/>
          <w:tab w:val="right" w:leader="dot" w:pos="9641"/>
          <w:tab w:val="clear" w:pos="9639"/>
        </w:tabs>
      </w:pPr>
      <w:r>
        <w:t>K.1.3</w:t>
      </w:r>
      <w:r>
        <w:tab/>
      </w:r>
      <w:r>
        <w:t>Test frequencies selection criteria 3</w:t>
      </w:r>
      <w:r>
        <w:tab/>
      </w:r>
      <w:r>
        <w:fldChar w:fldCharType="begin"/>
      </w:r>
      <w:r>
        <w:instrText xml:space="preserve"> PAGEREF _Toc18981 \h </w:instrText>
      </w:r>
      <w:r>
        <w:fldChar w:fldCharType="separate"/>
      </w:r>
      <w:r>
        <w:t>295</w:t>
      </w:r>
      <w:r>
        <w:fldChar w:fldCharType="end"/>
      </w:r>
    </w:p>
    <w:p>
      <w:pPr>
        <w:pStyle w:val="22"/>
        <w:tabs>
          <w:tab w:val="right" w:pos="2000"/>
          <w:tab w:val="right" w:leader="dot" w:pos="9641"/>
          <w:tab w:val="clear" w:pos="9639"/>
        </w:tabs>
      </w:pPr>
      <w:r>
        <w:rPr>
          <w:rFonts w:eastAsia="MS Mincho"/>
        </w:rPr>
        <w:t>K</w:t>
      </w:r>
      <w:r>
        <w:t>.2</w:t>
      </w:r>
      <w:r>
        <w:tab/>
      </w:r>
      <w:r>
        <w:t>NB-IoT Test frequencies for Demodulation Tests</w:t>
      </w:r>
      <w:r>
        <w:tab/>
      </w:r>
      <w:r>
        <w:fldChar w:fldCharType="begin"/>
      </w:r>
      <w:r>
        <w:instrText xml:space="preserve"> PAGEREF _Toc28600 \h </w:instrText>
      </w:r>
      <w:r>
        <w:fldChar w:fldCharType="separate"/>
      </w:r>
      <w:r>
        <w:t>295</w:t>
      </w:r>
      <w:r>
        <w:fldChar w:fldCharType="end"/>
      </w:r>
    </w:p>
    <w:p>
      <w:pPr>
        <w:pStyle w:val="20"/>
        <w:tabs>
          <w:tab w:val="right" w:pos="2000"/>
          <w:tab w:val="right" w:leader="dot" w:pos="9641"/>
          <w:tab w:val="clear" w:pos="9639"/>
        </w:tabs>
      </w:pPr>
      <w:r>
        <w:t>K.2.1</w:t>
      </w:r>
      <w:r>
        <w:tab/>
      </w:r>
      <w:r>
        <w:t>Test frequencies selection criteria 1</w:t>
      </w:r>
      <w:r>
        <w:tab/>
      </w:r>
      <w:r>
        <w:fldChar w:fldCharType="begin"/>
      </w:r>
      <w:r>
        <w:instrText xml:space="preserve"> PAGEREF _Toc27368 \h </w:instrText>
      </w:r>
      <w:r>
        <w:fldChar w:fldCharType="separate"/>
      </w:r>
      <w:r>
        <w:t>296</w:t>
      </w:r>
      <w:r>
        <w:fldChar w:fldCharType="end"/>
      </w:r>
    </w:p>
    <w:p>
      <w:pPr>
        <w:pStyle w:val="54"/>
        <w:tabs>
          <w:tab w:val="right" w:leader="dot" w:pos="9641"/>
          <w:tab w:val="clear" w:pos="9639"/>
        </w:tabs>
      </w:pPr>
      <w:r>
        <w:t xml:space="preserve">Annex </w:t>
      </w:r>
      <w:r>
        <w:rPr>
          <w:rFonts w:hint="eastAsia" w:eastAsia="宋体"/>
          <w:lang w:val="en-US" w:eastAsia="zh-CN"/>
        </w:rPr>
        <w:t>L</w:t>
      </w:r>
      <w:r>
        <w:t xml:space="preserve"> (informative): Change history</w:t>
      </w:r>
      <w:r>
        <w:tab/>
      </w:r>
      <w:r>
        <w:fldChar w:fldCharType="begin"/>
      </w:r>
      <w:r>
        <w:instrText xml:space="preserve"> PAGEREF _Toc2513 \h </w:instrText>
      </w:r>
      <w:r>
        <w:fldChar w:fldCharType="separate"/>
      </w:r>
      <w:r>
        <w:t>296</w:t>
      </w:r>
      <w:r>
        <w:fldChar w:fldCharType="end"/>
      </w:r>
    </w:p>
    <w:p>
      <w:r>
        <w:fldChar w:fldCharType="end"/>
      </w:r>
    </w:p>
    <w:p>
      <w:pPr>
        <w:pStyle w:val="129"/>
      </w:pPr>
      <w:r>
        <w:br w:type="page"/>
      </w:r>
    </w:p>
    <w:p>
      <w:pPr>
        <w:pStyle w:val="3"/>
      </w:pPr>
      <w:bookmarkStart w:id="17" w:name="foreword"/>
      <w:bookmarkEnd w:id="17"/>
      <w:bookmarkStart w:id="18" w:name="_Toc3004"/>
      <w:bookmarkStart w:id="19" w:name="_Toc29397"/>
      <w:bookmarkStart w:id="20" w:name="_Toc31365"/>
      <w:bookmarkStart w:id="21" w:name="_Toc20167"/>
      <w:bookmarkStart w:id="22" w:name="_Toc16283"/>
      <w:bookmarkStart w:id="23" w:name="_Toc19105"/>
      <w:bookmarkStart w:id="24" w:name="_Toc18150"/>
      <w:r>
        <w:t>Foreword</w:t>
      </w:r>
      <w:bookmarkEnd w:id="18"/>
      <w:bookmarkEnd w:id="19"/>
      <w:bookmarkEnd w:id="20"/>
      <w:bookmarkEnd w:id="21"/>
      <w:bookmarkEnd w:id="22"/>
      <w:bookmarkEnd w:id="23"/>
      <w:bookmarkEnd w:id="24"/>
    </w:p>
    <w:p>
      <w:r>
        <w:t xml:space="preserve">This Technical </w:t>
      </w:r>
      <w:bookmarkStart w:id="25" w:name="spectype3"/>
      <w:r>
        <w:t>Specification</w:t>
      </w:r>
      <w:bookmarkEnd w:id="25"/>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1"/>
      </w:pPr>
      <w:r>
        <w:t>Version x.y.z</w:t>
      </w:r>
    </w:p>
    <w:p>
      <w:pPr>
        <w:pStyle w:val="111"/>
      </w:pPr>
      <w:r>
        <w:t>where:</w:t>
      </w:r>
    </w:p>
    <w:p>
      <w:pPr>
        <w:pStyle w:val="122"/>
      </w:pPr>
      <w:r>
        <w:t>x</w:t>
      </w:r>
      <w:r>
        <w:tab/>
      </w:r>
      <w:r>
        <w:t>the first digit:</w:t>
      </w:r>
    </w:p>
    <w:p>
      <w:pPr>
        <w:pStyle w:val="123"/>
      </w:pPr>
      <w:r>
        <w:t>1</w:t>
      </w:r>
      <w:r>
        <w:tab/>
      </w:r>
      <w:r>
        <w:t>presented to TSG for information;</w:t>
      </w:r>
    </w:p>
    <w:p>
      <w:pPr>
        <w:pStyle w:val="123"/>
      </w:pPr>
      <w:r>
        <w:t>2</w:t>
      </w:r>
      <w:r>
        <w:tab/>
      </w:r>
      <w:r>
        <w:t>presented to TSG for approval;</w:t>
      </w:r>
    </w:p>
    <w:p>
      <w:pPr>
        <w:pStyle w:val="123"/>
      </w:pPr>
      <w:r>
        <w:t>3</w:t>
      </w:r>
      <w:r>
        <w:tab/>
      </w:r>
      <w:r>
        <w:t>or greater indicates TSG approved document under change control.</w:t>
      </w:r>
    </w:p>
    <w:p>
      <w:pPr>
        <w:pStyle w:val="122"/>
      </w:pPr>
      <w:r>
        <w:t>y</w:t>
      </w:r>
      <w:r>
        <w:tab/>
      </w:r>
      <w:r>
        <w:t>the second digit is incremented for all changes of substance, i.e. technical enhancements, corrections, updates, etc.</w:t>
      </w:r>
    </w:p>
    <w:p>
      <w:pPr>
        <w:pStyle w:val="122"/>
      </w:pPr>
      <w:bookmarkStart w:id="26" w:name="introduction"/>
      <w:bookmarkEnd w:id="26"/>
      <w:r>
        <w:t>z</w:t>
      </w:r>
      <w:r>
        <w:tab/>
      </w:r>
      <w:r>
        <w:t>the third digit is incremented when editorial only changes have been incorporated in the document.</w:t>
      </w:r>
    </w:p>
    <w:p>
      <w:pPr>
        <w:pStyle w:val="3"/>
      </w:pPr>
      <w:bookmarkStart w:id="27" w:name="_Toc7358"/>
      <w:bookmarkStart w:id="28" w:name="_Toc27405224"/>
      <w:bookmarkStart w:id="29" w:name="_Toc28028"/>
      <w:bookmarkStart w:id="30" w:name="_Toc14492"/>
      <w:bookmarkStart w:id="31" w:name="_Toc84701293"/>
      <w:bookmarkStart w:id="32" w:name="_Toc27617"/>
      <w:bookmarkStart w:id="33" w:name="_Toc44004110"/>
      <w:bookmarkStart w:id="34" w:name="_Toc91243513"/>
      <w:bookmarkStart w:id="35" w:name="_Toc35977643"/>
      <w:bookmarkStart w:id="36" w:name="_Toc52900343"/>
      <w:bookmarkStart w:id="37" w:name="_Toc52897703"/>
      <w:bookmarkStart w:id="38" w:name="_Toc22074"/>
      <w:bookmarkStart w:id="39" w:name="_Toc58510831"/>
      <w:bookmarkStart w:id="40" w:name="_Toc4590"/>
      <w:bookmarkStart w:id="41" w:name="_Toc20726"/>
      <w:bookmarkStart w:id="42" w:name="_Toc76903327"/>
      <w:bookmarkStart w:id="43" w:name="_Toc52895534"/>
      <w:r>
        <w:t>Introduction</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r>
        <w:t>The present document is part 1 of a multi-parts TS:</w:t>
      </w:r>
    </w:p>
    <w:p>
      <w:pPr>
        <w:pStyle w:val="111"/>
      </w:pPr>
      <w:r>
        <w:tab/>
      </w:r>
      <w:r>
        <w:t>3GPP TS 36.521-1</w:t>
      </w:r>
      <w:r>
        <w:rPr>
          <w:lang w:val="en-US"/>
        </w:rPr>
        <w:t xml:space="preserve"> </w:t>
      </w:r>
      <w:r>
        <w:t>[</w:t>
      </w:r>
      <w:r>
        <w:rPr>
          <w:lang w:val="en-US"/>
        </w:rPr>
        <w:t>14</w:t>
      </w:r>
      <w:r>
        <w:t>]: Evolved Universal Terrestrial Radio Access (E-UTRA); User Equipment (UE) conformance specification Radio transmission and reception; Part 1: Conformance Testing.</w:t>
      </w:r>
    </w:p>
    <w:p>
      <w:pPr>
        <w:pStyle w:val="111"/>
      </w:pPr>
      <w:r>
        <w:tab/>
      </w:r>
      <w:r>
        <w:t>3GPP TS 36.521-2 [</w:t>
      </w:r>
      <w:r>
        <w:rPr>
          <w:lang w:val="en-US"/>
        </w:rPr>
        <w:t>15</w:t>
      </w:r>
      <w:r>
        <w:t xml:space="preserve">]: </w:t>
      </w:r>
      <w:r>
        <w:rPr>
          <w:bCs/>
        </w:rPr>
        <w:t xml:space="preserve">Evolved Universal Terrestrial Radio Access (E-UTRA); </w:t>
      </w:r>
      <w:r>
        <w:t>User Equipment (UE) conformance specification Radio transmission and reception; Part 2: Implementation Conformance Statement (ICS).</w:t>
      </w:r>
    </w:p>
    <w:p>
      <w:pPr>
        <w:pStyle w:val="111"/>
      </w:pPr>
      <w:r>
        <w:tab/>
      </w:r>
      <w:r>
        <w:t>3GPP TS 36.521-3 [</w:t>
      </w:r>
      <w:r>
        <w:rPr>
          <w:lang w:val="en-US"/>
        </w:rPr>
        <w:t>16</w:t>
      </w:r>
      <w:r>
        <w:t xml:space="preserve">]: </w:t>
      </w:r>
      <w:r>
        <w:rPr>
          <w:bCs/>
        </w:rPr>
        <w:t xml:space="preserve">Evolved Universal Terrestrial Radio Access (E-UTRA); </w:t>
      </w:r>
      <w:r>
        <w:t>User Equipment (UE) conformance specification Radio transmission and reception; Part 3: Radio Resource Management (RRM) conformance testing.</w:t>
      </w:r>
    </w:p>
    <w:p>
      <w:pPr>
        <w:pStyle w:val="111"/>
        <w:rPr>
          <w:bCs/>
        </w:rPr>
      </w:pPr>
      <w:r>
        <w:tab/>
      </w:r>
      <w:r>
        <w:t>3GPP TS 36.521-</w:t>
      </w:r>
      <w:r>
        <w:rPr>
          <w:lang w:val="en-US"/>
        </w:rPr>
        <w:t>4</w:t>
      </w:r>
      <w:r>
        <w:t xml:space="preserve">: </w:t>
      </w:r>
      <w:r>
        <w:rPr>
          <w:bCs/>
          <w:lang w:val="en-US"/>
        </w:rPr>
        <w:t>Evolved Universal Terrestrial Radio Access (E-UTRA); User Equipment (UE) conformance specification; Radio transmission and reception; Part 4: Satellite access Radio Frequency (RF) and performance Conformance Testing</w:t>
      </w:r>
    </w:p>
    <w:p>
      <w:pPr>
        <w:pStyle w:val="3"/>
      </w:pPr>
      <w:r>
        <w:br w:type="page"/>
      </w:r>
      <w:bookmarkStart w:id="44" w:name="scope"/>
      <w:bookmarkEnd w:id="44"/>
      <w:bookmarkStart w:id="45" w:name="_Toc52900344"/>
      <w:bookmarkStart w:id="46" w:name="_Toc52895535"/>
      <w:bookmarkStart w:id="47" w:name="_Toc52897704"/>
      <w:bookmarkStart w:id="48" w:name="_Toc14080"/>
      <w:bookmarkStart w:id="49" w:name="_Toc23513"/>
      <w:bookmarkStart w:id="50" w:name="_Toc31290"/>
      <w:bookmarkStart w:id="51" w:name="_Toc91243514"/>
      <w:bookmarkStart w:id="52" w:name="_Toc35977644"/>
      <w:bookmarkStart w:id="53" w:name="_Toc27405225"/>
      <w:bookmarkStart w:id="54" w:name="_Toc44004111"/>
      <w:bookmarkStart w:id="55" w:name="_Toc23745"/>
      <w:bookmarkStart w:id="56" w:name="_Toc980"/>
      <w:bookmarkStart w:id="57" w:name="_Toc28047"/>
      <w:bookmarkStart w:id="58" w:name="_Toc84701294"/>
      <w:bookmarkStart w:id="59" w:name="_Toc9522"/>
      <w:bookmarkStart w:id="60" w:name="_Toc76903328"/>
      <w:bookmarkStart w:id="61" w:name="_Toc58510832"/>
      <w:r>
        <w:t>1</w:t>
      </w:r>
      <w:r>
        <w:tab/>
      </w:r>
      <w:r>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r>
        <w:t>The present document specifies the measurement procedures for the conformance test of E-UTRA</w:t>
      </w:r>
      <w:r>
        <w:rPr>
          <w:i/>
          <w:lang w:val="en-US"/>
        </w:rPr>
        <w:t xml:space="preserve"> </w:t>
      </w:r>
      <w:r>
        <w:t>User Equipment (UE) supporting satellite access operation that contains RF and Performance requirements.</w:t>
      </w:r>
      <w:r>
        <w:rPr>
          <w:lang w:val="en-US"/>
        </w:rPr>
        <w:t xml:space="preserve"> Conformance test for the support of RRM </w:t>
      </w:r>
      <w:r>
        <w:t>(Radio Resource Management) are specified in TS 36.521-3 [</w:t>
      </w:r>
      <w:r>
        <w:rPr>
          <w:lang w:val="en-US"/>
        </w:rPr>
        <w:t>16</w:t>
      </w:r>
      <w:r>
        <w:t>].</w:t>
      </w:r>
    </w:p>
    <w:p>
      <w:pPr>
        <w:rPr>
          <w:lang w:val="en-US"/>
        </w:rPr>
      </w:pPr>
      <w:r>
        <w:t>The requirements are listed in different clauses only if the corresponding parameters deviate. More generally, tests are only applicable to those</w:t>
      </w:r>
      <w:r>
        <w:rPr>
          <w:lang w:val="en-US"/>
        </w:rPr>
        <w:t xml:space="preserve"> UE</w:t>
      </w:r>
      <w:r>
        <w:t>s that are intended to support the appropriate functionality. To indicate the circumstances in which tests apply, this is noted in the "</w:t>
      </w:r>
      <w:r>
        <w:rPr>
          <w:i/>
        </w:rPr>
        <w:t>definition</w:t>
      </w:r>
      <w:r>
        <w:t>"</w:t>
      </w:r>
      <w:r>
        <w:rPr>
          <w:i/>
        </w:rPr>
        <w:t xml:space="preserve"> </w:t>
      </w:r>
      <w:r>
        <w:t>and</w:t>
      </w:r>
      <w:r>
        <w:rPr>
          <w:i/>
        </w:rPr>
        <w:t xml:space="preserve"> </w:t>
      </w:r>
      <w:r>
        <w:t>"</w:t>
      </w:r>
      <w:r>
        <w:rPr>
          <w:i/>
        </w:rPr>
        <w:t>applicability</w:t>
      </w:r>
      <w:r>
        <w:t>" part of the test.</w:t>
      </w:r>
    </w:p>
    <w:p>
      <w:pPr>
        <w:pStyle w:val="3"/>
      </w:pPr>
      <w:bookmarkStart w:id="62" w:name="references"/>
      <w:bookmarkEnd w:id="62"/>
      <w:bookmarkStart w:id="63" w:name="_Toc27497"/>
      <w:bookmarkStart w:id="64" w:name="_Toc10199"/>
      <w:bookmarkStart w:id="65" w:name="_Toc28148"/>
      <w:bookmarkStart w:id="66" w:name="_Toc3272"/>
      <w:bookmarkStart w:id="67" w:name="_Toc29199"/>
      <w:bookmarkStart w:id="68" w:name="_Toc2753"/>
      <w:bookmarkStart w:id="69" w:name="_Toc14828"/>
      <w:r>
        <w:t>2</w:t>
      </w:r>
      <w:r>
        <w:tab/>
      </w:r>
      <w:r>
        <w:t>References</w:t>
      </w:r>
      <w:bookmarkEnd w:id="63"/>
      <w:bookmarkEnd w:id="64"/>
      <w:bookmarkEnd w:id="65"/>
      <w:bookmarkEnd w:id="66"/>
      <w:bookmarkEnd w:id="67"/>
      <w:bookmarkEnd w:id="68"/>
      <w:bookmarkEnd w:id="69"/>
    </w:p>
    <w:p>
      <w:r>
        <w:t>The following documents contain provisions which, through reference in this text, constitute provisions of the present document.</w:t>
      </w:r>
    </w:p>
    <w:p>
      <w:pPr>
        <w:pStyle w:val="111"/>
      </w:pPr>
      <w:r>
        <w:t>-</w:t>
      </w:r>
      <w:r>
        <w:tab/>
      </w:r>
      <w:r>
        <w:t>References are either specific (identified by date of publication, edition number, version number, etc.) or non</w:t>
      </w:r>
      <w:r>
        <w:noBreakHyphen/>
      </w:r>
      <w:r>
        <w:t>specific.</w:t>
      </w:r>
    </w:p>
    <w:p>
      <w:pPr>
        <w:pStyle w:val="111"/>
      </w:pPr>
      <w:r>
        <w:t>-</w:t>
      </w:r>
      <w:r>
        <w:tab/>
      </w:r>
      <w:r>
        <w:t>For a specific reference, subsequent revisions do not apply.</w:t>
      </w:r>
    </w:p>
    <w:p>
      <w:pPr>
        <w:pStyle w:val="111"/>
      </w:pPr>
      <w:r>
        <w:t>-</w:t>
      </w:r>
      <w:r>
        <w:tab/>
      </w:r>
      <w:r>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pPr>
        <w:pStyle w:val="107"/>
      </w:pPr>
      <w:bookmarkStart w:id="70" w:name="_Hlk97557962"/>
      <w:r>
        <w:t>[1]</w:t>
      </w:r>
      <w:r>
        <w:tab/>
      </w:r>
      <w:r>
        <w:t>3GPP TR 21.905: "Vocabulary for 3GPP Specifications".</w:t>
      </w:r>
      <w:bookmarkEnd w:id="70"/>
    </w:p>
    <w:p>
      <w:pPr>
        <w:pStyle w:val="107"/>
        <w:rPr>
          <w:rFonts w:eastAsia="等线"/>
        </w:rPr>
      </w:pPr>
      <w:r>
        <w:t>[2]</w:t>
      </w:r>
      <w:r>
        <w:tab/>
      </w:r>
      <w:r>
        <w:rPr>
          <w:rFonts w:eastAsia="等线"/>
        </w:rPr>
        <w:t>[3]</w:t>
      </w:r>
      <w:r>
        <w:rPr>
          <w:rFonts w:eastAsia="等线"/>
        </w:rPr>
        <w:tab/>
      </w:r>
      <w:r>
        <w:t>3GPP TS 36.108: "</w:t>
      </w:r>
      <w:r>
        <w:rPr>
          <w:color w:val="000000"/>
        </w:rPr>
        <w:t xml:space="preserve">Evolved Universal Terrestrial Radio Access (E-UTRA); </w:t>
      </w:r>
      <w:r>
        <w:t>Satellite Access Node (SAN) radio transmission and reception".</w:t>
      </w:r>
    </w:p>
    <w:p>
      <w:pPr>
        <w:pStyle w:val="107"/>
      </w:pPr>
      <w:r>
        <w:rPr>
          <w:rFonts w:eastAsia="等线"/>
        </w:rPr>
        <w:t>[</w:t>
      </w:r>
      <w:r>
        <w:rPr>
          <w:rFonts w:eastAsia="等线"/>
          <w:lang w:val="en-US"/>
        </w:rPr>
        <w:t>3</w:t>
      </w:r>
      <w:r>
        <w:rPr>
          <w:rFonts w:eastAsia="等线"/>
        </w:rPr>
        <w:t>]</w:t>
      </w:r>
      <w:r>
        <w:rPr>
          <w:rFonts w:eastAsia="等线"/>
        </w:rPr>
        <w:tab/>
      </w:r>
      <w:r>
        <w:t>3GPP TS 36.211: "</w:t>
      </w:r>
      <w:bookmarkStart w:id="71" w:name="OLE_LINK45"/>
      <w:bookmarkStart w:id="72" w:name="OLE_LINK44"/>
      <w:r>
        <w:rPr>
          <w:color w:val="000000"/>
        </w:rPr>
        <w:t xml:space="preserve">Evolved Universal Terrestrial Radio Access (E-UTRA); </w:t>
      </w:r>
      <w:r>
        <w:t>Physical Channels and Modulation</w:t>
      </w:r>
      <w:bookmarkEnd w:id="71"/>
      <w:bookmarkEnd w:id="72"/>
      <w:r>
        <w:t>".</w:t>
      </w:r>
    </w:p>
    <w:p>
      <w:pPr>
        <w:pStyle w:val="107"/>
        <w:rPr>
          <w:rFonts w:eastAsia="等线"/>
        </w:rPr>
      </w:pPr>
      <w:r>
        <w:rPr>
          <w:rFonts w:eastAsia="等线"/>
        </w:rPr>
        <w:t>[</w:t>
      </w:r>
      <w:r>
        <w:rPr>
          <w:rFonts w:eastAsia="等线"/>
          <w:lang w:val="en-US"/>
        </w:rPr>
        <w:t>4</w:t>
      </w:r>
      <w:r>
        <w:rPr>
          <w:rFonts w:eastAsia="等线"/>
        </w:rPr>
        <w:t>]</w:t>
      </w:r>
      <w:r>
        <w:rPr>
          <w:rFonts w:eastAsia="等线"/>
        </w:rPr>
        <w:tab/>
      </w:r>
      <w:r>
        <w:t>ITU-R Recommendation M.1545: "Measurement uncertainty as it applies to test limits for the terrestrial component of International Mobile Telecommunications-2000".</w:t>
      </w:r>
    </w:p>
    <w:p>
      <w:pPr>
        <w:pStyle w:val="107"/>
      </w:pPr>
      <w:r>
        <w:rPr>
          <w:rFonts w:eastAsia="等线"/>
        </w:rPr>
        <w:t>[</w:t>
      </w:r>
      <w:r>
        <w:rPr>
          <w:rFonts w:eastAsia="等线"/>
          <w:lang w:val="en-US"/>
        </w:rPr>
        <w:t>5</w:t>
      </w:r>
      <w:r>
        <w:rPr>
          <w:rFonts w:eastAsia="等线"/>
        </w:rPr>
        <w:t>]</w:t>
      </w:r>
      <w:r>
        <w:rPr>
          <w:rFonts w:eastAsia="等线"/>
        </w:rPr>
        <w:tab/>
      </w:r>
      <w:r>
        <w:t>3GPP TS 36.307: "</w:t>
      </w:r>
      <w:r>
        <w:rPr>
          <w:color w:val="000000"/>
        </w:rPr>
        <w:t xml:space="preserve">Evolved Universal Terrestrial Radio Access (E-UTRA); </w:t>
      </w:r>
      <w:r>
        <w:t>Requirements on User Equipments (UEs) supporting a release-independent frequency band".</w:t>
      </w:r>
    </w:p>
    <w:p>
      <w:pPr>
        <w:pStyle w:val="107"/>
        <w:rPr>
          <w:rFonts w:eastAsia="等线"/>
        </w:rPr>
      </w:pPr>
      <w:r>
        <w:rPr>
          <w:rFonts w:hint="eastAsia"/>
        </w:rPr>
        <w:t>[</w:t>
      </w:r>
      <w:r>
        <w:rPr>
          <w:lang w:val="en-US"/>
        </w:rPr>
        <w:t>6</w:t>
      </w:r>
      <w:r>
        <w:t>]</w:t>
      </w:r>
      <w:r>
        <w:tab/>
      </w:r>
      <w:r>
        <w:t>3GPP TS 36.331: "</w:t>
      </w:r>
      <w:r>
        <w:rPr>
          <w:color w:val="000000"/>
        </w:rPr>
        <w:t>Evolved Universal Terrestrial Radio Access (E-UTRA); Radio Resource Control (RRC); Protocol specification</w:t>
      </w:r>
      <w:r>
        <w:t>".</w:t>
      </w:r>
    </w:p>
    <w:p>
      <w:pPr>
        <w:pStyle w:val="107"/>
        <w:rPr>
          <w:rFonts w:eastAsia="等线"/>
          <w:lang w:val="en-US"/>
        </w:rPr>
      </w:pPr>
      <w:r>
        <w:rPr>
          <w:rFonts w:hint="eastAsia" w:eastAsia="等线"/>
        </w:rPr>
        <w:t>[</w:t>
      </w:r>
      <w:r>
        <w:rPr>
          <w:rFonts w:eastAsia="等线"/>
          <w:lang w:val="en-US"/>
        </w:rPr>
        <w:t>7</w:t>
      </w:r>
      <w:r>
        <w:rPr>
          <w:rFonts w:eastAsia="等线"/>
        </w:rPr>
        <w:t>]</w:t>
      </w:r>
      <w:r>
        <w:rPr>
          <w:rFonts w:eastAsia="等线"/>
        </w:rPr>
        <w:tab/>
      </w:r>
      <w:r>
        <w:t>3GPP TS 36.101: "Evolved Universal Terrestrial Radio Access (E-UTRA); User Equipment (UE) radio transmission and reception"</w:t>
      </w:r>
      <w:r>
        <w:rPr>
          <w:lang w:val="en-US"/>
        </w:rPr>
        <w:t>.</w:t>
      </w:r>
    </w:p>
    <w:p>
      <w:pPr>
        <w:pStyle w:val="107"/>
        <w:rPr>
          <w:rFonts w:eastAsia="等线"/>
        </w:rPr>
      </w:pPr>
      <w:r>
        <w:rPr>
          <w:rFonts w:hint="eastAsia" w:eastAsia="等线"/>
        </w:rPr>
        <w:t>[</w:t>
      </w:r>
      <w:r>
        <w:rPr>
          <w:rFonts w:eastAsia="等线"/>
          <w:lang w:val="en-US"/>
        </w:rPr>
        <w:t>8</w:t>
      </w:r>
      <w:r>
        <w:rPr>
          <w:rFonts w:eastAsia="等线"/>
        </w:rPr>
        <w:t>]</w:t>
      </w:r>
      <w:r>
        <w:rPr>
          <w:rFonts w:eastAsia="等线"/>
        </w:rPr>
        <w:tab/>
      </w:r>
      <w:r>
        <w:t>3GPP TS 36.300: "Evolved Universal Terrestrial Radio Access (E-UTRA) and Evolved Universal Terrestrial Radio Access Network (E-UTRAN); Overall description; Stage 2".</w:t>
      </w:r>
    </w:p>
    <w:p>
      <w:pPr>
        <w:pStyle w:val="107"/>
        <w:rPr>
          <w:rFonts w:eastAsia="等线"/>
          <w:lang w:val="en-US"/>
        </w:rPr>
      </w:pPr>
      <w:r>
        <w:rPr>
          <w:rFonts w:hint="eastAsia" w:eastAsia="等线"/>
        </w:rPr>
        <w:t>[</w:t>
      </w:r>
      <w:r>
        <w:rPr>
          <w:rFonts w:eastAsia="等线"/>
          <w:lang w:val="en-US"/>
        </w:rPr>
        <w:t>9</w:t>
      </w:r>
      <w:r>
        <w:rPr>
          <w:rFonts w:eastAsia="等线"/>
        </w:rPr>
        <w:t>]</w:t>
      </w:r>
      <w:r>
        <w:rPr>
          <w:rFonts w:eastAsia="等线"/>
        </w:rPr>
        <w:tab/>
      </w:r>
      <w:r>
        <w:t>ITU-R Recommendation SM.329-10, "Unwanted emissions in the spurious domain"</w:t>
      </w:r>
      <w:r>
        <w:rPr>
          <w:lang w:val="en-US"/>
        </w:rPr>
        <w:t>.</w:t>
      </w:r>
    </w:p>
    <w:p>
      <w:pPr>
        <w:pStyle w:val="107"/>
        <w:rPr>
          <w:color w:val="000000"/>
          <w:shd w:val="clear" w:color="auto" w:fill="FFFFFF"/>
          <w:lang w:val="en-US"/>
        </w:rPr>
      </w:pPr>
      <w:r>
        <w:rPr>
          <w:rFonts w:eastAsia="等线"/>
        </w:rPr>
        <w:t>[1</w:t>
      </w:r>
      <w:r>
        <w:rPr>
          <w:rFonts w:eastAsia="等线"/>
          <w:lang w:val="en-US"/>
        </w:rPr>
        <w:t>0</w:t>
      </w:r>
      <w:r>
        <w:rPr>
          <w:rFonts w:eastAsia="等线"/>
        </w:rPr>
        <w:t>]</w:t>
      </w:r>
      <w:r>
        <w:rPr>
          <w:rFonts w:eastAsia="等线"/>
        </w:rPr>
        <w:tab/>
      </w:r>
      <w:r>
        <w:t>[</w:t>
      </w:r>
      <w:r>
        <w:rPr>
          <w:color w:val="000000"/>
          <w:shd w:val="clear" w:color="auto" w:fill="FFFFFF"/>
          <w:lang w:val="en-US"/>
        </w:rPr>
        <w:t>ANSI C63.26-2015, American National standard for Compliance Testing of Transmitters Used in Licensed Radio Services, Accredited Standards Committee C63 – Electromagnetic compatibility].</w:t>
      </w:r>
    </w:p>
    <w:p>
      <w:pPr>
        <w:pStyle w:val="107"/>
      </w:pPr>
      <w:r>
        <w:rPr>
          <w:color w:val="000000"/>
          <w:shd w:val="clear" w:color="auto" w:fill="FFFFFF"/>
          <w:lang w:val="en-US"/>
        </w:rPr>
        <w:t>[11]</w:t>
      </w:r>
      <w:r>
        <w:rPr>
          <w:color w:val="000000"/>
          <w:shd w:val="clear" w:color="auto" w:fill="FFFFFF"/>
          <w:lang w:val="en-US"/>
        </w:rPr>
        <w:tab/>
      </w:r>
      <w:r>
        <w:t xml:space="preserve">3GPP TS </w:t>
      </w:r>
      <w:r>
        <w:rPr>
          <w:lang w:val="en-US"/>
        </w:rPr>
        <w:t>36</w:t>
      </w:r>
      <w:r>
        <w:t>.</w:t>
      </w:r>
      <w:r>
        <w:rPr>
          <w:lang w:val="en-US"/>
        </w:rPr>
        <w:t>10</w:t>
      </w:r>
      <w:r>
        <w:t>2: "</w:t>
      </w:r>
      <w:r>
        <w:rPr>
          <w:rFonts w:hint="eastAsia"/>
        </w:rPr>
        <w:t>Evolved Universal Terrestrial Radio Access (E-UTRA)</w:t>
      </w:r>
      <w:r>
        <w:t xml:space="preserve">; </w:t>
      </w:r>
      <w:r>
        <w:rPr>
          <w:rFonts w:hint="eastAsia"/>
        </w:rPr>
        <w:t>User Equipment (UE) radio transmission and reception for satellite access</w:t>
      </w:r>
      <w:r>
        <w:t>".</w:t>
      </w:r>
    </w:p>
    <w:p>
      <w:pPr>
        <w:pStyle w:val="107"/>
      </w:pPr>
      <w:r>
        <w:rPr>
          <w:color w:val="000000"/>
          <w:shd w:val="clear" w:color="auto" w:fill="FFFFFF"/>
          <w:lang w:val="en-US"/>
        </w:rPr>
        <w:t>[12]</w:t>
      </w:r>
      <w:r>
        <w:rPr>
          <w:color w:val="000000"/>
          <w:shd w:val="clear" w:color="auto" w:fill="FFFFFF"/>
          <w:lang w:val="en-US"/>
        </w:rPr>
        <w:tab/>
      </w:r>
      <w:r>
        <w:t>3GPP TS 36.508: "Common test environments for User Equipment (UE)".</w:t>
      </w:r>
    </w:p>
    <w:p>
      <w:pPr>
        <w:pStyle w:val="107"/>
        <w:rPr>
          <w:lang w:val="en-US"/>
        </w:rPr>
      </w:pPr>
      <w:r>
        <w:rPr>
          <w:lang w:val="en-US"/>
        </w:rPr>
        <w:t>[13]</w:t>
      </w:r>
      <w:r>
        <w:rPr>
          <w:lang w:val="en-US"/>
        </w:rPr>
        <w:tab/>
      </w:r>
      <w:r>
        <w:t>3GPP TS 36.50</w:t>
      </w:r>
      <w:r>
        <w:rPr>
          <w:lang w:val="en-US"/>
        </w:rPr>
        <w:t>9</w:t>
      </w:r>
      <w:r>
        <w:t>: "</w:t>
      </w:r>
      <w:r>
        <w:rPr>
          <w:rFonts w:hint="eastAsia"/>
        </w:rPr>
        <w:t>Evolved Universal Terrestrial Radio Access (E-UTRA) and</w:t>
      </w:r>
      <w:r>
        <w:rPr>
          <w:lang w:val="en-US"/>
        </w:rPr>
        <w:t xml:space="preserve"> </w:t>
      </w:r>
      <w:r>
        <w:rPr>
          <w:rFonts w:hint="eastAsia"/>
        </w:rPr>
        <w:t>Evolved Packet Core (EPC); Special conformance testing functions for User Equipment (UE)</w:t>
      </w:r>
      <w:r>
        <w:t>".</w:t>
      </w:r>
    </w:p>
    <w:p>
      <w:pPr>
        <w:pStyle w:val="107"/>
      </w:pPr>
      <w:r>
        <w:rPr>
          <w:lang w:val="en-US"/>
        </w:rPr>
        <w:t>[14]</w:t>
      </w:r>
      <w:r>
        <w:rPr>
          <w:lang w:val="en-US"/>
        </w:rPr>
        <w:tab/>
      </w:r>
      <w:r>
        <w:t>3GPP TS 36.521-</w:t>
      </w:r>
      <w:r>
        <w:rPr>
          <w:lang w:val="en-US"/>
        </w:rPr>
        <w:t>1</w:t>
      </w:r>
      <w:r>
        <w:t>: "Evolved Universal Terrestrial Radio Access (E-UTRA); User Equipment (UE) conformance specification; Radio transmission and reception; Part 1: Conformance testing".</w:t>
      </w:r>
    </w:p>
    <w:p>
      <w:pPr>
        <w:pStyle w:val="107"/>
      </w:pPr>
      <w:r>
        <w:rPr>
          <w:lang w:val="en-US"/>
        </w:rPr>
        <w:t>[15]</w:t>
      </w:r>
      <w:r>
        <w:rPr>
          <w:lang w:val="en-US"/>
        </w:rPr>
        <w:tab/>
      </w:r>
      <w:r>
        <w:t>3GPP TS 36.521-2: "Evolved Universal Terrestrial Radio Access (E-UTRA); User Equipment (UE) conformance specification; Radio transmission and reception; Part 2: Implementation Conformance Statement (ICS)".</w:t>
      </w:r>
    </w:p>
    <w:p>
      <w:pPr>
        <w:pStyle w:val="107"/>
      </w:pPr>
      <w:r>
        <w:rPr>
          <w:lang w:val="en-US"/>
        </w:rPr>
        <w:t>[16]</w:t>
      </w:r>
      <w:r>
        <w:rPr>
          <w:lang w:val="en-US"/>
        </w:rPr>
        <w:tab/>
      </w:r>
      <w:r>
        <w:t>3GPP TS 36.521-3: "Evolved Universal Terrestrial Radio Access (E-UTRA); User Equipment (UE) conformance specification; Radio transmission and reception; Part 3: Radio Resource Management (RRM) conformance testing".</w:t>
      </w:r>
    </w:p>
    <w:p>
      <w:pPr>
        <w:pStyle w:val="107"/>
        <w:rPr>
          <w:lang w:val="en-US"/>
        </w:rPr>
      </w:pPr>
      <w:r>
        <w:rPr>
          <w:lang w:val="en-US"/>
        </w:rPr>
        <w:t>[17]</w:t>
      </w:r>
      <w:r>
        <w:rPr>
          <w:lang w:val="en-US"/>
        </w:rPr>
        <w:tab/>
      </w:r>
      <w:r>
        <w:rPr>
          <w:lang w:eastAsia="zh-CN"/>
        </w:rPr>
        <w:t>3GPP TR 36.90</w:t>
      </w:r>
      <w:r>
        <w:rPr>
          <w:lang w:val="en-US" w:eastAsia="zh-CN"/>
        </w:rPr>
        <w:t>4</w:t>
      </w:r>
      <w:r>
        <w:rPr>
          <w:lang w:eastAsia="zh-CN"/>
        </w:rPr>
        <w:t xml:space="preserve">: </w:t>
      </w:r>
      <w:r>
        <w:t>"</w:t>
      </w:r>
      <w:r>
        <w:rPr>
          <w:rFonts w:hint="eastAsia"/>
          <w:lang w:eastAsia="zh-CN"/>
        </w:rPr>
        <w:t>Evolved Universal Terrestrial Radio Access (E-UTRA) and</w:t>
      </w:r>
      <w:r>
        <w:rPr>
          <w:lang w:val="en-US" w:eastAsia="zh-CN"/>
        </w:rPr>
        <w:t xml:space="preserve"> Evolved Universal Terrestrial Radio Access Network (E-UTRAN); Derivation of test tolerances for User Equipment (UE) radio reception conformance tests</w:t>
      </w:r>
      <w:r>
        <w:t>"</w:t>
      </w:r>
      <w:r>
        <w:rPr>
          <w:lang w:eastAsia="zh-CN"/>
        </w:rPr>
        <w:t>.</w:t>
      </w:r>
    </w:p>
    <w:p>
      <w:pPr>
        <w:pStyle w:val="107"/>
        <w:rPr>
          <w:lang w:eastAsia="zh-CN"/>
        </w:rPr>
      </w:pPr>
      <w:r>
        <w:rPr>
          <w:lang w:val="en-US"/>
        </w:rPr>
        <w:t>[18]</w:t>
      </w:r>
      <w:r>
        <w:rPr>
          <w:lang w:val="en-US"/>
        </w:rPr>
        <w:tab/>
      </w:r>
      <w:r>
        <w:rPr>
          <w:lang w:eastAsia="zh-CN"/>
        </w:rPr>
        <w:t xml:space="preserve">3GPP TR 36.905: </w:t>
      </w:r>
      <w:r>
        <w:t>"</w:t>
      </w:r>
      <w:r>
        <w:rPr>
          <w:rFonts w:hint="eastAsia"/>
          <w:lang w:eastAsia="zh-CN"/>
        </w:rPr>
        <w:t>Evolved Universal Terrestrial Radio Access (E-UTRA) and</w:t>
      </w:r>
      <w:r>
        <w:rPr>
          <w:lang w:val="en-US" w:eastAsia="zh-CN"/>
        </w:rPr>
        <w:t xml:space="preserve"> Evolved Universal Terrestrial Radio Access Network (E-UTRAN); </w:t>
      </w:r>
      <w:r>
        <w:rPr>
          <w:lang w:eastAsia="zh-CN"/>
        </w:rPr>
        <w:t>Derivation of test points for radio transmission and reception conformance test cases</w:t>
      </w:r>
      <w:r>
        <w:t>"</w:t>
      </w:r>
      <w:r>
        <w:rPr>
          <w:lang w:eastAsia="zh-CN"/>
        </w:rPr>
        <w:t>.</w:t>
      </w:r>
    </w:p>
    <w:p>
      <w:pPr>
        <w:pStyle w:val="107"/>
      </w:pPr>
      <w:r>
        <w:rPr>
          <w:rFonts w:hint="eastAsia"/>
          <w:lang w:val="en-US" w:eastAsia="zh-CN"/>
        </w:rPr>
        <w:t>[19]</w:t>
      </w:r>
      <w:r>
        <w:rPr>
          <w:rFonts w:eastAsia="等线"/>
        </w:rPr>
        <w:tab/>
      </w:r>
      <w:r>
        <w:t>3GPP TS 36.21</w:t>
      </w:r>
      <w:r>
        <w:rPr>
          <w:rFonts w:hint="eastAsia" w:eastAsia="宋体"/>
          <w:lang w:val="en-US" w:eastAsia="zh-CN"/>
        </w:rPr>
        <w:t>2</w:t>
      </w:r>
      <w:r>
        <w:t>: "</w:t>
      </w:r>
      <w:r>
        <w:rPr>
          <w:color w:val="000000"/>
        </w:rPr>
        <w:t xml:space="preserve">Evolved Universal Terrestrial Radio Access (E-UTRA); </w:t>
      </w:r>
      <w:r>
        <w:rPr>
          <w:rFonts w:hint="eastAsia"/>
        </w:rPr>
        <w:t>Multiplexing and channel coding</w:t>
      </w:r>
      <w:r>
        <w:t>".</w:t>
      </w:r>
    </w:p>
    <w:p>
      <w:pPr>
        <w:pStyle w:val="107"/>
      </w:pPr>
      <w:r>
        <w:t>[</w:t>
      </w:r>
      <w:r>
        <w:rPr>
          <w:rFonts w:hint="eastAsia" w:eastAsia="宋体"/>
          <w:lang w:val="en-US" w:eastAsia="zh-CN"/>
        </w:rPr>
        <w:t>2</w:t>
      </w:r>
      <w:r>
        <w:t>0]</w:t>
      </w:r>
      <w:r>
        <w:tab/>
      </w:r>
      <w:r>
        <w:t>3GPP TS 36.213: "</w:t>
      </w:r>
      <w:r>
        <w:rPr>
          <w:color w:val="000000"/>
        </w:rPr>
        <w:t xml:space="preserve">Evolved Universal Terrestrial Radio Access (E-UTRA); </w:t>
      </w:r>
      <w:r>
        <w:t>Physical layer procedures".</w:t>
      </w:r>
    </w:p>
    <w:p>
      <w:pPr>
        <w:pStyle w:val="107"/>
        <w:rPr>
          <w:rFonts w:eastAsia="宋体"/>
          <w:lang w:val="en-US" w:eastAsia="zh-CN"/>
        </w:rPr>
      </w:pPr>
      <w:r>
        <w:rPr>
          <w:rFonts w:hint="eastAsia" w:eastAsia="宋体"/>
          <w:lang w:val="en-US" w:eastAsia="zh-CN"/>
        </w:rPr>
        <w:t>[21]</w:t>
      </w:r>
      <w:r>
        <w:tab/>
      </w:r>
      <w:r>
        <w:rPr>
          <w:lang w:eastAsia="zh-CN"/>
        </w:rPr>
        <w:t>3GPP TR 38.811: "Study on New Radio (NR) to support non-terrestrial networks"</w:t>
      </w:r>
      <w:r>
        <w:t>.</w:t>
      </w:r>
    </w:p>
    <w:p>
      <w:pPr>
        <w:pStyle w:val="107"/>
        <w:rPr>
          <w:lang w:val="en-US" w:eastAsia="zh-CN"/>
        </w:rPr>
      </w:pPr>
    </w:p>
    <w:p>
      <w:pPr>
        <w:pStyle w:val="3"/>
      </w:pPr>
      <w:bookmarkStart w:id="73" w:name="definitions"/>
      <w:bookmarkEnd w:id="73"/>
      <w:bookmarkStart w:id="74" w:name="_Toc18432"/>
      <w:bookmarkStart w:id="75" w:name="_Toc19260"/>
      <w:bookmarkStart w:id="76" w:name="_Toc25916"/>
      <w:bookmarkStart w:id="77" w:name="_Toc12673"/>
      <w:bookmarkStart w:id="78" w:name="_Toc29648"/>
      <w:bookmarkStart w:id="79" w:name="_Toc11558"/>
      <w:bookmarkStart w:id="80" w:name="_Toc13008"/>
      <w:r>
        <w:t>3</w:t>
      </w:r>
      <w:r>
        <w:tab/>
      </w:r>
      <w:r>
        <w:t>Definitions of terms, symbols and abbreviations</w:t>
      </w:r>
      <w:bookmarkEnd w:id="74"/>
      <w:bookmarkEnd w:id="75"/>
      <w:bookmarkEnd w:id="76"/>
      <w:bookmarkEnd w:id="77"/>
      <w:bookmarkEnd w:id="78"/>
      <w:bookmarkEnd w:id="79"/>
      <w:bookmarkEnd w:id="80"/>
    </w:p>
    <w:p>
      <w:pPr>
        <w:pStyle w:val="4"/>
      </w:pPr>
      <w:bookmarkStart w:id="81" w:name="_Toc30056"/>
      <w:bookmarkStart w:id="82" w:name="_Toc26869"/>
      <w:bookmarkStart w:id="83" w:name="_Toc25806"/>
      <w:bookmarkStart w:id="84" w:name="_Toc22149"/>
      <w:bookmarkStart w:id="85" w:name="_Toc21373"/>
      <w:bookmarkStart w:id="86" w:name="_Toc13805"/>
      <w:bookmarkStart w:id="87" w:name="_Toc15642"/>
      <w:r>
        <w:t>3.1</w:t>
      </w:r>
      <w:r>
        <w:tab/>
      </w:r>
      <w:r>
        <w:t>Terms</w:t>
      </w:r>
      <w:bookmarkEnd w:id="81"/>
      <w:bookmarkEnd w:id="82"/>
      <w:bookmarkEnd w:id="83"/>
      <w:bookmarkEnd w:id="84"/>
      <w:bookmarkEnd w:id="85"/>
      <w:bookmarkEnd w:id="86"/>
      <w:bookmarkEnd w:id="87"/>
    </w:p>
    <w:p>
      <w:r>
        <w:t>For the purposes of the present document, the terms given in TR 21.905 [1] and the following apply. A term defined in the present document takes precedence over the definition of the same term, if any, in TR 21.905 [1].</w:t>
      </w:r>
    </w:p>
    <w:p>
      <w:pPr>
        <w:tabs>
          <w:tab w:val="left" w:pos="2448"/>
          <w:tab w:val="left" w:pos="9468"/>
        </w:tabs>
        <w:rPr>
          <w:rFonts w:cs="v5.0.0"/>
          <w:snapToGrid w:val="0"/>
        </w:rPr>
      </w:pPr>
      <w:r>
        <w:rPr>
          <w:rFonts w:cs="v5.0.0"/>
          <w:b/>
          <w:bCs/>
        </w:rPr>
        <w:t xml:space="preserve">Channel edge: </w:t>
      </w:r>
      <w:r>
        <w:rPr>
          <w:rFonts w:cs="v5.0.0"/>
          <w:snapToGrid w:val="0"/>
        </w:rPr>
        <w:t>The lowest and highest frequency of the carrier, separated by the channel bandwidth.</w:t>
      </w:r>
    </w:p>
    <w:p>
      <w:pPr>
        <w:rPr>
          <w:rFonts w:cstheme="minorBidi"/>
        </w:rPr>
      </w:pPr>
      <w:r>
        <w:rPr>
          <w:b/>
        </w:rPr>
        <w:t>Channel bandwidth:</w:t>
      </w:r>
      <w:r>
        <w:t xml:space="preserve"> The RF bandwidth supporting a single E-UTRA RF carrier with the transmission bandwidth configured in the uplink or downlink of a cell. The channel bandwidth is measured in MHz and is used as a reference for transmitter and receiver RF requirements.</w:t>
      </w:r>
    </w:p>
    <w:p>
      <w:r>
        <w:rPr>
          <w:b/>
        </w:rPr>
        <w:t>Category NB1/NB2</w:t>
      </w:r>
      <w:r>
        <w:rPr>
          <w:rFonts w:eastAsia="Malgun Gothic"/>
          <w:b/>
        </w:rPr>
        <w:t xml:space="preserve"> </w:t>
      </w:r>
      <w:r>
        <w:rPr>
          <w:b/>
        </w:rPr>
        <w:t>stand-alone operation</w:t>
      </w:r>
      <w:r>
        <w:t>: category NB1/NB2 is operating standalone when it utilizes its own spectrum, for example the spectrum used by GERAN systems as a replacement of one or more GSM carriers, as well as scattered spectrum for potential IoT deployment.</w:t>
      </w:r>
    </w:p>
    <w:p>
      <w:r>
        <w:rPr>
          <w:b/>
        </w:rPr>
        <w:t>Category NB1/NB2</w:t>
      </w:r>
      <w:r>
        <w:t xml:space="preserve"> </w:t>
      </w:r>
      <w:r>
        <w:rPr>
          <w:b/>
        </w:rPr>
        <w:t>guard band operation:</w:t>
      </w:r>
      <w:r>
        <w:t xml:space="preserve"> category NB1/NB2 is operating in guard band when it utilizes the unused resource block(s) within a E-UTRA carrier’s guard-band.</w:t>
      </w:r>
    </w:p>
    <w:p>
      <w:r>
        <w:rPr>
          <w:b/>
        </w:rPr>
        <w:t>Category NB1/NB2</w:t>
      </w:r>
      <w:r>
        <w:t xml:space="preserve"> </w:t>
      </w:r>
      <w:r>
        <w:rPr>
          <w:b/>
        </w:rPr>
        <w:t>in-band operation:</w:t>
      </w:r>
      <w:r>
        <w:t xml:space="preserve"> category NB1/NB2 is operating in-band when it utilizes the resource block(s) within a normal E-UTRA carrier or within a normal NR carrier plus 15</w:t>
      </w:r>
      <w:r>
        <w:rPr>
          <w:lang w:val="en-US"/>
        </w:rPr>
        <w:t> </w:t>
      </w:r>
      <w:r>
        <w:t>kHz at each edge (and not within NR minimum guard band).</w:t>
      </w:r>
    </w:p>
    <w:p>
      <w:r>
        <w:rPr>
          <w:b/>
        </w:rPr>
        <w:t>Geosynchronous Earth Orbit:</w:t>
      </w:r>
      <w:r>
        <w:t xml:space="preserve"> Earth-centred orbit at approximately 35786 kilometres above Earth's surface and synchronised with Earth's rotation. A geostationary orbit is a non-inclined geosynchronous orbit, i.e. in the Earth’s equator plane.</w:t>
      </w:r>
    </w:p>
    <w:p>
      <w:r>
        <w:rPr>
          <w:b/>
        </w:rPr>
        <w:t xml:space="preserve">Low Earth Orbit: </w:t>
      </w:r>
      <w:r>
        <w:t>Orbit around the Earth with an altitude between 300 km, and 1500 km.</w:t>
      </w:r>
    </w:p>
    <w:p>
      <w:r>
        <w:rPr>
          <w:b/>
        </w:rPr>
        <w:t xml:space="preserve">Satellite: </w:t>
      </w:r>
      <w:r>
        <w:t xml:space="preserve">A space-borne vehicle embarking a bent pipe payload or a regenerative payload telecommunication transmitter, placed into Low-Earth Orbit (LEO), Medium-Earth Orbit (MEO), or Geostationary Earth Orbit (GEO). </w:t>
      </w:r>
    </w:p>
    <w:p>
      <w:pPr>
        <w:rPr>
          <w:b/>
        </w:rPr>
      </w:pPr>
      <w:r>
        <w:rPr>
          <w:b/>
        </w:rPr>
        <w:t xml:space="preserve">Satellite Access Node: </w:t>
      </w:r>
      <w:r>
        <w:t>see definition in TS 36.108 [2].</w:t>
      </w:r>
      <w:r>
        <w:rPr>
          <w:b/>
        </w:rPr>
        <w:t xml:space="preserve"> </w:t>
      </w:r>
    </w:p>
    <w:p>
      <w:r>
        <w:rPr>
          <w:b/>
        </w:rPr>
        <w:t>sTTI</w:t>
      </w:r>
      <w:r>
        <w:t>: A transmission time interval (TTI) of either one slot or one subslot as defined in TS 36.211 [3] on either uplink or downlink.</w:t>
      </w:r>
    </w:p>
    <w:p>
      <w:pPr>
        <w:pStyle w:val="4"/>
      </w:pPr>
      <w:bookmarkStart w:id="88" w:name="_Toc12488"/>
      <w:bookmarkStart w:id="89" w:name="_Toc26328"/>
      <w:bookmarkStart w:id="90" w:name="_Toc20916"/>
      <w:bookmarkStart w:id="91" w:name="_Toc12169"/>
      <w:bookmarkStart w:id="92" w:name="_Toc30306"/>
      <w:bookmarkStart w:id="93" w:name="_Toc6056"/>
      <w:bookmarkStart w:id="94" w:name="_Toc16540"/>
      <w:r>
        <w:t>3.2</w:t>
      </w:r>
      <w:r>
        <w:tab/>
      </w:r>
      <w:r>
        <w:t>Symbols</w:t>
      </w:r>
      <w:bookmarkEnd w:id="88"/>
      <w:bookmarkEnd w:id="89"/>
      <w:bookmarkEnd w:id="90"/>
      <w:bookmarkEnd w:id="91"/>
      <w:bookmarkEnd w:id="92"/>
      <w:bookmarkEnd w:id="93"/>
      <w:bookmarkEnd w:id="94"/>
    </w:p>
    <w:p>
      <w:r>
        <w:t>For the purposes of the present document, the following symbols apply:</w:t>
      </w:r>
    </w:p>
    <w:p>
      <w:pPr>
        <w:pStyle w:val="110"/>
        <w:rPr>
          <w:rFonts w:eastAsiaTheme="minorEastAsia"/>
        </w:rPr>
      </w:pPr>
      <w:r>
        <w:t>ΔF</w:t>
      </w:r>
      <w:r>
        <w:rPr>
          <w:vertAlign w:val="subscript"/>
        </w:rPr>
        <w:t>Raster</w:t>
      </w:r>
      <w:r>
        <w:rPr>
          <w:vertAlign w:val="subscript"/>
        </w:rPr>
        <w:tab/>
      </w:r>
      <w:r>
        <w:rPr>
          <w:rFonts w:eastAsia="Yu Mincho"/>
        </w:rPr>
        <w:t>Band dependent channel raster granularity</w:t>
      </w:r>
    </w:p>
    <w:p>
      <w:pPr>
        <w:pStyle w:val="110"/>
      </w:pPr>
      <w:r>
        <w:t>BW</w:t>
      </w:r>
      <w:r>
        <w:rPr>
          <w:vertAlign w:val="subscript"/>
        </w:rPr>
        <w:t>Channel</w:t>
      </w:r>
      <w:r>
        <w:tab/>
      </w:r>
      <w:r>
        <w:t>Channel bandwidth</w:t>
      </w:r>
    </w:p>
    <w:p>
      <w:pPr>
        <w:pStyle w:val="110"/>
      </w:pPr>
      <w:r>
        <w:t>F</w:t>
      </w:r>
      <w:r>
        <w:tab/>
      </w:r>
      <w:r>
        <w:t>Frequency</w:t>
      </w:r>
    </w:p>
    <w:p>
      <w:pPr>
        <w:pStyle w:val="110"/>
      </w:pPr>
      <w:r>
        <w:t>F</w:t>
      </w:r>
      <w:r>
        <w:rPr>
          <w:vertAlign w:val="subscript"/>
        </w:rPr>
        <w:t xml:space="preserve">Interferer </w:t>
      </w:r>
      <w:r>
        <w:t>(offset)</w:t>
      </w:r>
      <w:r>
        <w:tab/>
      </w:r>
      <w:r>
        <w:t>Frequency offset of the interferer (between the center frequency of the interferer and the carrier frequency of the carrier measured)</w:t>
      </w:r>
    </w:p>
    <w:p>
      <w:pPr>
        <w:pStyle w:val="110"/>
      </w:pPr>
      <w:r>
        <w:t>F</w:t>
      </w:r>
      <w:r>
        <w:rPr>
          <w:vertAlign w:val="subscript"/>
        </w:rPr>
        <w:t>Interferer</w:t>
      </w:r>
      <w:r>
        <w:rPr>
          <w:vertAlign w:val="subscript"/>
        </w:rPr>
        <w:tab/>
      </w:r>
      <w:r>
        <w:t>Frequency of the interferer</w:t>
      </w:r>
    </w:p>
    <w:p>
      <w:pPr>
        <w:pStyle w:val="110"/>
      </w:pPr>
      <w:r>
        <w:t>F</w:t>
      </w:r>
      <w:r>
        <w:rPr>
          <w:vertAlign w:val="subscript"/>
        </w:rPr>
        <w:t>Ioffset</w:t>
      </w:r>
      <w:r>
        <w:rPr>
          <w:vertAlign w:val="subscript"/>
        </w:rPr>
        <w:tab/>
      </w:r>
      <w:r>
        <w:t>Frequency offset of the interferer (between the center frequency of the interferer and the closest edge of the carrier measured)</w:t>
      </w:r>
    </w:p>
    <w:p>
      <w:pPr>
        <w:pStyle w:val="110"/>
      </w:pPr>
      <w:r>
        <w:t>F</w:t>
      </w:r>
      <w:r>
        <w:rPr>
          <w:vertAlign w:val="subscript"/>
        </w:rPr>
        <w:t>C</w:t>
      </w:r>
      <w:r>
        <w:rPr>
          <w:vertAlign w:val="subscript"/>
        </w:rPr>
        <w:tab/>
      </w:r>
      <w:r>
        <w:t>Frequency of the carrier centre frequency</w:t>
      </w:r>
    </w:p>
    <w:p>
      <w:pPr>
        <w:pStyle w:val="110"/>
      </w:pPr>
      <w:r>
        <w:t>F</w:t>
      </w:r>
      <w:r>
        <w:rPr>
          <w:vertAlign w:val="subscript"/>
        </w:rPr>
        <w:t>DL_low</w:t>
      </w:r>
      <w:r>
        <w:rPr>
          <w:vertAlign w:val="subscript"/>
        </w:rPr>
        <w:tab/>
      </w:r>
      <w:r>
        <w:t>The lowest frequency of the downlink operating band</w:t>
      </w:r>
    </w:p>
    <w:p>
      <w:pPr>
        <w:pStyle w:val="110"/>
      </w:pPr>
      <w:r>
        <w:t>F</w:t>
      </w:r>
      <w:r>
        <w:rPr>
          <w:vertAlign w:val="subscript"/>
        </w:rPr>
        <w:t>DL_high</w:t>
      </w:r>
      <w:r>
        <w:rPr>
          <w:vertAlign w:val="subscript"/>
        </w:rPr>
        <w:tab/>
      </w:r>
      <w:r>
        <w:t>The highest frequency of the downlink operating band</w:t>
      </w:r>
    </w:p>
    <w:p>
      <w:pPr>
        <w:pStyle w:val="110"/>
      </w:pPr>
      <w:r>
        <w:t>F</w:t>
      </w:r>
      <w:r>
        <w:rPr>
          <w:vertAlign w:val="subscript"/>
        </w:rPr>
        <w:t>UL_low</w:t>
      </w:r>
      <w:r>
        <w:rPr>
          <w:vertAlign w:val="subscript"/>
        </w:rPr>
        <w:tab/>
      </w:r>
      <w:r>
        <w:t>The lowest frequency of the uplink operating band</w:t>
      </w:r>
    </w:p>
    <w:p>
      <w:pPr>
        <w:pStyle w:val="110"/>
      </w:pPr>
      <w:r>
        <w:t>F</w:t>
      </w:r>
      <w:r>
        <w:rPr>
          <w:vertAlign w:val="subscript"/>
        </w:rPr>
        <w:t>UL_high</w:t>
      </w:r>
      <w:r>
        <w:rPr>
          <w:vertAlign w:val="subscript"/>
        </w:rPr>
        <w:tab/>
      </w:r>
      <w:r>
        <w:t>The highest frequency of the uplink operating band</w:t>
      </w:r>
    </w:p>
    <w:p>
      <w:pPr>
        <w:pStyle w:val="110"/>
      </w:pPr>
      <w:r>
        <w:t>F</w:t>
      </w:r>
      <w:r>
        <w:rPr>
          <w:vertAlign w:val="subscript"/>
        </w:rPr>
        <w:t>OOB</w:t>
      </w:r>
      <w:r>
        <w:tab/>
      </w:r>
      <w:r>
        <w:t>The boundary between the E-UTRA out of band emission and spurious emission domains.</w:t>
      </w:r>
    </w:p>
    <w:p>
      <w:pPr>
        <w:pStyle w:val="110"/>
        <w:rPr>
          <w:rFonts w:cstheme="minorBidi"/>
          <w:szCs w:val="22"/>
        </w:rPr>
      </w:pPr>
      <w:r>
        <w:rPr>
          <w:rFonts w:cs="Arial"/>
          <w:szCs w:val="18"/>
        </w:rPr>
        <w:t>L</w:t>
      </w:r>
      <w:r>
        <w:rPr>
          <w:rFonts w:cs="Arial"/>
          <w:szCs w:val="18"/>
          <w:vertAlign w:val="subscript"/>
        </w:rPr>
        <w:t>Ctone</w:t>
      </w:r>
      <w:r>
        <w:rPr>
          <w:rFonts w:cs="Arial"/>
          <w:szCs w:val="18"/>
        </w:rPr>
        <w:tab/>
      </w:r>
      <w:r>
        <w:rPr>
          <w:rFonts w:cs="Arial"/>
          <w:szCs w:val="18"/>
        </w:rPr>
        <w:t>Transmission bandwidth which represents the length of a contiguous sub-carrier allocation expressed in units of tones</w:t>
      </w:r>
    </w:p>
    <w:p>
      <w:pPr>
        <w:pStyle w:val="110"/>
      </w:pPr>
      <w:r>
        <w:t>N</w:t>
      </w:r>
      <w:r>
        <w:rPr>
          <w:vertAlign w:val="subscript"/>
        </w:rPr>
        <w:t>DL</w:t>
      </w:r>
      <w:r>
        <w:t xml:space="preserve"> </w:t>
      </w:r>
      <w:r>
        <w:tab/>
      </w:r>
      <w:r>
        <w:t>Downlink EARFCN</w:t>
      </w:r>
    </w:p>
    <w:p>
      <w:pPr>
        <w:pStyle w:val="110"/>
      </w:pPr>
      <w:r>
        <w:t>N</w:t>
      </w:r>
      <w:r>
        <w:rPr>
          <w:vertAlign w:val="subscript"/>
        </w:rPr>
        <w:t>Offs-DL</w:t>
      </w:r>
      <w:r>
        <w:t xml:space="preserve"> </w:t>
      </w:r>
      <w:r>
        <w:tab/>
      </w:r>
      <w:r>
        <w:t>Offset used for calculating downlink EARFCN</w:t>
      </w:r>
    </w:p>
    <w:p>
      <w:pPr>
        <w:pStyle w:val="110"/>
      </w:pPr>
      <w:r>
        <w:t>N</w:t>
      </w:r>
      <w:r>
        <w:rPr>
          <w:vertAlign w:val="subscript"/>
        </w:rPr>
        <w:t>Offs-UL</w:t>
      </w:r>
      <w:r>
        <w:t xml:space="preserve"> </w:t>
      </w:r>
      <w:r>
        <w:tab/>
      </w:r>
      <w:r>
        <w:t>Offset used for calculating uplink EARFCN</w:t>
      </w:r>
    </w:p>
    <w:p>
      <w:pPr>
        <w:pStyle w:val="110"/>
      </w:pPr>
      <w:r>
        <w:t>N</w:t>
      </w:r>
      <w:r>
        <w:rPr>
          <w:vertAlign w:val="subscript"/>
        </w:rPr>
        <w:t>RB</w:t>
      </w:r>
      <w:r>
        <w:tab/>
      </w:r>
      <w:r>
        <w:t>Transmission bandwidth configuration, expressed in units of resource blocks</w:t>
      </w:r>
    </w:p>
    <w:p>
      <w:pPr>
        <w:pStyle w:val="110"/>
      </w:pPr>
      <w:r>
        <w:t>N</w:t>
      </w:r>
      <w:r>
        <w:rPr>
          <w:vertAlign w:val="subscript"/>
        </w:rPr>
        <w:t>RB_alloc</w:t>
      </w:r>
      <w:r>
        <w:rPr>
          <w:vertAlign w:val="subscript"/>
        </w:rPr>
        <w:tab/>
      </w:r>
      <w:r>
        <w:t>Total number of simultaneously transmitted resource blocks in Channel bandwidth or Aggregated Channel Bandwidth.</w:t>
      </w:r>
    </w:p>
    <w:p>
      <w:pPr>
        <w:pStyle w:val="110"/>
      </w:pPr>
      <w:r>
        <w:t>N</w:t>
      </w:r>
      <w:r>
        <w:rPr>
          <w:vertAlign w:val="subscript"/>
        </w:rPr>
        <w:t>tone</w:t>
      </w:r>
      <w:r>
        <w:tab/>
      </w:r>
      <w:r>
        <w:t>Transmission bandwidth configuration for category NB1 and NB2, expressed in units of tones.</w:t>
      </w:r>
    </w:p>
    <w:p>
      <w:pPr>
        <w:pStyle w:val="110"/>
      </w:pPr>
      <w:r>
        <w:rPr>
          <w:rFonts w:cs="Arial"/>
        </w:rPr>
        <w:t>N</w:t>
      </w:r>
      <w:r>
        <w:rPr>
          <w:rFonts w:cs="Arial"/>
          <w:vertAlign w:val="subscript"/>
        </w:rPr>
        <w:t>tone 3.75kHz</w:t>
      </w:r>
      <w:r>
        <w:rPr>
          <w:rFonts w:cs="Arial"/>
          <w:vertAlign w:val="subscript"/>
        </w:rPr>
        <w:tab/>
      </w:r>
      <w:r>
        <w:rPr>
          <w:rFonts w:cs="Arial"/>
        </w:rPr>
        <w:t xml:space="preserve">Transmission bandwidth configuration for category </w:t>
      </w:r>
      <w:r>
        <w:t>NB1 and NB2</w:t>
      </w:r>
      <w:r>
        <w:rPr>
          <w:rFonts w:cs="Arial"/>
        </w:rPr>
        <w:t xml:space="preserve"> with </w:t>
      </w:r>
      <w:r>
        <w:t>3.75 kHz sub-carrier spacing, expressed in units of tones.</w:t>
      </w:r>
    </w:p>
    <w:p>
      <w:pPr>
        <w:pStyle w:val="110"/>
      </w:pPr>
      <w:r>
        <w:rPr>
          <w:rFonts w:cs="Arial"/>
        </w:rPr>
        <w:t>N</w:t>
      </w:r>
      <w:r>
        <w:rPr>
          <w:rFonts w:cs="Arial"/>
          <w:vertAlign w:val="subscript"/>
        </w:rPr>
        <w:t xml:space="preserve">tone 15kHz </w:t>
      </w:r>
      <w:r>
        <w:rPr>
          <w:rFonts w:cs="Arial"/>
        </w:rPr>
        <w:tab/>
      </w:r>
      <w:r>
        <w:rPr>
          <w:rFonts w:cs="Arial"/>
        </w:rPr>
        <w:t xml:space="preserve">Transmission bandwidth configuration for category </w:t>
      </w:r>
      <w:r>
        <w:t>NB1 and NB2</w:t>
      </w:r>
      <w:r>
        <w:rPr>
          <w:rFonts w:cs="Arial"/>
        </w:rPr>
        <w:t xml:space="preserve"> with </w:t>
      </w:r>
      <w:r>
        <w:t>15 kHz sub-carrier spacing, expressed in units of tones.</w:t>
      </w:r>
    </w:p>
    <w:p>
      <w:pPr>
        <w:pStyle w:val="110"/>
      </w:pPr>
      <w:r>
        <w:t>N</w:t>
      </w:r>
      <w:r>
        <w:rPr>
          <w:vertAlign w:val="subscript"/>
        </w:rPr>
        <w:t>UL</w:t>
      </w:r>
      <w:r>
        <w:tab/>
      </w:r>
      <w:r>
        <w:t>Uplink EARFCN.</w:t>
      </w:r>
    </w:p>
    <w:p>
      <w:pPr>
        <w:pStyle w:val="110"/>
      </w:pPr>
      <w:r>
        <w:t>P</w:t>
      </w:r>
      <w:r>
        <w:rPr>
          <w:vertAlign w:val="subscript"/>
        </w:rPr>
        <w:t>CMAX</w:t>
      </w:r>
      <w:r>
        <w:rPr>
          <w:vertAlign w:val="subscript"/>
        </w:rPr>
        <w:tab/>
      </w:r>
      <w:r>
        <w:t>The configured maximum UE output power.</w:t>
      </w:r>
    </w:p>
    <w:p>
      <w:pPr>
        <w:pStyle w:val="110"/>
      </w:pPr>
      <w:r>
        <w:t>P</w:t>
      </w:r>
      <w:r>
        <w:rPr>
          <w:vertAlign w:val="subscript"/>
        </w:rPr>
        <w:t>Interferer</w:t>
      </w:r>
      <w:r>
        <w:tab/>
      </w:r>
      <w:r>
        <w:t>Modulated mean power of the interferer</w:t>
      </w:r>
    </w:p>
    <w:p>
      <w:pPr>
        <w:pStyle w:val="110"/>
      </w:pPr>
      <w:r>
        <w:t>P</w:t>
      </w:r>
      <w:r>
        <w:rPr>
          <w:vertAlign w:val="subscript"/>
        </w:rPr>
        <w:t>PowerClass</w:t>
      </w:r>
      <w:r>
        <w:rPr>
          <w:vertAlign w:val="subscript"/>
        </w:rPr>
        <w:tab/>
      </w:r>
      <w:r>
        <w:t>P</w:t>
      </w:r>
      <w:r>
        <w:rPr>
          <w:vertAlign w:val="subscript"/>
        </w:rPr>
        <w:t>PowerClass</w:t>
      </w:r>
      <w:r>
        <w:t xml:space="preserve"> is the nominal UE power (i.e., no tolerance).</w:t>
      </w:r>
    </w:p>
    <w:p>
      <w:pPr>
        <w:pStyle w:val="110"/>
      </w:pPr>
      <w:r>
        <w:t>P</w:t>
      </w:r>
      <w:r>
        <w:rPr>
          <w:vertAlign w:val="subscript"/>
        </w:rPr>
        <w:t>PowerClass</w:t>
      </w:r>
      <w:r>
        <w:rPr>
          <w:rFonts w:eastAsia="MS Mincho"/>
          <w:vertAlign w:val="subscript"/>
          <w:lang w:eastAsia="ja-JP"/>
        </w:rPr>
        <w:t>_Default</w:t>
      </w:r>
      <w:r>
        <w:rPr>
          <w:vertAlign w:val="subscript"/>
        </w:rPr>
        <w:tab/>
      </w:r>
      <w:r>
        <w:t>P</w:t>
      </w:r>
      <w:r>
        <w:rPr>
          <w:vertAlign w:val="subscript"/>
        </w:rPr>
        <w:t>PowerClass</w:t>
      </w:r>
      <w:r>
        <w:rPr>
          <w:rFonts w:eastAsia="MS Mincho"/>
          <w:vertAlign w:val="subscript"/>
          <w:lang w:eastAsia="ja-JP"/>
        </w:rPr>
        <w:t>_Default</w:t>
      </w:r>
      <w:r>
        <w:t xml:space="preserve"> is the </w:t>
      </w:r>
      <w:r>
        <w:rPr>
          <w:rFonts w:eastAsia="MS Mincho"/>
          <w:lang w:eastAsia="ja-JP"/>
        </w:rPr>
        <w:t xml:space="preserve">default </w:t>
      </w:r>
      <w:r>
        <w:t>nominal UE power (i.e., no tolerance)</w:t>
      </w:r>
      <w:r>
        <w:rPr>
          <w:rFonts w:eastAsia="MS Mincho"/>
          <w:lang w:eastAsia="ja-JP"/>
        </w:rPr>
        <w:t xml:space="preserve"> for the band</w:t>
      </w:r>
      <w:r>
        <w:t>.</w:t>
      </w:r>
    </w:p>
    <w:p>
      <w:pPr>
        <w:pStyle w:val="110"/>
      </w:pPr>
      <w:r>
        <w:t>P</w:t>
      </w:r>
      <w:r>
        <w:rPr>
          <w:vertAlign w:val="subscript"/>
        </w:rPr>
        <w:t>UMAX</w:t>
      </w:r>
      <w:r>
        <w:tab/>
      </w:r>
      <w:r>
        <w:rPr>
          <w:rFonts w:cs="Vrinda"/>
          <w:lang w:bidi="bn-IN"/>
        </w:rPr>
        <w:t>The measured configured maximum UE output power</w:t>
      </w:r>
      <w:r>
        <w:t>.</w:t>
      </w:r>
    </w:p>
    <w:p>
      <w:pPr>
        <w:pStyle w:val="110"/>
      </w:pPr>
      <w:r>
        <w:t>Puw</w:t>
      </w:r>
      <w:r>
        <w:tab/>
      </w:r>
      <w:r>
        <w:t>Power of an un</w:t>
      </w:r>
      <w:r>
        <w:rPr>
          <w:rFonts w:cs="Vrinda"/>
          <w:lang w:bidi="bn-IN"/>
        </w:rPr>
        <w:t>wanted DL signal</w:t>
      </w:r>
    </w:p>
    <w:p>
      <w:pPr>
        <w:pStyle w:val="110"/>
      </w:pPr>
      <w:r>
        <w:t>Pw</w:t>
      </w:r>
      <w:r>
        <w:tab/>
      </w:r>
      <w:r>
        <w:t xml:space="preserve">Power of a </w:t>
      </w:r>
      <w:r>
        <w:rPr>
          <w:rFonts w:cs="Vrinda"/>
          <w:lang w:bidi="bn-IN"/>
        </w:rPr>
        <w:t>wanted DL signal</w:t>
      </w:r>
    </w:p>
    <w:p>
      <w:pPr>
        <w:pStyle w:val="110"/>
      </w:pPr>
      <w:r>
        <w:t>Δf</w:t>
      </w:r>
      <w:r>
        <w:rPr>
          <w:vertAlign w:val="subscript"/>
        </w:rPr>
        <w:t>OOB</w:t>
      </w:r>
      <w:r>
        <w:rPr>
          <w:vertAlign w:val="subscript"/>
        </w:rPr>
        <w:tab/>
      </w:r>
      <w:r>
        <w:t>Δ Frequency of Out Of Band emission</w:t>
      </w:r>
    </w:p>
    <w:p>
      <w:pPr>
        <w:pStyle w:val="4"/>
      </w:pPr>
      <w:bookmarkStart w:id="95" w:name="_Toc18464"/>
      <w:bookmarkStart w:id="96" w:name="_Toc18907"/>
      <w:bookmarkStart w:id="97" w:name="_Toc912"/>
      <w:bookmarkStart w:id="98" w:name="_Toc31558"/>
      <w:bookmarkStart w:id="99" w:name="_Toc3318"/>
      <w:bookmarkStart w:id="100" w:name="_Toc16476"/>
      <w:bookmarkStart w:id="101" w:name="_Toc8593"/>
      <w:r>
        <w:t>3.3</w:t>
      </w:r>
      <w:r>
        <w:tab/>
      </w:r>
      <w:r>
        <w:t>Abbreviations</w:t>
      </w:r>
      <w:bookmarkEnd w:id="95"/>
      <w:bookmarkEnd w:id="96"/>
      <w:bookmarkEnd w:id="97"/>
      <w:bookmarkEnd w:id="98"/>
      <w:bookmarkEnd w:id="99"/>
      <w:bookmarkEnd w:id="100"/>
      <w:bookmarkEnd w:id="101"/>
    </w:p>
    <w:p>
      <w:r>
        <w:t>For the purposes of the present document, the abbreviations given in TR 21.905 [1] and the following apply. An abbreviation defined in the present document takes precedence over the definition of the same abbreviation, if any, in TR 21.905 [1].</w:t>
      </w:r>
    </w:p>
    <w:p>
      <w:pPr>
        <w:pStyle w:val="110"/>
      </w:pPr>
      <w:r>
        <w:t>ACLR</w:t>
      </w:r>
      <w:r>
        <w:tab/>
      </w:r>
      <w:r>
        <w:t>Adjacent Channel Leakage Ratio</w:t>
      </w:r>
    </w:p>
    <w:p>
      <w:pPr>
        <w:pStyle w:val="110"/>
      </w:pPr>
      <w:r>
        <w:t>ACS</w:t>
      </w:r>
      <w:r>
        <w:tab/>
      </w:r>
      <w:r>
        <w:t>Adjacent Channel Selectivity</w:t>
      </w:r>
    </w:p>
    <w:p>
      <w:pPr>
        <w:pStyle w:val="110"/>
      </w:pPr>
      <w:r>
        <w:t>A-MPR</w:t>
      </w:r>
      <w:r>
        <w:tab/>
      </w:r>
      <w:r>
        <w:t>Additional Maximum Power Reduction</w:t>
      </w:r>
    </w:p>
    <w:p>
      <w:pPr>
        <w:pStyle w:val="110"/>
      </w:pPr>
      <w:r>
        <w:t>AWGN</w:t>
      </w:r>
      <w:r>
        <w:tab/>
      </w:r>
      <w:r>
        <w:t>Additive White Gaussian Noise</w:t>
      </w:r>
    </w:p>
    <w:p>
      <w:pPr>
        <w:pStyle w:val="110"/>
      </w:pPr>
      <w:r>
        <w:t>BW</w:t>
      </w:r>
      <w:r>
        <w:tab/>
      </w:r>
      <w:r>
        <w:t>Bandwidth</w:t>
      </w:r>
    </w:p>
    <w:p>
      <w:pPr>
        <w:pStyle w:val="110"/>
      </w:pPr>
      <w:r>
        <w:t>CW</w:t>
      </w:r>
      <w:r>
        <w:tab/>
      </w:r>
      <w:r>
        <w:t>Continuous Wave</w:t>
      </w:r>
    </w:p>
    <w:p>
      <w:pPr>
        <w:pStyle w:val="110"/>
      </w:pPr>
      <w:r>
        <w:t>DL</w:t>
      </w:r>
      <w:r>
        <w:tab/>
      </w:r>
      <w:r>
        <w:t>Downlink</w:t>
      </w:r>
    </w:p>
    <w:p>
      <w:pPr>
        <w:pStyle w:val="110"/>
      </w:pPr>
      <w:r>
        <w:t xml:space="preserve">EARFCN </w:t>
      </w:r>
      <w:r>
        <w:tab/>
      </w:r>
      <w:r>
        <w:t>E-UTRA Absolute Radio Frequency Channel Number</w:t>
      </w:r>
    </w:p>
    <w:p>
      <w:pPr>
        <w:pStyle w:val="110"/>
      </w:pPr>
      <w:r>
        <w:t xml:space="preserve">E-UTRA </w:t>
      </w:r>
      <w:r>
        <w:tab/>
      </w:r>
      <w:r>
        <w:t>Evolved UMTS Terrestrial Radio Access</w:t>
      </w:r>
    </w:p>
    <w:p>
      <w:pPr>
        <w:pStyle w:val="110"/>
      </w:pPr>
      <w:r>
        <w:t>EUTRAN</w:t>
      </w:r>
      <w:r>
        <w:tab/>
      </w:r>
      <w:r>
        <w:t>Evolved UMTS Terrestrial Radio Access Network</w:t>
      </w:r>
    </w:p>
    <w:p>
      <w:pPr>
        <w:pStyle w:val="110"/>
      </w:pPr>
      <w:r>
        <w:t>EVM</w:t>
      </w:r>
      <w:r>
        <w:tab/>
      </w:r>
      <w:r>
        <w:t>Error Vector Magnitude</w:t>
      </w:r>
    </w:p>
    <w:p>
      <w:pPr>
        <w:pStyle w:val="110"/>
      </w:pPr>
      <w:r>
        <w:t>FDD</w:t>
      </w:r>
      <w:r>
        <w:tab/>
      </w:r>
      <w:r>
        <w:t>Frequency Division Duplex</w:t>
      </w:r>
    </w:p>
    <w:p>
      <w:pPr>
        <w:pStyle w:val="110"/>
      </w:pPr>
      <w:r>
        <w:t>GEO</w:t>
      </w:r>
      <w:r>
        <w:tab/>
      </w:r>
      <w:r>
        <w:t>Geosynchronous Earth Orbit</w:t>
      </w:r>
    </w:p>
    <w:p>
      <w:pPr>
        <w:pStyle w:val="110"/>
      </w:pPr>
      <w:r>
        <w:t>ITU-R</w:t>
      </w:r>
      <w:r>
        <w:tab/>
      </w:r>
      <w:r>
        <w:t>Radiocommunication Sector of the International Telecommunication Union</w:t>
      </w:r>
    </w:p>
    <w:p>
      <w:pPr>
        <w:pStyle w:val="110"/>
      </w:pPr>
      <w:r>
        <w:t>LEO</w:t>
      </w:r>
      <w:r>
        <w:tab/>
      </w:r>
      <w:r>
        <w:t>Low Earth Orbit</w:t>
      </w:r>
    </w:p>
    <w:p>
      <w:pPr>
        <w:pStyle w:val="110"/>
      </w:pPr>
      <w:r>
        <w:t>HD-FDD</w:t>
      </w:r>
      <w:r>
        <w:tab/>
      </w:r>
      <w:r>
        <w:t>Half- Duplex FDD</w:t>
      </w:r>
    </w:p>
    <w:p>
      <w:pPr>
        <w:pStyle w:val="110"/>
        <w:rPr>
          <w:lang w:eastAsia="zh-CN"/>
        </w:rPr>
      </w:pPr>
      <w:r>
        <w:t>MEO</w:t>
      </w:r>
      <w:r>
        <w:tab/>
      </w:r>
      <w:r>
        <w:t>Medium Earth Orbit</w:t>
      </w:r>
    </w:p>
    <w:p>
      <w:pPr>
        <w:pStyle w:val="110"/>
      </w:pPr>
      <w:r>
        <w:t>MPR</w:t>
      </w:r>
      <w:r>
        <w:tab/>
      </w:r>
      <w:r>
        <w:t>Maximum Power Reduction</w:t>
      </w:r>
    </w:p>
    <w:p>
      <w:pPr>
        <w:pStyle w:val="110"/>
      </w:pPr>
      <w:r>
        <w:t>OCNG</w:t>
      </w:r>
      <w:r>
        <w:tab/>
      </w:r>
      <w:r>
        <w:t>OFDMA Channel Noise Generator</w:t>
      </w:r>
    </w:p>
    <w:p>
      <w:pPr>
        <w:pStyle w:val="110"/>
      </w:pPr>
      <w:r>
        <w:t>OFDMA</w:t>
      </w:r>
      <w:r>
        <w:tab/>
      </w:r>
      <w:r>
        <w:t>Orthogonal Frequency Division Multiple Access</w:t>
      </w:r>
    </w:p>
    <w:p>
      <w:pPr>
        <w:pStyle w:val="110"/>
      </w:pPr>
      <w:r>
        <w:t>OOB</w:t>
      </w:r>
      <w:r>
        <w:tab/>
      </w:r>
      <w:r>
        <w:t>Out-of-band</w:t>
      </w:r>
    </w:p>
    <w:p>
      <w:pPr>
        <w:pStyle w:val="110"/>
      </w:pPr>
      <w:r>
        <w:t>QAM</w:t>
      </w:r>
      <w:r>
        <w:tab/>
      </w:r>
      <w:r>
        <w:t>Quadrature Amplitude Modulation</w:t>
      </w:r>
    </w:p>
    <w:p>
      <w:pPr>
        <w:pStyle w:val="110"/>
      </w:pPr>
      <w:r>
        <w:t>RAN</w:t>
      </w:r>
      <w:r>
        <w:tab/>
      </w:r>
      <w:r>
        <w:t>Radio Access Network</w:t>
      </w:r>
    </w:p>
    <w:p>
      <w:pPr>
        <w:pStyle w:val="110"/>
      </w:pPr>
      <w:r>
        <w:t>RE</w:t>
      </w:r>
      <w:r>
        <w:tab/>
      </w:r>
      <w:r>
        <w:t>Resource Element</w:t>
      </w:r>
    </w:p>
    <w:p>
      <w:pPr>
        <w:pStyle w:val="110"/>
      </w:pPr>
      <w:r>
        <w:t>REFSENS</w:t>
      </w:r>
      <w:r>
        <w:tab/>
      </w:r>
      <w:r>
        <w:t>Reference Sensitivity power level</w:t>
      </w:r>
    </w:p>
    <w:p>
      <w:pPr>
        <w:pStyle w:val="110"/>
      </w:pPr>
      <w:r>
        <w:t>RF</w:t>
      </w:r>
      <w:r>
        <w:tab/>
      </w:r>
      <w:r>
        <w:t>Radio Frequency</w:t>
      </w:r>
    </w:p>
    <w:p>
      <w:pPr>
        <w:pStyle w:val="110"/>
      </w:pPr>
      <w:r>
        <w:t>UE</w:t>
      </w:r>
      <w:r>
        <w:tab/>
      </w:r>
      <w:r>
        <w:t>User Equipment</w:t>
      </w:r>
    </w:p>
    <w:p>
      <w:pPr>
        <w:pStyle w:val="110"/>
      </w:pPr>
      <w:r>
        <w:t>UL</w:t>
      </w:r>
      <w:r>
        <w:tab/>
      </w:r>
      <w:r>
        <w:t>Uplink</w:t>
      </w:r>
    </w:p>
    <w:p>
      <w:pPr>
        <w:pStyle w:val="110"/>
      </w:pPr>
      <w:r>
        <w:t>UMTS</w:t>
      </w:r>
      <w:r>
        <w:tab/>
      </w:r>
      <w:r>
        <w:t>Universal Mobile Telecommunications System</w:t>
      </w:r>
    </w:p>
    <w:p>
      <w:pPr>
        <w:pStyle w:val="110"/>
      </w:pPr>
      <w:r>
        <w:t>UTRA</w:t>
      </w:r>
      <w:r>
        <w:tab/>
      </w:r>
      <w:r>
        <w:t>UMTS Terrestrial Radio Access</w:t>
      </w:r>
    </w:p>
    <w:p>
      <w:pPr>
        <w:pStyle w:val="110"/>
      </w:pPr>
      <w:r>
        <w:t>UTRAN</w:t>
      </w:r>
      <w:r>
        <w:tab/>
      </w:r>
      <w:r>
        <w:t>UMTS Terrestrial Radio Access Network</w:t>
      </w:r>
    </w:p>
    <w:p>
      <w:pPr>
        <w:pStyle w:val="110"/>
      </w:pPr>
    </w:p>
    <w:p>
      <w:pPr>
        <w:pStyle w:val="3"/>
      </w:pPr>
      <w:bookmarkStart w:id="102" w:name="clause4"/>
      <w:bookmarkEnd w:id="102"/>
      <w:bookmarkStart w:id="103" w:name="_Toc15256"/>
      <w:bookmarkStart w:id="104" w:name="_Toc11435"/>
      <w:bookmarkStart w:id="105" w:name="_Toc17913"/>
      <w:bookmarkStart w:id="106" w:name="_Toc8000"/>
      <w:bookmarkStart w:id="107" w:name="_Toc12719"/>
      <w:bookmarkStart w:id="108" w:name="_Toc8561"/>
      <w:bookmarkStart w:id="109" w:name="_Toc24915"/>
      <w:r>
        <w:t>4</w:t>
      </w:r>
      <w:r>
        <w:tab/>
      </w:r>
      <w:r>
        <w:t>General</w:t>
      </w:r>
      <w:bookmarkEnd w:id="103"/>
      <w:bookmarkEnd w:id="104"/>
      <w:bookmarkEnd w:id="105"/>
      <w:bookmarkEnd w:id="106"/>
      <w:bookmarkEnd w:id="107"/>
      <w:bookmarkEnd w:id="108"/>
      <w:bookmarkEnd w:id="109"/>
    </w:p>
    <w:p>
      <w:pPr>
        <w:pStyle w:val="4"/>
      </w:pPr>
      <w:bookmarkStart w:id="110" w:name="_Toc106127528"/>
      <w:bookmarkStart w:id="111" w:name="_Toc97562261"/>
      <w:bookmarkStart w:id="112" w:name="_Toc24343"/>
      <w:bookmarkStart w:id="113" w:name="_Toc104206646"/>
      <w:bookmarkStart w:id="114" w:name="_Toc21525"/>
      <w:bookmarkStart w:id="115" w:name="_Toc104122488"/>
      <w:bookmarkStart w:id="116" w:name="_Toc11057"/>
      <w:bookmarkStart w:id="117" w:name="_Toc13296"/>
      <w:bookmarkStart w:id="118" w:name="_Toc104205439"/>
      <w:bookmarkStart w:id="119" w:name="_Toc26742"/>
      <w:bookmarkStart w:id="120" w:name="_Toc18999"/>
      <w:bookmarkStart w:id="121" w:name="_Toc104503606"/>
      <w:bookmarkStart w:id="122" w:name="_Toc18959"/>
      <w:r>
        <w:t>4.1</w:t>
      </w:r>
      <w:r>
        <w:tab/>
      </w:r>
      <w:r>
        <w:t>Relationship between minimum requirements and test requirements</w:t>
      </w:r>
      <w:bookmarkEnd w:id="110"/>
      <w:bookmarkEnd w:id="111"/>
      <w:bookmarkEnd w:id="112"/>
      <w:bookmarkEnd w:id="113"/>
      <w:bookmarkEnd w:id="114"/>
      <w:bookmarkEnd w:id="115"/>
      <w:bookmarkEnd w:id="116"/>
      <w:bookmarkEnd w:id="117"/>
      <w:bookmarkEnd w:id="118"/>
      <w:bookmarkEnd w:id="119"/>
      <w:bookmarkEnd w:id="120"/>
      <w:bookmarkEnd w:id="121"/>
      <w:bookmarkEnd w:id="122"/>
    </w:p>
    <w:p>
      <w:r>
        <w:t>TS 3</w:t>
      </w:r>
      <w:r>
        <w:rPr>
          <w:lang w:val="en-US"/>
        </w:rPr>
        <w:t>6</w:t>
      </w:r>
      <w:r>
        <w:t>.10</w:t>
      </w:r>
      <w:r>
        <w:rPr>
          <w:lang w:val="en-US"/>
        </w:rPr>
        <w:t>2</w:t>
      </w:r>
      <w:r>
        <w:t xml:space="preserve"> [11] is a Single-RAT specification for satellite NR UE, covering RF characteristics and minimum performance requirements. Conformance to the TS 3</w:t>
      </w:r>
      <w:r>
        <w:rPr>
          <w:lang w:val="en-US"/>
        </w:rPr>
        <w:t>6</w:t>
      </w:r>
      <w:r>
        <w:t>.10</w:t>
      </w:r>
      <w:r>
        <w:rPr>
          <w:lang w:val="en-US"/>
        </w:rPr>
        <w:t>2</w:t>
      </w:r>
      <w:r>
        <w:t xml:space="preserve"> [11] is demonstrated by fulfilling the test requirements specified in the present document.</w:t>
      </w:r>
    </w:p>
    <w:p>
      <w:pPr>
        <w:rPr>
          <w:snapToGrid w:val="0"/>
        </w:rPr>
      </w:pPr>
      <w:r>
        <w:rPr>
          <w:snapToGrid w:val="0"/>
        </w:rPr>
        <w:t xml:space="preserve">The Minimum Requirements given in TS </w:t>
      </w:r>
      <w:r>
        <w:t>3</w:t>
      </w:r>
      <w:r>
        <w:rPr>
          <w:lang w:val="en-US"/>
        </w:rPr>
        <w:t>6</w:t>
      </w:r>
      <w:r>
        <w:t>.10</w:t>
      </w:r>
      <w:r>
        <w:rPr>
          <w:lang w:val="en-US"/>
        </w:rPr>
        <w:t>2</w:t>
      </w:r>
      <w:r>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pPr>
        <w:rPr>
          <w:snapToGrid w:val="0"/>
        </w:rPr>
      </w:pPr>
      <w:r>
        <w:rPr>
          <w:snapToGrid w:val="0"/>
        </w:rPr>
        <w:t>The measurement results returned by the test system are compared - without any modification - against the test requirements as defined by the various levels of “shared risk” principle as described below.</w:t>
      </w:r>
    </w:p>
    <w:p>
      <w:pPr>
        <w:pStyle w:val="111"/>
        <w:rPr>
          <w:snapToGrid w:val="0"/>
          <w:lang w:eastAsia="zh-CN"/>
        </w:rPr>
      </w:pPr>
      <w:r>
        <w:rPr>
          <w:snapToGrid w:val="0"/>
          <w:lang w:eastAsia="zh-CN"/>
        </w:rPr>
        <w:t>a)</w:t>
      </w:r>
      <w:r>
        <w:rPr>
          <w:snapToGrid w:val="0"/>
          <w:lang w:eastAsia="zh-CN"/>
        </w:rPr>
        <w:tab/>
      </w:r>
      <w:r>
        <w:rPr>
          <w:snapToGrid w:val="0"/>
          <w:lang w:eastAsia="zh-CN"/>
        </w:rPr>
        <w:t>Core specification value is not relaxed by any relaxation value (TT=0). For each single measurement, the probability of a borderline good UE being judged as FAIL equals the probability of a borderline bad UE being judged as PASS.</w:t>
      </w:r>
    </w:p>
    <w:p>
      <w:pPr>
        <w:pStyle w:val="122"/>
      </w:pPr>
      <w:r>
        <w:rPr>
          <w:snapToGrid w:val="0"/>
          <w:lang w:eastAsia="zh-CN"/>
        </w:rPr>
        <w:t>-</w:t>
      </w:r>
      <w:r>
        <w:rPr>
          <w:snapToGrid w:val="0"/>
          <w:lang w:eastAsia="zh-CN"/>
        </w:rPr>
        <w:tab/>
      </w:r>
      <w:r>
        <w:rPr>
          <w:snapToGrid w:val="0"/>
          <w:lang w:eastAsia="zh-CN"/>
        </w:rPr>
        <w:t>T</w:t>
      </w:r>
      <w:r>
        <w:rPr>
          <w:snapToGrid w:val="0"/>
        </w:rPr>
        <w:t>est tolerances</w:t>
      </w:r>
      <w:r>
        <w:rPr>
          <w:snapToGrid w:val="0"/>
          <w:lang w:eastAsia="zh-CN"/>
        </w:rPr>
        <w:t xml:space="preserve"> equal to 0 (TT=0) are considered in this specification.</w:t>
      </w:r>
    </w:p>
    <w:p>
      <w:pPr>
        <w:pStyle w:val="111"/>
        <w:rPr>
          <w:snapToGrid w:val="0"/>
          <w:lang w:eastAsia="zh-CN"/>
        </w:rPr>
      </w:pPr>
      <w:r>
        <w:rPr>
          <w:snapToGrid w:val="0"/>
          <w:lang w:eastAsia="zh-CN"/>
        </w:rPr>
        <w:t>b)</w:t>
      </w:r>
      <w:r>
        <w:rPr>
          <w:snapToGrid w:val="0"/>
          <w:lang w:eastAsia="zh-CN"/>
        </w:rPr>
        <w:tab/>
      </w:r>
      <w:r>
        <w:rPr>
          <w:snapToGrid w:val="0"/>
          <w:lang w:eastAsia="zh-CN"/>
        </w:rPr>
        <w:t>Core specification value is relaxed by a relaxation value (TT&gt;0). For each single measurement, the probability of a borderline bad UE being judged as PASS is greater than the probability of a borderline good UE being judged as FAIL.</w:t>
      </w:r>
    </w:p>
    <w:p>
      <w:pPr>
        <w:pStyle w:val="122"/>
      </w:pPr>
      <w:r>
        <w:rPr>
          <w:snapToGrid w:val="0"/>
          <w:lang w:eastAsia="zh-CN"/>
        </w:rPr>
        <w:t>-</w:t>
      </w:r>
      <w:r>
        <w:rPr>
          <w:snapToGrid w:val="0"/>
          <w:lang w:eastAsia="zh-CN"/>
        </w:rPr>
        <w:tab/>
      </w:r>
      <w:r>
        <w:rPr>
          <w:snapToGrid w:val="0"/>
          <w:lang w:eastAsia="zh-CN"/>
        </w:rPr>
        <w:t>T</w:t>
      </w:r>
      <w:r>
        <w:rPr>
          <w:snapToGrid w:val="0"/>
        </w:rPr>
        <w:t>est tolerances lower tha</w:t>
      </w:r>
      <w:r>
        <w:rPr>
          <w:snapToGrid w:val="0"/>
          <w:lang w:eastAsia="zh-CN"/>
        </w:rPr>
        <w:t>n</w:t>
      </w:r>
      <w:r>
        <w:rPr>
          <w:snapToGrid w:val="0"/>
        </w:rPr>
        <w:t xml:space="preserve"> measurement uncertainty and greater than 0 (0 &lt; TT &lt; MU) are considered in this specification.</w:t>
      </w:r>
    </w:p>
    <w:p>
      <w:pPr>
        <w:pStyle w:val="122"/>
      </w:pPr>
      <w:r>
        <w:rPr>
          <w:snapToGrid w:val="0"/>
          <w:lang w:eastAsia="zh-CN"/>
        </w:rPr>
        <w:t>-</w:t>
      </w:r>
      <w:r>
        <w:rPr>
          <w:snapToGrid w:val="0"/>
          <w:lang w:eastAsia="zh-CN"/>
        </w:rPr>
        <w:tab/>
      </w:r>
      <w:r>
        <w:rPr>
          <w:snapToGrid w:val="0"/>
          <w:lang w:eastAsia="zh-CN"/>
        </w:rPr>
        <w:t>T</w:t>
      </w:r>
      <w:r>
        <w:rPr>
          <w:snapToGrid w:val="0"/>
        </w:rPr>
        <w:t xml:space="preserve">est tolerances </w:t>
      </w:r>
      <w:r>
        <w:rPr>
          <w:snapToGrid w:val="0"/>
          <w:lang w:eastAsia="zh-CN"/>
        </w:rPr>
        <w:t>up to</w:t>
      </w:r>
      <w:r>
        <w:rPr>
          <w:snapToGrid w:val="0"/>
        </w:rPr>
        <w:t xml:space="preserve"> measurement uncertainty (TT = MU)</w:t>
      </w:r>
      <w:r>
        <w:rPr>
          <w:snapToGrid w:val="0"/>
          <w:lang w:eastAsia="zh-CN"/>
        </w:rPr>
        <w:t xml:space="preserve"> </w:t>
      </w:r>
      <w:r>
        <w:rPr>
          <w:snapToGrid w:val="0"/>
        </w:rPr>
        <w:t>are considered in this specification</w:t>
      </w:r>
      <w:r>
        <w:rPr>
          <w:snapToGrid w:val="0"/>
          <w:lang w:eastAsia="zh-CN"/>
        </w:rPr>
        <w:t xml:space="preserve"> which is also known as </w:t>
      </w:r>
      <w:r>
        <w:rPr>
          <w:lang w:eastAsia="zh-CN"/>
        </w:rPr>
        <w:t>“</w:t>
      </w:r>
      <w:r>
        <w:rPr>
          <w:snapToGrid w:val="0"/>
        </w:rPr>
        <w:t>Never fail a good DUT</w:t>
      </w:r>
      <w:r>
        <w:rPr>
          <w:lang w:eastAsia="zh-CN"/>
        </w:rPr>
        <w:t>”</w:t>
      </w:r>
      <w:r>
        <w:rPr>
          <w:snapToGrid w:val="0"/>
        </w:rPr>
        <w:t xml:space="preserve"> principle</w:t>
      </w:r>
      <w:r>
        <w:rPr>
          <w:snapToGrid w:val="0"/>
          <w:lang w:eastAsia="zh-CN"/>
        </w:rPr>
        <w:t>.</w:t>
      </w:r>
    </w:p>
    <w:p>
      <w:pPr>
        <w:pStyle w:val="111"/>
        <w:rPr>
          <w:snapToGrid w:val="0"/>
          <w:lang w:eastAsia="zh-CN"/>
        </w:rPr>
      </w:pPr>
      <w:r>
        <w:rPr>
          <w:snapToGrid w:val="0"/>
          <w:lang w:eastAsia="zh-CN"/>
        </w:rPr>
        <w:t>c)</w:t>
      </w:r>
      <w:r>
        <w:rPr>
          <w:snapToGrid w:val="0"/>
          <w:lang w:eastAsia="zh-CN"/>
        </w:rPr>
        <w:tab/>
      </w:r>
      <w:r>
        <w:rPr>
          <w:snapToGrid w:val="0"/>
          <w:lang w:eastAsia="zh-CN"/>
        </w:rPr>
        <w:t>Core specification value is tightened by a stringent value (TT&lt;0). For each single measurement, the probability of a borderline good UE being judged as FAIL is greater than the probability of a borderline bad UE being judged as PASS.</w:t>
      </w:r>
    </w:p>
    <w:p>
      <w:pPr>
        <w:pStyle w:val="122"/>
        <w:rPr>
          <w:snapToGrid w:val="0"/>
        </w:rPr>
      </w:pPr>
      <w:r>
        <w:rPr>
          <w:snapToGrid w:val="0"/>
          <w:lang w:eastAsia="zh-CN"/>
        </w:rPr>
        <w:t>-</w:t>
      </w:r>
      <w:r>
        <w:rPr>
          <w:snapToGrid w:val="0"/>
          <w:lang w:eastAsia="zh-CN"/>
        </w:rPr>
        <w:tab/>
      </w:r>
      <w:r>
        <w:rPr>
          <w:snapToGrid w:val="0"/>
          <w:lang w:eastAsia="zh-CN"/>
        </w:rPr>
        <w:t>Test tolerances lower than 0 (TT&lt;0) are not considered in this specification.</w:t>
      </w:r>
      <w:r>
        <w:rPr>
          <w:snapToGrid w:val="0"/>
        </w:rPr>
        <w:t>.</w:t>
      </w:r>
    </w:p>
    <w:p>
      <w:pPr>
        <w:rPr>
          <w:snapToGrid w:val="0"/>
        </w:rPr>
      </w:pPr>
      <w:r>
        <w:rPr>
          <w:snapToGrid w:val="0"/>
        </w:rPr>
        <w:t>The “Never fail a good DUT” and the “Shared Risk”</w:t>
      </w:r>
      <w:r>
        <w:rPr>
          <w:snapToGrid w:val="0"/>
          <w:lang w:eastAsia="zh-CN"/>
        </w:rPr>
        <w:t xml:space="preserve"> principles are </w:t>
      </w:r>
      <w:r>
        <w:rPr>
          <w:snapToGrid w:val="0"/>
        </w:rPr>
        <w:t>defined in Recommendation ITU</w:t>
      </w:r>
      <w:r>
        <w:rPr>
          <w:snapToGrid w:val="0"/>
        </w:rPr>
        <w:noBreakHyphen/>
      </w:r>
      <w:r>
        <w:rPr>
          <w:snapToGrid w:val="0"/>
        </w:rPr>
        <w:t>R M.1545 [</w:t>
      </w:r>
      <w:r>
        <w:rPr>
          <w:snapToGrid w:val="0"/>
          <w:lang w:val="en-US" w:eastAsia="zh-CN"/>
        </w:rPr>
        <w:t>4</w:t>
      </w:r>
      <w:r>
        <w:rPr>
          <w:snapToGrid w:val="0"/>
        </w:rPr>
        <w:t>].</w:t>
      </w:r>
    </w:p>
    <w:p>
      <w:pPr>
        <w:pStyle w:val="4"/>
      </w:pPr>
      <w:bookmarkStart w:id="123" w:name="_Toc104122489"/>
      <w:bookmarkStart w:id="124" w:name="_Toc104205440"/>
      <w:bookmarkStart w:id="125" w:name="_Toc15014"/>
      <w:bookmarkStart w:id="126" w:name="_Toc16650"/>
      <w:bookmarkStart w:id="127" w:name="_Toc9591"/>
      <w:bookmarkStart w:id="128" w:name="_Toc1557"/>
      <w:bookmarkStart w:id="129" w:name="_Toc104503607"/>
      <w:bookmarkStart w:id="130" w:name="_Toc17659"/>
      <w:bookmarkStart w:id="131" w:name="_Toc17813"/>
      <w:bookmarkStart w:id="132" w:name="_Toc97562262"/>
      <w:bookmarkStart w:id="133" w:name="_Toc106127529"/>
      <w:bookmarkStart w:id="134" w:name="_Toc10434"/>
      <w:bookmarkStart w:id="135" w:name="_Toc104206647"/>
      <w:r>
        <w:t>4.2</w:t>
      </w:r>
      <w:r>
        <w:tab/>
      </w:r>
      <w:r>
        <w:t>Applicability of minimum requirements</w:t>
      </w:r>
      <w:bookmarkEnd w:id="123"/>
      <w:bookmarkEnd w:id="124"/>
      <w:bookmarkEnd w:id="125"/>
      <w:bookmarkEnd w:id="126"/>
      <w:bookmarkEnd w:id="127"/>
      <w:bookmarkEnd w:id="128"/>
      <w:bookmarkEnd w:id="129"/>
      <w:bookmarkEnd w:id="130"/>
      <w:bookmarkEnd w:id="131"/>
      <w:bookmarkEnd w:id="132"/>
      <w:bookmarkEnd w:id="133"/>
      <w:bookmarkEnd w:id="134"/>
      <w:bookmarkEnd w:id="135"/>
    </w:p>
    <w:p>
      <w:pPr>
        <w:pStyle w:val="111"/>
        <w:rPr>
          <w:snapToGrid w:val="0"/>
        </w:rPr>
      </w:pPr>
      <w:r>
        <w:rPr>
          <w:snapToGrid w:val="0"/>
        </w:rPr>
        <w:t>a)</w:t>
      </w:r>
      <w:r>
        <w:rPr>
          <w:snapToGrid w:val="0"/>
        </w:rPr>
        <w:tab/>
      </w:r>
      <w:r>
        <w:rPr>
          <w:snapToGrid w:val="0"/>
        </w:rPr>
        <w:t xml:space="preserve">Minimum requirements are mandated to be met in all scenarios by UEs supporting the applicable UE category(ies) for which that requirement is specified. In </w:t>
      </w:r>
      <w:r>
        <w:t>TS 3</w:t>
      </w:r>
      <w:r>
        <w:rPr>
          <w:lang w:val="en-US"/>
        </w:rPr>
        <w:t>6</w:t>
      </w:r>
      <w:r>
        <w:t>.10</w:t>
      </w:r>
      <w:r>
        <w:rPr>
          <w:lang w:val="en-US"/>
        </w:rPr>
        <w:t>2</w:t>
      </w:r>
      <w:r>
        <w:t xml:space="preserve"> [11]</w:t>
      </w:r>
      <w:r>
        <w:rPr>
          <w:snapToGrid w:val="0"/>
        </w:rPr>
        <w:t>, only minimum requirements for UE categories of M1, NB1, and NB2 are specified.</w:t>
      </w:r>
    </w:p>
    <w:p>
      <w:pPr>
        <w:pStyle w:val="111"/>
        <w:rPr>
          <w:snapToGrid w:val="0"/>
        </w:rPr>
      </w:pPr>
      <w:r>
        <w:rPr>
          <w:snapToGrid w:val="0"/>
        </w:rPr>
        <w:t>b)</w:t>
      </w:r>
      <w:r>
        <w:rPr>
          <w:snapToGrid w:val="0"/>
        </w:rPr>
        <w:tab/>
      </w:r>
      <w:r>
        <w:rPr>
          <w:snapToGrid w:val="0"/>
        </w:rPr>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pPr>
        <w:pStyle w:val="111"/>
        <w:rPr>
          <w:snapToGrid w:val="0"/>
        </w:rPr>
      </w:pPr>
      <w:r>
        <w:rPr>
          <w:snapToGrid w:val="0"/>
        </w:rPr>
        <w:t>c)</w:t>
      </w:r>
      <w:r>
        <w:rPr>
          <w:snapToGrid w:val="0"/>
        </w:rPr>
        <w:tab/>
      </w:r>
      <w:r>
        <w:rPr>
          <w:snapToGrid w:val="0"/>
        </w:rPr>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pPr>
        <w:pStyle w:val="111"/>
      </w:pPr>
      <w:r>
        <w:t>d)</w:t>
      </w:r>
      <w:r>
        <w:tab/>
      </w:r>
      <w:r>
        <w:t>The reference sensitivity power levels defined in subclause 7.3 are valid for the specified reference measurement channels.</w:t>
      </w:r>
    </w:p>
    <w:p>
      <w:pPr>
        <w:pStyle w:val="100"/>
      </w:pPr>
      <w:r>
        <w:t>NOTE: Receiver sensitivity degradation may occur when:</w:t>
      </w:r>
    </w:p>
    <w:p>
      <w:pPr>
        <w:pStyle w:val="122"/>
      </w:pPr>
      <w:r>
        <w:t>1)</w:t>
      </w:r>
      <w:r>
        <w:tab/>
      </w:r>
      <w:r>
        <w:t>The UE simultaneously transmits and receives with bandwidth allocations less than the transmission bandwidth configuration (see Figure 5.3A-1 and Figure 5.3B-1), and</w:t>
      </w:r>
    </w:p>
    <w:p>
      <w:pPr>
        <w:pStyle w:val="122"/>
      </w:pPr>
      <w:r>
        <w:t>2)</w:t>
      </w:r>
      <w:r>
        <w:tab/>
      </w:r>
      <w:r>
        <w:t>Any part of the downlink transmission bandwidth is within an uplink transmission bandwidth from the downlink center subcarrier.</w:t>
      </w:r>
    </w:p>
    <w:p>
      <w:pPr>
        <w:pStyle w:val="111"/>
      </w:pPr>
      <w:r>
        <w:t>e)</w:t>
      </w:r>
      <w:r>
        <w:tab/>
      </w:r>
      <w:r>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pPr>
        <w:pStyle w:val="111"/>
      </w:pPr>
      <w:r>
        <w:t>f)</w:t>
      </w:r>
      <w:r>
        <w:tab/>
      </w:r>
      <w:r>
        <w:t>The requirements related to subslot TTI and/or slot TTI shall apply only if UE supports multiple TTI patterns. And these requirements only apply to subslot and/or slot TTI configurations</w:t>
      </w:r>
    </w:p>
    <w:p>
      <w:pPr>
        <w:pStyle w:val="111"/>
      </w:pPr>
      <w:r>
        <w:t>g)</w:t>
      </w:r>
      <w:r>
        <w:tab/>
      </w:r>
      <w:r>
        <w:t>TS</w:t>
      </w:r>
      <w:r>
        <w:rPr>
          <w:lang w:val="en-US"/>
        </w:rPr>
        <w:t xml:space="preserve"> </w:t>
      </w:r>
      <w:r>
        <w:t>36.307 [5] specifies which minimum requirements in the present document are applicable to UEs that conform to an earlier specification Release, and from which Release those requirements apply.</w:t>
      </w:r>
    </w:p>
    <w:p>
      <w:pPr>
        <w:pStyle w:val="4"/>
      </w:pPr>
      <w:bookmarkStart w:id="136" w:name="_Toc106127530"/>
      <w:bookmarkStart w:id="137" w:name="_Toc15200"/>
      <w:bookmarkStart w:id="138" w:name="_Toc97562263"/>
      <w:bookmarkStart w:id="139" w:name="_Toc104206648"/>
      <w:bookmarkStart w:id="140" w:name="_Toc104205441"/>
      <w:bookmarkStart w:id="141" w:name="_Toc2573"/>
      <w:bookmarkStart w:id="142" w:name="_Toc51"/>
      <w:bookmarkStart w:id="143" w:name="_Toc15621"/>
      <w:bookmarkStart w:id="144" w:name="_Toc16379"/>
      <w:bookmarkStart w:id="145" w:name="_Toc104122490"/>
      <w:bookmarkStart w:id="146" w:name="_Toc11354"/>
      <w:bookmarkStart w:id="147" w:name="_Toc104503608"/>
      <w:bookmarkStart w:id="148" w:name="_Toc25567"/>
      <w:r>
        <w:t>4.3</w:t>
      </w:r>
      <w:r>
        <w:tab/>
      </w:r>
      <w:r>
        <w:t>Specification suffix information</w:t>
      </w:r>
      <w:bookmarkEnd w:id="136"/>
      <w:bookmarkEnd w:id="137"/>
      <w:bookmarkEnd w:id="138"/>
      <w:bookmarkEnd w:id="139"/>
      <w:bookmarkEnd w:id="140"/>
      <w:bookmarkEnd w:id="141"/>
      <w:bookmarkEnd w:id="142"/>
      <w:bookmarkEnd w:id="143"/>
      <w:bookmarkEnd w:id="144"/>
      <w:bookmarkEnd w:id="145"/>
      <w:bookmarkEnd w:id="146"/>
      <w:bookmarkEnd w:id="147"/>
      <w:bookmarkEnd w:id="148"/>
    </w:p>
    <w:p>
      <w:r>
        <w:t>The following suffixes are defined at 2nd level for clauses 5, 6 and 7, as shown in Table 4.3-1.</w:t>
      </w:r>
    </w:p>
    <w:p>
      <w:pPr>
        <w:pStyle w:val="113"/>
      </w:pPr>
      <w:r>
        <w:t>Table 4.3-1: Definition of suffixes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pPr>
              <w:pStyle w:val="104"/>
            </w:pPr>
            <w:r>
              <w:t>Clause suffix</w:t>
            </w:r>
          </w:p>
        </w:tc>
        <w:tc>
          <w:tcPr>
            <w:tcW w:w="2551" w:type="dxa"/>
            <w:tcBorders>
              <w:top w:val="single" w:color="auto" w:sz="4" w:space="0"/>
              <w:left w:val="single" w:color="auto" w:sz="4" w:space="0"/>
              <w:bottom w:val="single" w:color="auto" w:sz="4" w:space="0"/>
              <w:right w:val="single" w:color="auto" w:sz="4" w:space="0"/>
            </w:tcBorders>
            <w:shd w:val="clear" w:color="auto" w:fill="D9D9D9"/>
          </w:tcPr>
          <w:p>
            <w:pPr>
              <w:pStyle w:val="104"/>
            </w:pPr>
            <w:r>
              <w:t>Variant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pPr>
              <w:pStyle w:val="105"/>
            </w:pPr>
            <w:r>
              <w:t>A</w:t>
            </w:r>
          </w:p>
        </w:tc>
        <w:tc>
          <w:tcPr>
            <w:tcW w:w="2551" w:type="dxa"/>
            <w:tcBorders>
              <w:top w:val="single" w:color="auto" w:sz="4" w:space="0"/>
              <w:left w:val="single" w:color="auto" w:sz="4" w:space="0"/>
              <w:bottom w:val="single" w:color="auto" w:sz="4" w:space="0"/>
              <w:right w:val="single" w:color="auto" w:sz="4" w:space="0"/>
            </w:tcBorders>
          </w:tcPr>
          <w:p>
            <w:pPr>
              <w:pStyle w:val="103"/>
            </w:pPr>
            <w:r>
              <w:t>Cat-M1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pPr>
              <w:pStyle w:val="105"/>
            </w:pPr>
            <w:r>
              <w:t>B</w:t>
            </w:r>
          </w:p>
        </w:tc>
        <w:tc>
          <w:tcPr>
            <w:tcW w:w="2551" w:type="dxa"/>
            <w:tcBorders>
              <w:top w:val="single" w:color="auto" w:sz="4" w:space="0"/>
              <w:left w:val="single" w:color="auto" w:sz="4" w:space="0"/>
              <w:bottom w:val="single" w:color="auto" w:sz="4" w:space="0"/>
              <w:right w:val="single" w:color="auto" w:sz="4" w:space="0"/>
            </w:tcBorders>
          </w:tcPr>
          <w:p>
            <w:pPr>
              <w:pStyle w:val="103"/>
            </w:pPr>
            <w:r>
              <w:t>NB1, NB2</w:t>
            </w:r>
          </w:p>
        </w:tc>
      </w:tr>
    </w:tbl>
    <w:p/>
    <w:p>
      <w:r>
        <w:t>The suffixes shall apply as defined in clause 4.2.</w:t>
      </w:r>
    </w:p>
    <w:p>
      <w:pPr>
        <w:pStyle w:val="4"/>
      </w:pPr>
      <w:bookmarkStart w:id="149" w:name="_Toc7195"/>
      <w:bookmarkStart w:id="150" w:name="_Toc97562264"/>
      <w:bookmarkStart w:id="151" w:name="_Toc22254"/>
      <w:bookmarkStart w:id="152" w:name="_Toc20239"/>
      <w:bookmarkStart w:id="153" w:name="_Toc104205442"/>
      <w:bookmarkStart w:id="154" w:name="_Toc104206649"/>
      <w:bookmarkStart w:id="155" w:name="_Toc104122491"/>
      <w:bookmarkStart w:id="156" w:name="_Toc10085"/>
      <w:bookmarkStart w:id="157" w:name="_Toc12349"/>
      <w:bookmarkStart w:id="158" w:name="_Toc29888"/>
      <w:bookmarkStart w:id="159" w:name="_Toc106127531"/>
      <w:bookmarkStart w:id="160" w:name="_Toc104503609"/>
      <w:bookmarkStart w:id="161" w:name="_Toc28949"/>
      <w:r>
        <w:t>4.4</w:t>
      </w:r>
      <w:r>
        <w:tab/>
      </w:r>
      <w:r>
        <w:rPr>
          <w:rFonts w:hint="eastAsia"/>
        </w:rPr>
        <w:t>Relationship</w:t>
      </w:r>
      <w:r>
        <w:t xml:space="preserve"> with core specifications</w:t>
      </w:r>
      <w:bookmarkEnd w:id="149"/>
      <w:bookmarkEnd w:id="150"/>
      <w:bookmarkEnd w:id="151"/>
      <w:bookmarkEnd w:id="152"/>
      <w:bookmarkEnd w:id="153"/>
      <w:bookmarkEnd w:id="154"/>
      <w:bookmarkEnd w:id="155"/>
      <w:bookmarkEnd w:id="156"/>
      <w:bookmarkEnd w:id="157"/>
      <w:bookmarkEnd w:id="158"/>
      <w:bookmarkEnd w:id="159"/>
      <w:bookmarkEnd w:id="160"/>
      <w:bookmarkEnd w:id="161"/>
    </w:p>
    <w:p>
      <w:pPr>
        <w:rPr>
          <w:color w:val="000000"/>
        </w:rPr>
      </w:pPr>
      <w:r>
        <w:t>TS 3</w:t>
      </w:r>
      <w:r>
        <w:rPr>
          <w:lang w:val="en-US"/>
        </w:rPr>
        <w:t>6</w:t>
      </w:r>
      <w:r>
        <w:t>.10</w:t>
      </w:r>
      <w:r>
        <w:rPr>
          <w:lang w:val="en-US"/>
        </w:rPr>
        <w:t>2</w:t>
      </w:r>
      <w:r>
        <w:t xml:space="preserve"> [11] specifies the minimum RF and performance requirements for E-UTRA User Equipment (UE) operating satellite access. TS 3</w:t>
      </w:r>
      <w:r>
        <w:rPr>
          <w:lang w:val="en-US"/>
        </w:rPr>
        <w:t>6</w:t>
      </w:r>
      <w:r>
        <w:t>.108 [</w:t>
      </w:r>
      <w:r>
        <w:rPr>
          <w:lang w:val="en-US"/>
        </w:rPr>
        <w:t>2</w:t>
      </w:r>
      <w:r>
        <w:t>] specifies the minimum RF and performance requirements of E-UTRA</w:t>
      </w:r>
      <w:r>
        <w:rPr>
          <w:lang w:val="en-US"/>
        </w:rPr>
        <w:t xml:space="preserve"> </w:t>
      </w:r>
      <w:r>
        <w:t>Satellite Access Node (SAN)</w:t>
      </w:r>
      <w:r>
        <w:rPr>
          <w:color w:val="000000"/>
        </w:rPr>
        <w:t>.</w:t>
      </w:r>
    </w:p>
    <w:p>
      <w:pPr>
        <w:pStyle w:val="3"/>
      </w:pPr>
      <w:bookmarkStart w:id="162" w:name="_Toc104503610"/>
      <w:bookmarkStart w:id="163" w:name="_Toc12766"/>
      <w:bookmarkStart w:id="164" w:name="_Toc104122492"/>
      <w:bookmarkStart w:id="165" w:name="_Toc104205443"/>
      <w:bookmarkStart w:id="166" w:name="_Toc5395"/>
      <w:bookmarkStart w:id="167" w:name="_Toc106127532"/>
      <w:bookmarkStart w:id="168" w:name="_Toc5401"/>
      <w:bookmarkStart w:id="169" w:name="_Toc97562265"/>
      <w:bookmarkStart w:id="170" w:name="_Toc18506"/>
      <w:bookmarkStart w:id="171" w:name="_Toc21720"/>
      <w:bookmarkStart w:id="172" w:name="_Toc104206650"/>
      <w:bookmarkStart w:id="173" w:name="_Toc30786"/>
      <w:bookmarkStart w:id="174" w:name="_Toc16356"/>
      <w:r>
        <w:rPr>
          <w:rFonts w:hint="eastAsia"/>
        </w:rPr>
        <w:t>5</w:t>
      </w:r>
      <w:r>
        <w:tab/>
      </w:r>
      <w:r>
        <w:t>Operating bands and channel arrangement</w:t>
      </w:r>
      <w:bookmarkEnd w:id="162"/>
      <w:bookmarkEnd w:id="163"/>
      <w:bookmarkEnd w:id="164"/>
      <w:bookmarkEnd w:id="165"/>
      <w:bookmarkEnd w:id="166"/>
      <w:bookmarkEnd w:id="167"/>
      <w:bookmarkEnd w:id="168"/>
      <w:bookmarkEnd w:id="169"/>
      <w:bookmarkEnd w:id="170"/>
      <w:bookmarkEnd w:id="171"/>
      <w:bookmarkEnd w:id="172"/>
      <w:bookmarkEnd w:id="173"/>
      <w:bookmarkEnd w:id="174"/>
    </w:p>
    <w:p>
      <w:pPr>
        <w:pStyle w:val="4"/>
      </w:pPr>
      <w:bookmarkStart w:id="175" w:name="_Toc20134"/>
      <w:bookmarkStart w:id="176" w:name="_Toc106127533"/>
      <w:bookmarkStart w:id="177" w:name="_Toc104205444"/>
      <w:bookmarkStart w:id="178" w:name="_Toc104503611"/>
      <w:bookmarkStart w:id="179" w:name="_Toc29075"/>
      <w:bookmarkStart w:id="180" w:name="_Toc27396"/>
      <w:bookmarkStart w:id="181" w:name="_Toc920"/>
      <w:bookmarkStart w:id="182" w:name="_Toc104122493"/>
      <w:bookmarkStart w:id="183" w:name="_Toc26136"/>
      <w:bookmarkStart w:id="184" w:name="_Toc104206651"/>
      <w:bookmarkStart w:id="185" w:name="_Toc30553"/>
      <w:bookmarkStart w:id="186" w:name="_Toc97562266"/>
      <w:bookmarkStart w:id="187" w:name="_Toc9612"/>
      <w:r>
        <w:t>5.1</w:t>
      </w:r>
      <w:r>
        <w:tab/>
      </w:r>
      <w:r>
        <w:t>General</w:t>
      </w:r>
      <w:bookmarkEnd w:id="175"/>
      <w:bookmarkEnd w:id="176"/>
      <w:bookmarkEnd w:id="177"/>
      <w:bookmarkEnd w:id="178"/>
      <w:bookmarkEnd w:id="179"/>
      <w:bookmarkEnd w:id="180"/>
      <w:bookmarkEnd w:id="181"/>
      <w:bookmarkEnd w:id="182"/>
      <w:bookmarkEnd w:id="183"/>
      <w:bookmarkEnd w:id="184"/>
      <w:bookmarkEnd w:id="185"/>
      <w:bookmarkEnd w:id="186"/>
      <w:bookmarkEnd w:id="187"/>
    </w:p>
    <w:p>
      <w:pPr>
        <w:rPr>
          <w:rFonts w:cs="v5.0.0"/>
        </w:rPr>
      </w:pPr>
      <w:r>
        <w:rPr>
          <w:rFonts w:cs="v5.0.0"/>
        </w:rPr>
        <w:t>The channel arrangements presented in this clause are based on the operating bands and channel bandwidths defined in the present release of specifications.</w:t>
      </w:r>
    </w:p>
    <w:p>
      <w:pPr>
        <w:pStyle w:val="100"/>
      </w:pPr>
      <w:r>
        <w:t>NOTE:</w:t>
      </w:r>
      <w:r>
        <w:tab/>
      </w:r>
      <w:r>
        <w:t>Other operating bands and channel bandwidths may be considered in future releases.</w:t>
      </w:r>
    </w:p>
    <w:p>
      <w:pPr>
        <w:pStyle w:val="4"/>
      </w:pPr>
      <w:bookmarkStart w:id="188" w:name="_Toc15843"/>
      <w:bookmarkStart w:id="189" w:name="_Toc30115"/>
      <w:bookmarkStart w:id="190" w:name="_Toc4654"/>
      <w:bookmarkStart w:id="191" w:name="_Toc7556"/>
      <w:bookmarkStart w:id="192" w:name="_Toc26773"/>
      <w:bookmarkStart w:id="193" w:name="_Toc27519"/>
      <w:r>
        <w:t>5.2</w:t>
      </w:r>
      <w:r>
        <w:tab/>
      </w:r>
      <w:r>
        <w:t>Operating bands</w:t>
      </w:r>
      <w:bookmarkEnd w:id="188"/>
      <w:bookmarkEnd w:id="189"/>
      <w:bookmarkEnd w:id="190"/>
      <w:bookmarkEnd w:id="191"/>
      <w:bookmarkEnd w:id="192"/>
      <w:bookmarkEnd w:id="193"/>
    </w:p>
    <w:p>
      <w:r>
        <w:t>E-UTRA satellite access is designed to operate in the operating bands defined in Table 5.2-1.</w:t>
      </w:r>
    </w:p>
    <w:p>
      <w:pPr>
        <w:pStyle w:val="113"/>
      </w:pPr>
      <w:r>
        <w:t>Table 5.2-1 E-UTRA operating bands for satellite access</w:t>
      </w:r>
    </w:p>
    <w:tbl>
      <w:tblPr>
        <w:tblStyle w:val="89"/>
        <w:tblW w:w="8094" w:type="dxa"/>
        <w:jc w:val="center"/>
        <w:tblLayout w:type="autofit"/>
        <w:tblCellMar>
          <w:top w:w="0" w:type="dxa"/>
          <w:left w:w="108" w:type="dxa"/>
          <w:bottom w:w="0" w:type="dxa"/>
          <w:right w:w="108" w:type="dxa"/>
        </w:tblCellMar>
      </w:tblPr>
      <w:tblGrid>
        <w:gridCol w:w="1508"/>
        <w:gridCol w:w="1227"/>
        <w:gridCol w:w="517"/>
        <w:gridCol w:w="1279"/>
        <w:gridCol w:w="1139"/>
        <w:gridCol w:w="317"/>
        <w:gridCol w:w="1201"/>
        <w:gridCol w:w="906"/>
      </w:tblGrid>
      <w:tr>
        <w:tblPrEx>
          <w:tblCellMar>
            <w:top w:w="0" w:type="dxa"/>
            <w:left w:w="108" w:type="dxa"/>
            <w:bottom w:w="0" w:type="dxa"/>
            <w:right w:w="108" w:type="dxa"/>
          </w:tblCellMar>
        </w:tblPrEx>
        <w:trPr>
          <w:jc w:val="center"/>
        </w:trPr>
        <w:tc>
          <w:tcPr>
            <w:tcW w:w="1508" w:type="dxa"/>
            <w:vMerge w:val="restart"/>
            <w:tcBorders>
              <w:top w:val="single" w:color="auto" w:sz="4" w:space="0"/>
              <w:left w:val="single" w:color="auto" w:sz="4" w:space="0"/>
              <w:right w:val="single" w:color="auto" w:sz="4" w:space="0"/>
            </w:tcBorders>
            <w:vAlign w:val="center"/>
          </w:tcPr>
          <w:p>
            <w:pPr>
              <w:pStyle w:val="104"/>
              <w:rPr>
                <w:rFonts w:cs="Arial"/>
              </w:rPr>
            </w:pPr>
            <w:r>
              <w:rPr>
                <w:rFonts w:cs="Arial"/>
              </w:rPr>
              <w:t>E</w:t>
            </w:r>
            <w:r>
              <w:rPr>
                <w:rFonts w:cs="Arial"/>
              </w:rPr>
              <w:noBreakHyphen/>
            </w:r>
            <w:r>
              <w:rPr>
                <w:rFonts w:cs="Arial"/>
              </w:rPr>
              <w:t>UTRA Operating Band</w:t>
            </w:r>
          </w:p>
        </w:tc>
        <w:tc>
          <w:tcPr>
            <w:tcW w:w="3023" w:type="dxa"/>
            <w:gridSpan w:val="3"/>
            <w:tcBorders>
              <w:top w:val="single" w:color="auto" w:sz="4" w:space="0"/>
              <w:left w:val="single" w:color="auto" w:sz="4" w:space="0"/>
              <w:bottom w:val="single" w:color="auto" w:sz="4" w:space="0"/>
              <w:right w:val="single" w:color="auto" w:sz="4" w:space="0"/>
            </w:tcBorders>
            <w:vAlign w:val="center"/>
          </w:tcPr>
          <w:p>
            <w:pPr>
              <w:pStyle w:val="104"/>
              <w:rPr>
                <w:rFonts w:cs="Arial"/>
              </w:rPr>
            </w:pPr>
            <w:r>
              <w:rPr>
                <w:rFonts w:cs="Arial"/>
              </w:rPr>
              <w:t>Uplink (UL) operating band</w:t>
            </w:r>
            <w:r>
              <w:rPr>
                <w:rFonts w:cs="Arial"/>
              </w:rPr>
              <w:br w:type="textWrapping"/>
            </w:r>
            <w:r>
              <w:rPr>
                <w:rFonts w:cs="Arial"/>
              </w:rPr>
              <w:t>BS receive</w:t>
            </w:r>
            <w:r>
              <w:rPr>
                <w:rFonts w:cs="Arial"/>
              </w:rPr>
              <w:br w:type="textWrapping"/>
            </w:r>
            <w:r>
              <w:rPr>
                <w:rFonts w:cs="Arial"/>
              </w:rPr>
              <w:t>UE transmit</w:t>
            </w:r>
          </w:p>
        </w:tc>
        <w:tc>
          <w:tcPr>
            <w:tcW w:w="2657" w:type="dxa"/>
            <w:gridSpan w:val="3"/>
            <w:tcBorders>
              <w:top w:val="single" w:color="auto" w:sz="4" w:space="0"/>
              <w:bottom w:val="single" w:color="auto" w:sz="4" w:space="0"/>
              <w:right w:val="single" w:color="auto" w:sz="4" w:space="0"/>
            </w:tcBorders>
            <w:vAlign w:val="center"/>
          </w:tcPr>
          <w:p>
            <w:pPr>
              <w:pStyle w:val="104"/>
              <w:rPr>
                <w:rFonts w:cs="Arial"/>
              </w:rPr>
            </w:pPr>
            <w:r>
              <w:rPr>
                <w:rFonts w:cs="Arial"/>
              </w:rPr>
              <w:t>Downlink (DL) operating band</w:t>
            </w:r>
            <w:r>
              <w:rPr>
                <w:rFonts w:cs="Arial"/>
              </w:rPr>
              <w:br w:type="textWrapping"/>
            </w:r>
            <w:r>
              <w:rPr>
                <w:rFonts w:cs="Arial"/>
              </w:rPr>
              <w:t xml:space="preserve">BS transmit </w:t>
            </w:r>
            <w:r>
              <w:rPr>
                <w:rFonts w:cs="Arial"/>
              </w:rPr>
              <w:br w:type="textWrapping"/>
            </w:r>
            <w:r>
              <w:rPr>
                <w:rFonts w:cs="Arial"/>
              </w:rPr>
              <w:t>UE receive</w:t>
            </w:r>
          </w:p>
        </w:tc>
        <w:tc>
          <w:tcPr>
            <w:tcW w:w="906" w:type="dxa"/>
            <w:vMerge w:val="restart"/>
            <w:tcBorders>
              <w:top w:val="single" w:color="auto" w:sz="4" w:space="0"/>
              <w:left w:val="single" w:color="auto" w:sz="4" w:space="0"/>
              <w:right w:val="single" w:color="auto" w:sz="4" w:space="0"/>
            </w:tcBorders>
          </w:tcPr>
          <w:p>
            <w:pPr>
              <w:pStyle w:val="104"/>
              <w:rPr>
                <w:rFonts w:cs="Arial"/>
              </w:rPr>
            </w:pPr>
            <w:r>
              <w:rPr>
                <w:rFonts w:cs="Arial"/>
              </w:rPr>
              <w:t>Duplex Mode</w:t>
            </w:r>
          </w:p>
        </w:tc>
      </w:tr>
      <w:tr>
        <w:tblPrEx>
          <w:tblCellMar>
            <w:top w:w="0" w:type="dxa"/>
            <w:left w:w="108" w:type="dxa"/>
            <w:bottom w:w="0" w:type="dxa"/>
            <w:right w:w="108" w:type="dxa"/>
          </w:tblCellMar>
        </w:tblPrEx>
        <w:trPr>
          <w:jc w:val="center"/>
        </w:trPr>
        <w:tc>
          <w:tcPr>
            <w:tcW w:w="1508" w:type="dxa"/>
            <w:vMerge w:val="continue"/>
            <w:tcBorders>
              <w:left w:val="single" w:color="auto" w:sz="4" w:space="0"/>
              <w:bottom w:val="single" w:color="auto" w:sz="4" w:space="0"/>
              <w:right w:val="single" w:color="auto" w:sz="4" w:space="0"/>
            </w:tcBorders>
            <w:vAlign w:val="center"/>
          </w:tcPr>
          <w:p>
            <w:pPr>
              <w:pStyle w:val="104"/>
              <w:rPr>
                <w:rFonts w:cs="Arial"/>
              </w:rPr>
            </w:pPr>
          </w:p>
        </w:tc>
        <w:tc>
          <w:tcPr>
            <w:tcW w:w="3023" w:type="dxa"/>
            <w:gridSpan w:val="3"/>
            <w:tcBorders>
              <w:top w:val="single" w:color="auto" w:sz="4" w:space="0"/>
              <w:left w:val="single" w:color="auto" w:sz="4" w:space="0"/>
              <w:bottom w:val="single" w:color="auto" w:sz="4" w:space="0"/>
              <w:right w:val="single" w:color="auto" w:sz="4" w:space="0"/>
            </w:tcBorders>
            <w:vAlign w:val="center"/>
          </w:tcPr>
          <w:p>
            <w:pPr>
              <w:pStyle w:val="104"/>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657" w:type="dxa"/>
            <w:gridSpan w:val="3"/>
            <w:tcBorders>
              <w:top w:val="single" w:color="auto" w:sz="4" w:space="0"/>
              <w:bottom w:val="single" w:color="auto" w:sz="4" w:space="0"/>
              <w:right w:val="single" w:color="auto" w:sz="4" w:space="0"/>
            </w:tcBorders>
            <w:vAlign w:val="center"/>
          </w:tcPr>
          <w:p>
            <w:pPr>
              <w:pStyle w:val="104"/>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906" w:type="dxa"/>
            <w:vMerge w:val="continue"/>
            <w:tcBorders>
              <w:left w:val="single" w:color="auto" w:sz="4" w:space="0"/>
              <w:bottom w:val="single" w:color="auto" w:sz="4" w:space="0"/>
              <w:right w:val="single" w:color="auto" w:sz="4" w:space="0"/>
            </w:tcBorders>
          </w:tcPr>
          <w:p>
            <w:pPr>
              <w:pStyle w:val="105"/>
              <w:rPr>
                <w:rFonts w:cs="Arial"/>
              </w:rPr>
            </w:pPr>
          </w:p>
        </w:tc>
      </w:tr>
      <w:tr>
        <w:tblPrEx>
          <w:tblCellMar>
            <w:top w:w="0" w:type="dxa"/>
            <w:left w:w="108" w:type="dxa"/>
            <w:bottom w:w="0" w:type="dxa"/>
            <w:right w:w="108" w:type="dxa"/>
          </w:tblCellMar>
        </w:tblPrEx>
        <w:trPr>
          <w:jc w:val="center"/>
        </w:trPr>
        <w:tc>
          <w:tcPr>
            <w:tcW w:w="1508"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256</w:t>
            </w:r>
          </w:p>
        </w:tc>
        <w:tc>
          <w:tcPr>
            <w:tcW w:w="1227" w:type="dxa"/>
            <w:tcBorders>
              <w:top w:val="single" w:color="auto" w:sz="4" w:space="0"/>
              <w:left w:val="single" w:color="auto" w:sz="4" w:space="0"/>
              <w:bottom w:val="single" w:color="auto" w:sz="4" w:space="0"/>
              <w:right w:val="nil"/>
            </w:tcBorders>
          </w:tcPr>
          <w:p>
            <w:pPr>
              <w:pStyle w:val="105"/>
              <w:wordWrap w:val="0"/>
              <w:rPr>
                <w:lang w:eastAsia="zh-CN"/>
              </w:rPr>
            </w:pPr>
            <w:r>
              <w:rPr>
                <w:lang w:eastAsia="zh-CN"/>
              </w:rPr>
              <w:t>1980 MHz</w:t>
            </w:r>
          </w:p>
        </w:tc>
        <w:tc>
          <w:tcPr>
            <w:tcW w:w="517" w:type="dxa"/>
            <w:tcBorders>
              <w:top w:val="single" w:color="auto" w:sz="4" w:space="0"/>
              <w:left w:val="nil"/>
              <w:bottom w:val="single" w:color="auto" w:sz="4" w:space="0"/>
              <w:right w:val="nil"/>
            </w:tcBorders>
          </w:tcPr>
          <w:p>
            <w:pPr>
              <w:pStyle w:val="105"/>
              <w:rPr>
                <w:rFonts w:cs="Arial"/>
                <w:lang w:eastAsia="zh-CN"/>
              </w:rPr>
            </w:pPr>
            <w:r>
              <w:rPr>
                <w:rFonts w:cs="Arial"/>
                <w:lang w:eastAsia="zh-CN"/>
              </w:rPr>
              <w:t>–</w:t>
            </w:r>
          </w:p>
        </w:tc>
        <w:tc>
          <w:tcPr>
            <w:tcW w:w="1279" w:type="dxa"/>
            <w:tcBorders>
              <w:top w:val="single" w:color="auto" w:sz="4" w:space="0"/>
              <w:left w:val="nil"/>
              <w:bottom w:val="single" w:color="auto" w:sz="4" w:space="0"/>
              <w:right w:val="single" w:color="auto" w:sz="4" w:space="0"/>
            </w:tcBorders>
          </w:tcPr>
          <w:p>
            <w:pPr>
              <w:pStyle w:val="105"/>
              <w:rPr>
                <w:lang w:eastAsia="zh-CN"/>
              </w:rPr>
            </w:pPr>
            <w:r>
              <w:rPr>
                <w:lang w:eastAsia="zh-CN"/>
              </w:rPr>
              <w:t>2010 MHz</w:t>
            </w:r>
          </w:p>
        </w:tc>
        <w:tc>
          <w:tcPr>
            <w:tcW w:w="1139" w:type="dxa"/>
            <w:tcBorders>
              <w:top w:val="single" w:color="auto" w:sz="4" w:space="0"/>
              <w:left w:val="nil"/>
              <w:bottom w:val="single" w:color="auto" w:sz="4" w:space="0"/>
              <w:right w:val="nil"/>
            </w:tcBorders>
          </w:tcPr>
          <w:p>
            <w:pPr>
              <w:pStyle w:val="105"/>
            </w:pPr>
            <w:r>
              <w:t>2170 MHz</w:t>
            </w:r>
          </w:p>
        </w:tc>
        <w:tc>
          <w:tcPr>
            <w:tcW w:w="317" w:type="dxa"/>
            <w:tcBorders>
              <w:top w:val="single" w:color="auto" w:sz="4" w:space="0"/>
              <w:left w:val="nil"/>
              <w:bottom w:val="single" w:color="auto" w:sz="4" w:space="0"/>
              <w:right w:val="nil"/>
            </w:tcBorders>
          </w:tcPr>
          <w:p>
            <w:pPr>
              <w:pStyle w:val="105"/>
            </w:pPr>
            <w:r>
              <w:t>–</w:t>
            </w:r>
          </w:p>
        </w:tc>
        <w:tc>
          <w:tcPr>
            <w:tcW w:w="1201" w:type="dxa"/>
            <w:tcBorders>
              <w:top w:val="single" w:color="auto" w:sz="4" w:space="0"/>
              <w:left w:val="nil"/>
              <w:bottom w:val="single" w:color="auto" w:sz="4" w:space="0"/>
              <w:right w:val="single" w:color="auto" w:sz="4" w:space="0"/>
            </w:tcBorders>
          </w:tcPr>
          <w:p>
            <w:pPr>
              <w:pStyle w:val="105"/>
            </w:pPr>
            <w:r>
              <w:t>2200 MHz</w:t>
            </w:r>
          </w:p>
        </w:tc>
        <w:tc>
          <w:tcPr>
            <w:tcW w:w="906" w:type="dxa"/>
            <w:tcBorders>
              <w:top w:val="single" w:color="auto" w:sz="4" w:space="0"/>
              <w:left w:val="single" w:color="auto" w:sz="4" w:space="0"/>
              <w:bottom w:val="single" w:color="auto" w:sz="4" w:space="0"/>
              <w:right w:val="single" w:color="auto" w:sz="4" w:space="0"/>
            </w:tcBorders>
          </w:tcPr>
          <w:p>
            <w:pPr>
              <w:pStyle w:val="105"/>
              <w:rPr>
                <w:rFonts w:cs="Arial"/>
                <w:lang w:eastAsia="ja-JP"/>
              </w:rPr>
            </w:pPr>
            <w:r>
              <w:rPr>
                <w:rFonts w:hint="eastAsia" w:cs="Arial"/>
                <w:lang w:eastAsia="ja-JP"/>
              </w:rPr>
              <w:t>FDD</w:t>
            </w:r>
          </w:p>
        </w:tc>
      </w:tr>
      <w:tr>
        <w:tblPrEx>
          <w:tblCellMar>
            <w:top w:w="0" w:type="dxa"/>
            <w:left w:w="108" w:type="dxa"/>
            <w:bottom w:w="0" w:type="dxa"/>
            <w:right w:w="108" w:type="dxa"/>
          </w:tblCellMar>
        </w:tblPrEx>
        <w:trPr>
          <w:jc w:val="center"/>
        </w:trPr>
        <w:tc>
          <w:tcPr>
            <w:tcW w:w="1508"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255</w:t>
            </w:r>
          </w:p>
        </w:tc>
        <w:tc>
          <w:tcPr>
            <w:tcW w:w="1227" w:type="dxa"/>
            <w:tcBorders>
              <w:top w:val="single" w:color="auto" w:sz="4" w:space="0"/>
              <w:left w:val="single" w:color="auto" w:sz="4" w:space="0"/>
              <w:bottom w:val="single" w:color="auto" w:sz="4" w:space="0"/>
              <w:right w:val="nil"/>
            </w:tcBorders>
          </w:tcPr>
          <w:p>
            <w:pPr>
              <w:pStyle w:val="105"/>
              <w:wordWrap w:val="0"/>
              <w:rPr>
                <w:lang w:eastAsia="zh-CN"/>
              </w:rPr>
            </w:pPr>
            <w:r>
              <w:rPr>
                <w:lang w:eastAsia="zh-CN"/>
              </w:rPr>
              <w:t>1626.5 MHz</w:t>
            </w:r>
          </w:p>
        </w:tc>
        <w:tc>
          <w:tcPr>
            <w:tcW w:w="517" w:type="dxa"/>
            <w:tcBorders>
              <w:top w:val="single" w:color="auto" w:sz="4" w:space="0"/>
              <w:left w:val="nil"/>
              <w:bottom w:val="single" w:color="auto" w:sz="4" w:space="0"/>
              <w:right w:val="nil"/>
            </w:tcBorders>
          </w:tcPr>
          <w:p>
            <w:pPr>
              <w:pStyle w:val="105"/>
              <w:rPr>
                <w:rFonts w:cs="Arial"/>
                <w:lang w:eastAsia="zh-CN"/>
              </w:rPr>
            </w:pPr>
            <w:r>
              <w:rPr>
                <w:rFonts w:cs="Arial"/>
                <w:lang w:eastAsia="zh-CN"/>
              </w:rPr>
              <w:t>–</w:t>
            </w:r>
          </w:p>
        </w:tc>
        <w:tc>
          <w:tcPr>
            <w:tcW w:w="1279" w:type="dxa"/>
            <w:tcBorders>
              <w:top w:val="single" w:color="auto" w:sz="4" w:space="0"/>
              <w:left w:val="nil"/>
              <w:bottom w:val="single" w:color="auto" w:sz="4" w:space="0"/>
              <w:right w:val="single" w:color="auto" w:sz="4" w:space="0"/>
            </w:tcBorders>
          </w:tcPr>
          <w:p>
            <w:pPr>
              <w:pStyle w:val="105"/>
              <w:rPr>
                <w:lang w:eastAsia="zh-CN"/>
              </w:rPr>
            </w:pPr>
            <w:r>
              <w:rPr>
                <w:lang w:eastAsia="zh-CN"/>
              </w:rPr>
              <w:t>1660.5 MHz</w:t>
            </w:r>
          </w:p>
        </w:tc>
        <w:tc>
          <w:tcPr>
            <w:tcW w:w="1139" w:type="dxa"/>
            <w:tcBorders>
              <w:top w:val="single" w:color="auto" w:sz="4" w:space="0"/>
              <w:left w:val="nil"/>
              <w:bottom w:val="single" w:color="auto" w:sz="4" w:space="0"/>
              <w:right w:val="nil"/>
            </w:tcBorders>
          </w:tcPr>
          <w:p>
            <w:pPr>
              <w:pStyle w:val="105"/>
            </w:pPr>
            <w:r>
              <w:t>1525 MHz</w:t>
            </w:r>
          </w:p>
        </w:tc>
        <w:tc>
          <w:tcPr>
            <w:tcW w:w="317" w:type="dxa"/>
            <w:tcBorders>
              <w:top w:val="single" w:color="auto" w:sz="4" w:space="0"/>
              <w:left w:val="nil"/>
              <w:bottom w:val="single" w:color="auto" w:sz="4" w:space="0"/>
              <w:right w:val="nil"/>
            </w:tcBorders>
          </w:tcPr>
          <w:p>
            <w:pPr>
              <w:pStyle w:val="105"/>
            </w:pPr>
            <w:r>
              <w:t>–</w:t>
            </w:r>
          </w:p>
        </w:tc>
        <w:tc>
          <w:tcPr>
            <w:tcW w:w="1201" w:type="dxa"/>
            <w:tcBorders>
              <w:top w:val="single" w:color="auto" w:sz="4" w:space="0"/>
              <w:left w:val="nil"/>
              <w:bottom w:val="single" w:color="auto" w:sz="4" w:space="0"/>
              <w:right w:val="single" w:color="auto" w:sz="4" w:space="0"/>
            </w:tcBorders>
          </w:tcPr>
          <w:p>
            <w:pPr>
              <w:pStyle w:val="105"/>
            </w:pPr>
            <w:r>
              <w:t>1559 MHz</w:t>
            </w:r>
          </w:p>
        </w:tc>
        <w:tc>
          <w:tcPr>
            <w:tcW w:w="906" w:type="dxa"/>
            <w:tcBorders>
              <w:top w:val="single" w:color="auto" w:sz="4" w:space="0"/>
              <w:left w:val="single" w:color="auto" w:sz="4" w:space="0"/>
              <w:bottom w:val="single" w:color="auto" w:sz="4" w:space="0"/>
              <w:right w:val="single" w:color="auto" w:sz="4" w:space="0"/>
            </w:tcBorders>
          </w:tcPr>
          <w:p>
            <w:pPr>
              <w:pStyle w:val="105"/>
              <w:rPr>
                <w:rFonts w:cs="Arial"/>
                <w:lang w:eastAsia="ja-JP"/>
              </w:rPr>
            </w:pPr>
            <w:r>
              <w:rPr>
                <w:rFonts w:hint="eastAsia" w:cs="Arial"/>
                <w:lang w:eastAsia="ja-JP"/>
              </w:rPr>
              <w:t>FDD</w:t>
            </w:r>
          </w:p>
        </w:tc>
      </w:tr>
      <w:tr>
        <w:tblPrEx>
          <w:tblCellMar>
            <w:top w:w="0" w:type="dxa"/>
            <w:left w:w="108" w:type="dxa"/>
            <w:bottom w:w="0" w:type="dxa"/>
            <w:right w:w="108" w:type="dxa"/>
          </w:tblCellMar>
        </w:tblPrEx>
        <w:trPr>
          <w:jc w:val="center"/>
        </w:trPr>
        <w:tc>
          <w:tcPr>
            <w:tcW w:w="8094" w:type="dxa"/>
            <w:gridSpan w:val="8"/>
            <w:tcBorders>
              <w:top w:val="single" w:color="auto" w:sz="4" w:space="0"/>
              <w:left w:val="single" w:color="auto" w:sz="4" w:space="0"/>
              <w:bottom w:val="single" w:color="auto" w:sz="4" w:space="0"/>
              <w:right w:val="single" w:color="auto" w:sz="4" w:space="0"/>
            </w:tcBorders>
          </w:tcPr>
          <w:p>
            <w:pPr>
              <w:pStyle w:val="118"/>
              <w:rPr>
                <w:szCs w:val="18"/>
              </w:rPr>
            </w:pPr>
            <w:r>
              <w:rPr>
                <w:szCs w:val="18"/>
              </w:rPr>
              <w:t>NOTE:</w:t>
            </w:r>
            <w:r>
              <w:rPr>
                <w:szCs w:val="18"/>
              </w:rPr>
              <w:tab/>
            </w:r>
            <w:r>
              <w:rPr>
                <w:szCs w:val="18"/>
              </w:rPr>
              <w:t>Satellite bands are numbered in descending order from 256</w:t>
            </w:r>
          </w:p>
        </w:tc>
      </w:tr>
    </w:tbl>
    <w:p>
      <w:pPr>
        <w:rPr>
          <w:lang w:eastAsia="zh-TW"/>
        </w:rPr>
      </w:pPr>
    </w:p>
    <w:p>
      <w:pPr>
        <w:pStyle w:val="4"/>
        <w:rPr>
          <w:lang w:eastAsia="zh-CN"/>
        </w:rPr>
      </w:pPr>
      <w:bookmarkStart w:id="194" w:name="_Toc121162799"/>
      <w:bookmarkStart w:id="195" w:name="_Toc2637"/>
      <w:bookmarkStart w:id="196" w:name="_Toc111062012"/>
      <w:bookmarkStart w:id="197" w:name="_Toc26222"/>
      <w:bookmarkStart w:id="198" w:name="_Toc19199"/>
      <w:bookmarkStart w:id="199" w:name="_Toc120570007"/>
      <w:bookmarkStart w:id="200" w:name="_Toc22552"/>
      <w:bookmarkStart w:id="201" w:name="_Toc32507"/>
      <w:bookmarkStart w:id="202" w:name="_Toc32123"/>
      <w:bookmarkStart w:id="203" w:name="_Toc16839"/>
      <w:r>
        <w:t>5.2</w:t>
      </w:r>
      <w:r>
        <w:rPr>
          <w:lang w:eastAsia="zh-CN"/>
        </w:rPr>
        <w:t>A</w:t>
      </w:r>
      <w:r>
        <w:tab/>
      </w:r>
      <w:r>
        <w:t>Operating bands</w:t>
      </w:r>
      <w:r>
        <w:rPr>
          <w:lang w:eastAsia="zh-CN"/>
        </w:rPr>
        <w:t xml:space="preserve"> for UE category M1</w:t>
      </w:r>
      <w:bookmarkEnd w:id="194"/>
      <w:bookmarkEnd w:id="195"/>
      <w:bookmarkEnd w:id="196"/>
      <w:bookmarkEnd w:id="197"/>
      <w:bookmarkEnd w:id="198"/>
      <w:bookmarkEnd w:id="199"/>
      <w:bookmarkEnd w:id="200"/>
      <w:bookmarkEnd w:id="201"/>
      <w:bookmarkEnd w:id="202"/>
      <w:bookmarkEnd w:id="203"/>
    </w:p>
    <w:p>
      <w:pPr>
        <w:rPr>
          <w:lang w:eastAsia="zh-CN"/>
        </w:rPr>
      </w:pPr>
      <w:bookmarkStart w:id="204" w:name="_Toc108616966"/>
      <w:r>
        <w:rPr>
          <w:lang w:val="en-US"/>
        </w:rPr>
        <w:t>UE category M1 is designed to operate in the E-UTRA satellite access operating bands defined in Table 5.2-1 in both half duplex FDD mode and full-duplex FDD mode.</w:t>
      </w:r>
      <w:bookmarkEnd w:id="204"/>
    </w:p>
    <w:p>
      <w:pPr>
        <w:pStyle w:val="4"/>
      </w:pPr>
      <w:bookmarkStart w:id="205" w:name="_Toc30935"/>
      <w:bookmarkStart w:id="206" w:name="_Toc6430"/>
      <w:bookmarkStart w:id="207" w:name="_Toc111062013"/>
      <w:bookmarkStart w:id="208" w:name="_Toc18073"/>
      <w:bookmarkStart w:id="209" w:name="_Toc120570008"/>
      <w:bookmarkStart w:id="210" w:name="_Toc9802"/>
      <w:bookmarkStart w:id="211" w:name="_Toc121162800"/>
      <w:bookmarkStart w:id="212" w:name="_Toc19484"/>
      <w:bookmarkStart w:id="213" w:name="_Toc19410"/>
      <w:bookmarkStart w:id="214" w:name="_Toc5326"/>
      <w:r>
        <w:t>5.2</w:t>
      </w:r>
      <w:r>
        <w:rPr>
          <w:lang w:eastAsia="zh-CN"/>
        </w:rPr>
        <w:t>B</w:t>
      </w:r>
      <w:r>
        <w:tab/>
      </w:r>
      <w:r>
        <w:t>Operating bands</w:t>
      </w:r>
      <w:r>
        <w:rPr>
          <w:lang w:eastAsia="zh-CN"/>
        </w:rPr>
        <w:t xml:space="preserve"> for </w:t>
      </w:r>
      <w:r>
        <w:t>category NB1 and NB2</w:t>
      </w:r>
      <w:bookmarkEnd w:id="205"/>
      <w:bookmarkEnd w:id="206"/>
      <w:bookmarkEnd w:id="207"/>
      <w:bookmarkEnd w:id="208"/>
      <w:bookmarkEnd w:id="209"/>
      <w:bookmarkEnd w:id="210"/>
      <w:bookmarkEnd w:id="211"/>
      <w:bookmarkEnd w:id="212"/>
      <w:bookmarkEnd w:id="213"/>
      <w:bookmarkEnd w:id="214"/>
    </w:p>
    <w:p>
      <w:pPr>
        <w:rPr>
          <w:lang w:eastAsia="zh-CN"/>
        </w:rPr>
      </w:pPr>
      <w:r>
        <w:t>Category NB1 and NB2</w:t>
      </w:r>
      <w:r>
        <w:rPr>
          <w:rFonts w:hint="eastAsia" w:eastAsia="宋体"/>
          <w:lang w:val="en-US" w:eastAsia="zh-CN"/>
        </w:rPr>
        <w:t xml:space="preserve"> UE</w:t>
      </w:r>
      <w:r>
        <w:t xml:space="preserve"> </w:t>
      </w:r>
      <w:r>
        <w:rPr>
          <w:rFonts w:eastAsia="Malgun Gothic"/>
        </w:rPr>
        <w:t>are</w:t>
      </w:r>
      <w:r>
        <w:t xml:space="preserve"> designed to operate in the E-UTRA satellite access operating bands defined in Table 5.2-1.</w:t>
      </w:r>
    </w:p>
    <w:p>
      <w:pPr>
        <w:rPr>
          <w:b/>
          <w:bCs/>
        </w:rPr>
      </w:pPr>
      <w:r>
        <w:t xml:space="preserve">Category NB1 and NB2 </w:t>
      </w:r>
      <w:r>
        <w:rPr>
          <w:rFonts w:hint="eastAsia" w:eastAsia="宋体"/>
          <w:lang w:val="en-US" w:eastAsia="zh-CN"/>
        </w:rPr>
        <w:t>UE</w:t>
      </w:r>
      <w:r>
        <w:t xml:space="preserve"> </w:t>
      </w:r>
      <w:r>
        <w:rPr>
          <w:rFonts w:eastAsia="宋体"/>
          <w:bCs/>
        </w:rPr>
        <w:t>operate in HD-FDD duplex mode.</w:t>
      </w:r>
    </w:p>
    <w:p>
      <w:pPr>
        <w:pStyle w:val="4"/>
      </w:pPr>
      <w:bookmarkStart w:id="215" w:name="_Toc111062014"/>
      <w:bookmarkStart w:id="216" w:name="_Toc2103"/>
      <w:bookmarkStart w:id="217" w:name="_Toc29715"/>
      <w:bookmarkStart w:id="218" w:name="_Toc31889"/>
      <w:bookmarkStart w:id="219" w:name="_Toc3107"/>
      <w:bookmarkStart w:id="220" w:name="_Toc121162801"/>
      <w:bookmarkStart w:id="221" w:name="_Toc368026198"/>
      <w:bookmarkStart w:id="222" w:name="_Toc7036"/>
      <w:bookmarkStart w:id="223" w:name="_Toc22970"/>
      <w:bookmarkStart w:id="224" w:name="_Toc120570009"/>
      <w:bookmarkStart w:id="225" w:name="_Toc1053"/>
      <w:r>
        <w:t>5.3</w:t>
      </w:r>
      <w:r>
        <w:tab/>
      </w:r>
      <w:r>
        <w:t>Channel bandwidth</w:t>
      </w:r>
      <w:bookmarkEnd w:id="215"/>
      <w:bookmarkEnd w:id="216"/>
      <w:bookmarkEnd w:id="217"/>
      <w:bookmarkEnd w:id="218"/>
      <w:bookmarkEnd w:id="219"/>
      <w:bookmarkEnd w:id="220"/>
      <w:bookmarkEnd w:id="221"/>
      <w:bookmarkEnd w:id="222"/>
      <w:bookmarkEnd w:id="223"/>
      <w:bookmarkEnd w:id="224"/>
      <w:bookmarkEnd w:id="225"/>
      <w:bookmarkStart w:id="226" w:name="_Toc368026199"/>
    </w:p>
    <w:p>
      <w:r>
        <w:t>This clause is reserved.</w:t>
      </w:r>
    </w:p>
    <w:bookmarkEnd w:id="226"/>
    <w:p>
      <w:pPr>
        <w:pStyle w:val="4"/>
      </w:pPr>
      <w:bookmarkStart w:id="227" w:name="_Toc12264"/>
      <w:bookmarkStart w:id="228" w:name="_Toc19212"/>
      <w:bookmarkStart w:id="229" w:name="_Toc28627"/>
      <w:bookmarkStart w:id="230" w:name="_Toc23837"/>
      <w:bookmarkStart w:id="231" w:name="_Toc120570010"/>
      <w:bookmarkStart w:id="232" w:name="_Toc121162802"/>
      <w:bookmarkStart w:id="233" w:name="_Toc11791"/>
      <w:bookmarkStart w:id="234" w:name="_Toc4900"/>
      <w:bookmarkStart w:id="235" w:name="_Toc4582"/>
      <w:r>
        <w:t>5.3A</w:t>
      </w:r>
      <w:r>
        <w:tab/>
      </w:r>
      <w:r>
        <w:t>Channel bandwidth for category M1</w:t>
      </w:r>
      <w:bookmarkEnd w:id="227"/>
      <w:bookmarkEnd w:id="228"/>
      <w:bookmarkEnd w:id="229"/>
      <w:bookmarkEnd w:id="230"/>
      <w:bookmarkEnd w:id="231"/>
      <w:bookmarkEnd w:id="232"/>
      <w:bookmarkEnd w:id="233"/>
      <w:bookmarkEnd w:id="234"/>
      <w:bookmarkEnd w:id="235"/>
    </w:p>
    <w:p>
      <w:r>
        <w:t>The requirements in present document are specified for the channel bandwidth listed in Table 5.3A-1.</w:t>
      </w:r>
    </w:p>
    <w:p>
      <w:pPr>
        <w:pStyle w:val="113"/>
      </w:pPr>
      <w:r>
        <w:t>Table 5.3A-1: Transmission bandwidth configuration N</w:t>
      </w:r>
      <w:r>
        <w:rPr>
          <w:vertAlign w:val="subscript"/>
        </w:rPr>
        <w:t>RB</w:t>
      </w:r>
      <w:r>
        <w:t xml:space="preserve"> in E-UTRA channel bandwidths</w:t>
      </w:r>
    </w:p>
    <w:tbl>
      <w:tblPr>
        <w:tblStyle w:val="89"/>
        <w:tblW w:w="31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37" w:type="dxa"/>
            <w:vAlign w:val="center"/>
          </w:tcPr>
          <w:p>
            <w:pPr>
              <w:pStyle w:val="104"/>
              <w:rPr>
                <w:rFonts w:cs="Arial"/>
              </w:rPr>
            </w:pPr>
            <w:r>
              <w:rPr>
                <w:rFonts w:cs="Arial"/>
              </w:rPr>
              <w:t>Channel bandwidth BW</w:t>
            </w:r>
            <w:r>
              <w:rPr>
                <w:rFonts w:cs="Arial"/>
                <w:vertAlign w:val="subscript"/>
              </w:rPr>
              <w:t>Channel</w:t>
            </w:r>
            <w:r>
              <w:rPr>
                <w:rFonts w:cs="Arial"/>
              </w:rPr>
              <w:t xml:space="preserve"> [MHz]</w:t>
            </w:r>
          </w:p>
        </w:tc>
        <w:tc>
          <w:tcPr>
            <w:tcW w:w="804" w:type="dxa"/>
            <w:vAlign w:val="center"/>
          </w:tcPr>
          <w:p>
            <w:pPr>
              <w:pStyle w:val="104"/>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37" w:type="dxa"/>
            <w:vAlign w:val="center"/>
          </w:tcPr>
          <w:p>
            <w:pPr>
              <w:pStyle w:val="105"/>
              <w:rPr>
                <w:rFonts w:cs="Arial"/>
              </w:rPr>
            </w:pPr>
            <w:r>
              <w:rPr>
                <w:rFonts w:cs="Arial"/>
              </w:rPr>
              <w:t>Transmission bandwidth configuration N</w:t>
            </w:r>
            <w:r>
              <w:rPr>
                <w:rFonts w:cs="Arial"/>
                <w:vertAlign w:val="subscript"/>
              </w:rPr>
              <w:t>RB</w:t>
            </w:r>
          </w:p>
        </w:tc>
        <w:tc>
          <w:tcPr>
            <w:tcW w:w="804" w:type="dxa"/>
            <w:vAlign w:val="center"/>
          </w:tcPr>
          <w:p>
            <w:pPr>
              <w:pStyle w:val="105"/>
              <w:rPr>
                <w:rFonts w:cs="Arial"/>
              </w:rPr>
            </w:pPr>
            <w:r>
              <w:rPr>
                <w:rFonts w:cs="Arial"/>
              </w:rPr>
              <w:t>6</w:t>
            </w:r>
          </w:p>
        </w:tc>
      </w:tr>
    </w:tbl>
    <w:p/>
    <w:p>
      <w:r>
        <w:t>Figure 5.3A-1 shows the relation between the Channel bandwidth (BW</w:t>
      </w:r>
      <w:r>
        <w:rPr>
          <w:vertAlign w:val="subscript"/>
        </w:rPr>
        <w:t>Channel</w:t>
      </w:r>
      <w:r>
        <w:t>) and the Transmission bandwidth configuration (N</w:t>
      </w:r>
      <w:r>
        <w:rPr>
          <w:vertAlign w:val="subscript"/>
        </w:rPr>
        <w:t>RB</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pPr>
        <w:pStyle w:val="113"/>
      </w:pPr>
      <w:r>
        <w:rPr>
          <w:lang w:val="en-US" w:eastAsia="zh-TW"/>
        </w:rPr>
        <mc:AlternateContent>
          <mc:Choice Requires="wpg">
            <w:drawing>
              <wp:anchor distT="0" distB="0" distL="114300" distR="114300" simplePos="0" relativeHeight="251660288" behindDoc="0" locked="0" layoutInCell="1" allowOverlap="1">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203" cy="318"/>
                          </a:xfrm>
                          <a:prstGeom prst="rect">
                            <a:avLst/>
                          </a:prstGeom>
                          <a:noFill/>
                          <a:ln>
                            <a:noFill/>
                          </a:ln>
                        </wps:spPr>
                        <wps:txbx>
                          <w:txbxContent>
                            <w:p>
                              <w:pPr>
                                <w:pStyle w:val="113"/>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pPr>
                                <w:pStyle w:val="113"/>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pPr>
                                <w:pStyle w:val="113"/>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pPr>
                                <w:pStyle w:val="113"/>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pPr>
                                <w:pStyle w:val="113"/>
                              </w:pPr>
                              <w:r>
                                <w:rPr>
                                  <w:lang w:val="en-US" w:eastAsia="zh-TW"/>
                                </w:rPr>
                                <w:drawing>
                                  <wp:inline distT="0" distB="0" distL="0" distR="0">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pPr>
                                <w:pStyle w:val="113"/>
                              </w:pPr>
                              <w:r>
                                <w:rPr>
                                  <w:lang w:val="en-US" w:eastAsia="zh-TW"/>
                                </w:rPr>
                                <w:drawing>
                                  <wp:inline distT="0" distB="0" distL="0" distR="0">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pPr>
                                <w:pStyle w:val="113"/>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pPr>
                                <w:pStyle w:val="113"/>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pPr>
                                <w:pStyle w:val="113"/>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pPr>
                                <w:pStyle w:val="113"/>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id="Group 3110" o:spid="_x0000_s1026" o:spt="203" style="position:absolute;left:0pt;margin-left:20.75pt;margin-top:22.8pt;height:283.2pt;width:448.2pt;mso-position-horizontal-relative:char;mso-position-vertical-relative:line;z-index:251660288;mso-width-relative:page;mso-height-relative:page;" coordorigin="916,1466" coordsize="10074,6120" o:gfxdata="UEsDBAoAAAAAAIdO4kAAAAAAAAAAAAAAAAAEAAAAZHJzL1BLAwQUAAAACACHTuJAi+6y1NoAAAAJ&#10;AQAADwAAAGRycy9kb3ducmV2LnhtbE2PQUvDQBCF74L/YRnBm93d1kQbsylS1FMRbAXxNk2mSWh2&#10;N2S3SfvvHU96egzv8d43+epsOzHSEFrvDOiZAkGu9FXragOfu9e7RxAhoquw844MXCjAqri+yjGr&#10;/OQ+aNzGWnCJCxkaaGLsMylD2ZDFMPM9OfYOfrAY+RxqWQ04cbnt5FypVFpsHS802NO6ofK4PVkD&#10;bxNOzwv9Mm6Oh/Xle5e8f200GXN7o9UTiEjn+BeGX3xGh4KZ9v7kqiA6A/c64SRrkoJgf7l4WILY&#10;G0j1XIEscvn/g+IHUEsDBBQAAAAIAIdO4kAW3+ewOLMAAM4nBwAOAAAAZHJzL2Uyb0RvYy54bWzt&#10;/WuPHDeyNop+P8D+D4X+uIBjVWbdhdFsjP16jAXMWsvY7rO/t1otdWO1unqqWpeZX3+eICN4ycxg&#10;sEqW3LY5AzhbVVFkRJBJBp+48C//9+f397OPN4fj3f7h1UX33fxidvNwvX9z9/Du1cX/7/Lv/9/t&#10;xez4dPXw5up+/3Dz6uJfN8eL//uv/9f/5y+fHl/e9Pvb/f2bm8MMjTwcX356fHVx+/T0+PLFi+P1&#10;7c37q+N3+8ebB3z5dn94f/WEfx7evXhzuPqE1t/fv+jn8/WLT/vDm8fD/vrmeMSn/8d/ecEtHmoa&#10;3L99e3d983/21x/e3zw8+VYPN/dXTxDpeHv3eLz4q+P27dub66f/efv2ePM0u391AUmf3H/RCf5+&#10;Tf998de/XL18d7h6vL27ZhaualgYyPT+6u4BnYam/s/V09Xsw+Fu1NT7u+vD/rh/+/Td9f79Cy+I&#10;0wik6OYD3fx02H94dLK8e/np3WNQOgZqoPWzm73+748/H2Z3b15d9Nvt+mL2cPUeY+46ni26zino&#10;0+O7l6D76fD4y+PPB2iMPnjn/0Uyf357eE9PSDP77FT7r6Dam89Ps2t8uFrv+m4JrV/ju8Vqt17j&#10;H07517cYIfrdrkP/+LZbrtfy1Y/8824+3yz9j9dd7375Qjp+kbHz6RHT8hh1dfwyXf1ye/V444bg&#10;SDqIutqIrv724WnvqEhfHTFOLICWlEVqOT7+Y3/9v8fZw/6H26uHdzd/Oz5iWkJOtCAfHQ77T7c3&#10;V2/Arfv4Enr78c2do0KLEDFpkv5xROOz15/+a/8Gw3UFFtzsG4zEWKMyHCV9Xr18PByffrrZv5/R&#10;H68uDmDXNX/18R/HJ2InkpCAD/u/393fC5vEmdfB6/2bf4HLwx5tYOSx5uCP2/3h3xezT3jjXl0c&#10;//nh6nBzMbv/zwcIvuuWNEGe3D+Wqw2GeXZIv3mdfnP1cI2mXl08Xcz8nz88+df6w+Ph7t2t05xn&#10;jgbo7Z3jmzTnuWKdYqZ4Xr/FlMHC6l+v/wcKxUy4v6Ep09dMmWx+iKbDHKueEH23BhP0jm17fsdk&#10;RvTzBb+c3ZY4Cq9XHOtTp8PVy/uHfH74T9xsjtPk6fPrz+gwjk1hxjxgS5L5EuZKmCf4w88R/PGr&#10;zg9e7r76AryTGRIW4IWfHSctwP1u7lfSxWbjfn/1Mozysvej3O2W/FVYfzcLnhvr7YZ6vXp5ffsj&#10;r799+N16u8ymx2+y+u4wwP5V+vvh5oZsDXqTHGM0jfjF4ElVtVSOhR+rbCg6FPTBL5SkLFkcYQO8&#10;wTJJH717w1xegt+37+9hWfzHi1nfr2afZt1iJdZHoMLSH6jms9sZxogHKbaE8UtoptvBmxxoqLfp&#10;lrCfBqq5wtEqodn1863SFKZbaEoXD1tmoCLRlMYwCwMZlkdNWXhXAlmhNZgwkY6UrkiKrTvSFUTF&#10;eh3pSu3VDQImbdKcLm2XjoQ2N8iACjrRx6FLByJtC2t+mLtXt36vxyT//MDzGX9hXYX1OXfmwOP+&#10;SHYbTW5sKZfO9kEToHKLxzQx1EfEbl6bxFAOEa94xSm37Ne8S7d2mS37pe5yV9UyzSEnYZ2INEUc&#10;eZ2QNAUceZ2YbCVfYhT9Nu204gXmcSKDbXjgObgDz2v6DXb0qycaXvlz9gkWAa1Hs1uYYbTo0Dfv&#10;9x9vLveO5onGGRPKMSrWd/z++sPru+vvb/6dUndzvFAQixe5R9eE1yN95dlIPqTWWZ6stfuHtFXf&#10;AL2eTCxfT7HAxAtZRD0PwlhcXP3nIp58ThotcEIrkxMwoS8x0/VLrFhQiNBjFJz4XvH0xZBRNyL0&#10;RRS3yJHQR1UWGRLywXAERrORC+LK6Jc4EVUKbWDjfn+88YNMM9AfJGQqOn3H7fS4v797Q+cKmoDH&#10;w7vXP9wfZh+vcIz/8W/0fx7/jOz+gWayX5yyL7Lfz93/pn6P4/bDG88fWa4DO7UdZ7IT8I4Oqg4t&#10;SG0w9xI3G4w2uHwrbjYYm78lm6nZYHTubjbYhJHZbLBmgxF8lFqDwSgRmwovj1Dk9gmbWs0Ge3l9&#10;gg0WgF1SK5lWqw2dQ68Juz08vHGnhD+vnRWRLwIvvxFEuMPZcuCjcUDuiT6axZrBvtMgwm654SPc&#10;7wAjhAU2tk/doflM+3RC+gYSOngmmroF5KwOnEqxKVrWG0gIZK2BhIQCKPBjAwnHkGwDCVPUrGQT&#10;NpCwpJ0ATv7eQMLvv/9x/qPg75mN2kDCbxjzsMPiPDbCHHjfjDDnBoumE1BzxdhJt3/Nf5n6B5sR&#10;hqCoy+apbZ5awxndPLXw64pDNPP38TG/eWoTR3UwhpqnNg18aihhKbj0t0EJYQ0MUEIX6XIiSrhc&#10;bHwQx2koYe9iSRG4gGjTZx9JCFRqZKAi8hiv/ZkG6oT0DSVsKOFEKGczUJuB2gxUinhooYRZaGBz&#10;Y1OM6mTQaQArT3BjZ/BfFgrYUMJnkRm1C8l0SShh74KEmxHWUEIsBjH/peVzME6TqCT1mbd8DjIo&#10;ypkiLZawxRLGSEGODWz5HEkOj5hZv54R1lDC54cSIgkuRwl7TkY/Kd141c19wtuJKOFu4SN3fg8o&#10;YUjMTg1UF15wroE6lr6hhA0lbCihj/NrCcc+JbglHMONJGmkDSVsKKEkmf/6BmpDCZ93/aTdHDEp&#10;Y1ftlxR96ZsRNlmHpsUSkv8/Qx1xwgmVVUoZzHVp3y2ho1QipiV0tISOLM+XczRiGRTZ/aeSfFtC&#10;R0k7IYbxeSZ0NJTwuaGEO6rjNEAJucjLSSjhYkFF+3CaA0o4LD2JUoSuLuxEUcKuByZJP+vW+L3b&#10;ldOqhPLDYWm+GHUpxUi/foHPHcGgYwOV07PPqko4IX1ECTXZqW5VrKN0QlnCtS+N57JzMuMnsX1S&#10;92JKk9pHnKIyaie3jdb1yS6jlgYG6kZpKs841sRLvafVGceLXlHWmWUJt0pzw7KEmqjDWEK1vbpB&#10;GBioqrTnlCXUxqGVJby4bGUJx2UJoZNyWUJf+PFroYRu/aaQgkIxwGCgSk3GkgkWDFTnbJNAN8nC&#10;kVI28nmPQs1p2UCDk65b+P1S2jFjCVdY/7C/Cr30C0PRT0Yku+SMhi/6uYhb0k1oiCTBBm4xJM2P&#10;DFRmlK0A8dqzuDL6JU5ElUIbBulXiSVsZQmfQyzhjsqYj42wLyr7MjZBmxE2dtVqlkkzwkbma9eM&#10;sMlC0n7narWhsQdzae1nUxu6GWGpkdSMMA/F/EZGWEMJnx9KGAq9yNUlvdv2Ts047nrsjQpKiO2B&#10;bo+aQgl3K0BCKkooP3weKGHIzU5jCTk9+zyUcCx9NFA12c9GCbX7ONLazSeghHyci9kMuW3USuJU&#10;uZ1T5Req/wxRQq2Y0MBA1QZhgBKqV7WcgxKq0yyFa9N5hj25Fc5uhbP/cJeX5OAb36oyROvkxg35&#10;3DRQT728hC6HmUYJFThTbhf51peXMKMDlHBwdU0ZJfSmxNdBCVvG8fNACYFKjVDChRvyMxM6umaE&#10;tVjCGCPYjLCX7Qa5BMfzu+SlvyCYdufiJXmtLuEzq0vYjLDM+824n9h4Y1etn+6/rRHWUMLnhxLi&#10;8J7HEi64ystJsYTL7crHiE/FEsJToaCE/ZpuuFdRQvnh80AJpzKOfSDGmQbqhPQRJdRkPxclXHhk&#10;aetSpNM4wRSoStGblAaQZQC9tHYylBC91V6vN+ZoEEuoXTiSubFV8VJwis7iCl9Qd5Cw61YLF/w3&#10;Zu28WMKt1twwllDjboAS6u3VDcIAJVSlPQMlVMehxRK2WMKJK47xipVjCQEB0AYh2I+VcYzmhFri&#10;5nwDHcKQXLC6t5T8h70HGAxsztPi/Ci3V4QwtQkTjIkXvmXhgXqfQuuIgfRzgxNamYb0JWa6fpu3&#10;H/hZkOIJPhwyGr6I4pawuU7ooyqLDAn5YDgCowMDlcWV0S9xIqoU2sDGrxJL2FDCZ4ESUp2wMUr4&#10;RWVfxiZoM8LGsYSaZdKMsLFBjZU12JJYlRSLsxlhLeOY86phZ/swfAOD9GflS5jSCbmHLjlJ43Bz&#10;/TS7J3Np9uT+iwoSh4vZ61cXr9n6uWpGmLhkxRgSy0E+b0ZYaikHm1MMq69thDWU8NmhhIRTDFBC&#10;rvJyEkq46JbAWXDqmEIJJSwOb6Gffte3//P2LZVF3fEhZjrhWH73LEBCAmrG9ilnZ58VSjgWPpqn&#10;mujnYoR6uFhi0Wj2DJgJVo8WxZZZRu1yvaiwUgGbFKBtTuzmxKabGCQZxaM7zYntdhUxUCyMEC+U&#10;hhE635fYhV65FMjH5nYG9wm+lOKJSWidfJ1bSxnxMI33t4okXMKrQVBgKHU6cCZP5Bt71STi5mKK&#10;8IOGoiqFIP/ZgHzkxGZG3TjLIHVSJVxGP29SOvJNS1Cm0Mq3178KRtjyjZ8HRggrY2yDfUnRl2aD&#10;tUDCaKs1G6zZYM0G23+8udxTSc7pnbXZYJlNBUgx2BqZFckmT99ssFNssAYRPj+IcJRuvOASL6dB&#10;hFsG+6YgQhh2SiBht+EA7WmMUH74PDDCqXTjBedmn4URTkgfQUJN9rNBwo1WGC8DAKfD/yZAwlEt&#10;FjAcgEQUiFLcp5hugYrhxlFLg0DCuno4mnhnBRKqZfrOCyRcqUUEByChJuogkFBvr24QBj5sVdoz&#10;Agl7bRxaIGELJJzwYVNtvHJRQrzAAvvBHLMMVKxUQi02rge9BqiUgIRSSa8EPwXUTBz4JZuQiUcg&#10;oWdsCNb1vRdPPjd92FylL6EvMQOQLW9fdBJqCU6AhN7Xh+OyiFvSTWjoGRQlzGdK0MuvAhK2QMLn&#10;ARIilmYMEn5RzZexCdqMsHEgoWaZZIGE6uaPNzNYfbR0KcZhns2hmiXNCBsHL9aNQzPCmhHWjDAx&#10;nsQYakaYwJm/QmXoLzfCGkr4/FBCjGoeSLh0vvhTixKuqR4azmdTKCGgEAUl7JdLX0loGiWUHz4P&#10;lBA2zMhAXXJu9lko4YT00UDVZD8bJVSrxSUWXAslvPiPFzOKYPGQKge2xMqLZxqoWvjlMN14q5jP&#10;Q5RQbS9HCVtRQg7L8xBNq5oNu0gCFZ9JpgvVoiujhH6DkAAxCyXEsnkSSthCCX3FDLGYKe7ZqbCF&#10;Eh4P717/cH+YfbxC/lZDCZ8HSogNeGyEudJT59Z8GZugzQgbo4SaZZKjU5rZdBZK2Iyw9zcYiHNc&#10;tdo4NJSwoYRTKGEzwshqFPTQdNWeWhm6xRK2WMLbPTL/ny5mVw/X+POHJ/wLb92Hx8Pdu1tUBugu&#10;KHT3Yf+3D09lQyte2/vXvxBI9+7w+Mvj7PP7+4fjS/z71cXt09Pjyxcvjte3N++vjt+9v7s+7I/7&#10;t0/fXe/fv9i/fXt3ffPi0/7w5kU/7+bur8fD/vrmeLx7eOcuJgEnjP79fJjdvXl10eMsIGaXXF3i&#10;c4JPRAlXi6U/dgIlZEdXtLVwRldQwkWH65DpBe3WWxe5AAzs9sfPT7Nr5CL3S/nhs0AJexxAxwYq&#10;52afhRJOSD9W2lD2hhLyKFw2A3UEYrarSz63u/UkhbZcZLuhhNh2YpZsKV5uBJuFMLWJ/BImXuAq&#10;FqQyB/DtGScc54w2lPDvd/f3NHINJTzBeCWM7tMxmqvHLzNXf7m9erxx5qqzrKK5CpNwbIR9SdGX&#10;ZoR9ahnHSaRjP9cA0eaqxRl07k6z4mv0m92lC5UgbKVocjRX7VB9lNMDK4SA4KTKoNMj0ISRtjt/&#10;Vv71ixL+cV21uW3TjLAnKvIWPMGD/JpOUqP5XMkRht+66kuLJXx2sYR0L7E3uwJKyEVeTso4Xs83&#10;PubjRJRwh7Sm3wtKiCV9bKByevZ5KOFY+oYSNjd2qCAWQxibgToymZqBmhvsNEWcxekMI9NkbwYq&#10;aeuPjxJKZGBYVNj0C2DgEM4MX+C4LGeXDAwViHTQUFSlEOTA64B8ZKAyo7+tgXrc39+9mUQJW1nC&#10;sov7W6GEsDLHRtiXlH1ZNCOsoYQNJaSLCvn6i3bBcZJyIWZmHRDajDACoRiMy7Zyr8fBru8/jJZD&#10;bjGIHeEtB0+bZDjI1/mPMuKhbfNboYTNCGuxhL/vWEL4JwYoIVd5OQ0l3OJMQeeu01DC5Rr5zb8X&#10;lDDkZv/9cHPzdn94P1t0eP/hBToz2WVC+oYSNpQwHOgbSkghPXBQTzlW/brR3Nji1m8GajNQ766/&#10;v/l3WnY8eIclmSbENgYwcGhJhy++MUrYLi+hGuh//QsySo4vj48/H7xZ8Xr/5l+IpDvs/X2VH28O&#10;+AMW578vZp8OV4+vLo7//HB1uLmY3f/nA+L3dt2SLKon94/lakOpIof0m9fpNz775VdJhPlWKOFU&#10;2ZfVl5R9aUZYiyVMau4QDNHKvhyfXBw8TC9GDpsRJh6zYrhkM8KaEdaMMMBADhZBqEKAck8oDt1i&#10;CZ9fLGEo9CKxhCuu8nISSrhZMdxXRgldfi4O/nLB8Wqx8SEwVsaxhGR/fnt47yxpTsgWY/obJLss&#10;YHCP3NgrF7lzJko4If0USpjLDu19OD79dLOHHq5eXn3ENu529OAKjNgSGA41o7tugVJ7a0R8MjXL&#10;ApglElFZwuUGxUsGNBij0BCVxJtoJi2IR31NN4RwTKshBAsEkuV6vlRaStONVdnScjgkl9JWWjR7&#10;tVb0lFYkLLTVpUqHnqa1ldUjLEhJVkfQht5anfKzO0tUOUdlcKYmBOU+BL5U9Y+q4EhT2D7CdG2e&#10;6z+X55rWDqpE6OYCLWGx0iCHm3GFWzE04vdTXmMgBORlmvBbe+xAYDG8liDDVBVrvxAf52nptWTi&#10;YOtkP0rd1sv1mldN/ymzJRNeuKD+iQ/5nEI+szalJ25lPSIXgvxnnnzN9XKkdenVqZx6HTAZPw+S&#10;5s1KZ9w8pwtEJcr3+a9y6nwYhMVsvLAWxUE0VCIalNkRWDjBDG0Rg+cWxflGWOBiqrjL6kuKuzRT&#10;i172gVnXTC2YIcEObqYWNmPxOfotsPlgRR+/S/ivmVrN1BqYxt/a1GqI37ND/Oj+wzwucOUsg1Nr&#10;DG77EBfoso+vXkbwCva8VmNwveaj2HrHh4C0xqD8cFhnL1Zj/JaIH7gZI36can1e9vBY+rHShrKf&#10;ifjhTiaAT+52yYHdN4T8YghJNIdSa0i7ZRjqCSBQu684UQYpXdN9qny4pLVbATPkr9Re3SBk2B/O&#10;0L3GXnom0G6pydC/wjRL4de0rQb/TQc+EnYMi+US6DDeWAJC/pAuaWwbwP/cojOF/8ldcoLwlPG/&#10;bo6VCkrLACXeYZA64lY+D0j5D+MluzloJThSSkuvZzUCOLoGmBmLi6tvWsSTz228ywuY0AuvuQS+&#10;+XZfMV6bhgUmEYO/87jAxVQJF9yyiDf7TLfrohlhk2ZhuvUXLJPU9adv/uneT0sXXK+ygpHzT1C3&#10;1PVaMEtS52uhtcz5WjKamhFG5kXzwU6V9WtGGCL9xEppRpgr0YcDk7MyZQnDy9OMsNyelZkS9HKC&#10;EdZQwueHEsIaGKCEXLHlpLjA9WqNvRbnM8QFjlBCvFMKSrhc7IBr4GfT9xXLD4dI2W+DEoY86zR7&#10;mFOtz0IJJ6SPKKEm+9kooXqHWQJopehNar6BmYAAanfl5gCVdlXuMDIQ1hsf6aOxODBQtWyO3EDV&#10;xDvLQG1X5bWr8iQctwzOYRISlCf4UZnYO1Iu3Zphw35/DgMVUpZRQqwGgvtBZxZK6HehepQwjHIh&#10;PM8PBOWVfQFK6BkTw1JC9qi+Doknn9OsKHBCN6kP6YMhlv1OUMJ2VV5DCf9A2cMLbOcjVy08zeej&#10;hM0Ia9nDiXVLq7yCYQ5dtZoh3K6Dm3Z74hBBplKIzC86PXFOIOKwPReJmxEmWd6Hm+un2T25SWe+&#10;3AQiwA8Xs9evLl7TGgmz46rdVyzGVjPCcs95qDWTmc/B5nSfGgaq2LNCG4zThhL+nu8rXuDkmqOE&#10;gPuczXUSSrjBzcduXZ9CCdGFghKuMDHdz6ZRQvnh80AJQ551ghKuOdX6LJRwQvqIEmqyn4sSLjoX&#10;MLZ1m3SKAKae1HqUcNxOhhIutJbGKOG4pQFKqHmeM5RQFe8slHBFKcTdYszaeW7srdZclkUMA1UT&#10;dWCg6u3VDcIgllCVdpRJHPfXiOnmsYTqOIxSiaUt7DvNjf2ndWPjFSujhJRJeAJKiOaEWoxAD/J1&#10;c175PH7mP+xREgKbnWH6BJRQDjjB9pkA5ph44VsWHqh3YkwmvXzes3jyucFJ16FcRdoO6EvMdP2W&#10;+QmFSxk+pLXNNTRkNHyB1ahCN26RpIaiKosMSfOD4QiMDgxUFrdmlESVQhvYOMFAbXnFzzyvmGrU&#10;jFFCN1HPjCVsRti0pdOMMA+rJIZO6iundU+xEXOUULWEmxGGiqo4zUxDig0l/Ib3FTcjbGhUlV21&#10;zQiLxazFzOJYwoG5Lt+e4qptsYTPLpZwiUPYACXkWi4noYSr1dY7dKZQQuyuCkq4WHZAw3DGmEYJ&#10;5YfPAiVcgpuxgcrp2WehhBPSR5RQk/1clFANjzsPJRxHAOLUGeIN4VJQHLJjlHDc0sBA1Xy7GUqo&#10;incWSqi2dh5KuFLdzqnymxv7ZSs4CPhof6S8hss/ScYxjv0tljCghyZK2GIJVQOVVfN1UMLvv/9x&#10;/qPAphmYeP8w+0TBG3Tkzb44Ht69/uH+MPt4RcEd7n8Mu2Zkh/2Hhzceqm43keyvb47Hu4d3v9xe&#10;Pd5ApQz94S6WuzdAogGmTxlhX1T2ZWyCNiPMRXFFc65gmTQjjP0aCZpYZwkPUELV5DzDVau3lVrD&#10;qSMf+05z1f5pXbU4gjUjLLpwmxHmHSTsUJb8FTGsSghqiyWUy+C+VmmXmEdL1hFftTH7/P7+4fgS&#10;/8Y1dU9Pjy9fvDhe3968vzp+9/7u+rA/7t8+fXe9f/9i//bt3fXNi0/7w5sX/bybu78eD2J2uXtG&#10;nNnl0L9odgG2GaCEXOXlJJRwvaBYIcB9UyghulBQwmXHGVHTKKH88HmghACvxighp2efhRJOSB8N&#10;VE32s1FCrkvo0h2/PJZwNWont43W9SjhqKUBSqgV68sNVE281C6iiB2FL4DVAeOMJXFGrJ2JEu58&#10;4b9Rc8NYQk3UQSzhSm2vbhAGBqrUJRyzl45EalRm86duHFos4cWl94i0jGOX90LYCuoN4I0qo4R+&#10;XxETxco4hnMFuxCf3NKwwS7PrvAhdn/muoRQPDQ1KqDoRoS+iGUYS2ahH0HQR1UG//FEpGUgHwxH&#10;KKCYjRwtxHE8DeN9WDwpsNFiCf84dQmX2GzGRpjbuM6MJWxGmMs4Hu396dZPa4FiN9Vt/s0IWzgP&#10;Q2Y3wcKvMTnPQQk1Y7gZYc0Im8o4bkaYs4U44cIwNIJVkiSABGNjyubpUTg3bV8SSYIx1Iyw9HbV&#10;Fkv4/GIJMYFzlHDjDPUTby/ZzMkfgcPCFEooYXHkCXbFEcJ9xcvt1h8DplFC+eHzQAlxxh8ZqBtO&#10;zz4PJRxLH1FCTfazUUKtcF8azqYhQWAmGDRaXFwOULVYwqAwbAaazoYooRY2OUQJ1fbqBmGAEuqu&#10;5/SooM2NPONYbys9KaRtNTf2dM5NiyWkkMqhc9JCCbGaYRfKsCa/MQ1gKUEJQ+GjzLwToy+FGSmg&#10;hmPB5OscPsuIF8C33F7HDllglFOGooiXGJx5o9IVNyN+3YReKPLfMX3f6hKekuySBfllsYA//o3+&#10;z+OfkbVYwuOjD/r7dHwMTu3jlzm11VhCnGfHRtiXlH2ZMEGbEdZiCUOFhiRGMLWCS0ZdM8IeZhNx&#10;eVAftuZWlzBJFwFQTCoBEMx1T4rlF8nSduRZFWzCtD63uoT/vty7uotPZDV6624EvjUjzGmH1i43&#10;kwY2catLeJgd9r6e58ebA/643R/+fTH7dLh6fHVx/OeHq8PNxew+LfP85P6xXG16aPSQfvOHiiWk&#10;+TJACbnKy0mxhJsNw31ACRkKHNtau6VLZsaqdvs/b9/S24w7T/xC2a23bumj7378/DS7pgMi5fi6&#10;IMT1VpbRz28P71FHKoRafsM7jlc4540NVE7PPgslnJB+rLSh7GeihHCAIJ6N7rl3Z9fE9skAwNvZ&#10;cgOH44AmNY8IoJpoJrWMqK/phlL3qdJQCkwt1/Ol0lLqw1ZlS4EpkktpK40jxLXv0wLieBJwv0Jb&#10;2cV60NN0Yxk6WJAyQwf11uqUn2GDqpwj1/XUhMiQQVX9I8+1NNWAwT8vMEhrB0UPurlAdl3E/QQJ&#10;w3QWpA8zJX4/hYPRqizE4qP1JhC+ccuYb5XNItSMwodkWJuoIL2WTFwC4nzDy/WaV03fHbMlE144&#10;w6vi2JXPDUbwkg7JS6ysOedWWpdencqhpCGT8fMgaUktQk5CeCUWmaFxRqf5MAiLGYwrYroPDZWI&#10;BoU2sNAiBv84EYMrGBxjU8uZLmdGDDZTi97egVnXTK3kfuVmajmQhcud+F3t0m2htCIX0asG/xEu&#10;laqPT7W/MfznNuxmavnzrGFXiA0ithPIg2mRmYrevhM7RsibqcUhqk7Nx6efbvbAaa5etrjAZxcX&#10;SEU1B4gfV2w5CfHbrvgscxrit14s/bng94D4Aa4am6HunHemGTohfUP8mhnazFClOnUzQwd2JZva&#10;AYEpG+bNDL2IYFUJ2hIQL+BgJdtPiBvid5O55gUfbIjfPZm+rZLgREkbLfpvBSNgbGp9SaGWZmo1&#10;xO8/Xsyac/XJob4xkKyZWuICLIKahAfDfXXZTK2pnIt8j/cWUTO1vIOFEUL2fyZu5JIFKsZTVGLJ&#10;BBXqfBgElPxNnasN8Xt+iF8owOIqCs5Q94+rr5yG+PVrD91NZQIDKlPqBa7nO59KP50JLD98FpnA&#10;lPQ/MkNxtSO20HMRv7H0EfHTZD87xm9J4Wae36xsSRK7Rgma8Fo4yDelwXYX4ttcaN64GQDHgQTr&#10;lNIQhApUSkMDxE9rKY/xU2QbxPhRDcMp8fIYv/W0ngYxflpbeYzfVhFyGOOnSZk7ntXW6pQ/iPFT&#10;5JyK8RtNiEGMn6L+qRg/1xQcQa2G9USuzJ8h+ZeWII7xWzu/eIzh88ZRx8ikRHHF73MbKQumy8wa&#10;b3Iiet2dbjzdWWZoTSybbxjhc/ySZGzF1SaXTT43Hc8+9ychL1p+PRYpiuULS7jv1ancx/hlTMbP&#10;q64ZFvJKM5TGmWL8smFYM4vZhyvojkjdh4ZKhrMj6KPF+P2BYvymiq5sv6ToyoSh2UytZmqpztVm&#10;anmAqwoOazF+zzTGr5la0Rgy7AqxQcR2AnkwLSZj/JqpBRU9Xj3dupQZ+uMfxydOn2kxfi688W8f&#10;nvZvnx/ih5mbx/ghPdeBWKchfvMeaA6s9inED4lXCuK32q68sT+N+MkPnwXit8YJZoz4uUPhmYjf&#10;hPTRDNVkPxvxU7JV0U8Cwk1DYiPEb5whkoNOvYKtjRC/cUMDM5SzekeYU474KbKdhfgpbZ2F+J2Y&#10;1TuSMkf81NbqlD9A/BQ5z0H8tKZS/adoMvaKhvj9WRE/8nb6VBMN8cN0TvCfXxfxc5ubYf0JiHda&#10;jF8GpsHdSjKI/ShJHwSWpZ8bjCSpJq51kJfNUKh2olfxAQ9hyfh5kDQHVaUzBg7ZT91hVYKFYDHD&#10;1EPEz7M4QPzyES8xIRoUdFBYbBX+vkXhGTJ0vkGFvzXenrGp9UUFVMaGZjO1mqmlIn7N1KKNpGX1&#10;PnKW8+89xq+ZWs3U8mXUvq2p1WL8nh3itwaaM0D8uF7KaYjfhjIxsElMIX6YZArit16hfB/9bBrx&#10;kx8+D8QP3IzNUHcSOxPxm5A+mqGa7F+I+I3ufjsP8Rs1A3YDcHhCjJ8PKE3jCQdmqBb9NoX4jZhK&#10;ESc6fCs45ESM35iv8xA/urx3PW7svBi/jdZanfIHiJ+L8ZtgLR2AFKZLB2kQ4+cRv5H6W4xfu4Fu&#10;dAMdvQ2/IeInYXslVCkgfkIcYKUJb68QV8b44VVNMDnTDPX+MAEOLZBNi/EjlVOvg0BENxTu87oY&#10;P26mMsaPqYeIn2dlgPh5MQXFK41NQ/xwj8auWy4x7759qelvhfjBMzg2tb6ogMrY0GymVrrTI92s&#10;mVrBgsXKqBhuzdR6eDeMaGsxfkONcJrCb17Hr5lawenaTC2P+H1bU6shfs8P8cO2P0D8uF7KSYhf&#10;v5v7qVSu4+eOUMCs5OaOzQJoiwP8yhd3SAn13/DiDso8GluhDuU4E/AbCx+NUGyifGdJLvqZeB+u&#10;kYQF4+71cZlu+sUdcnFkiu8MQ/ym2kktIertdjbV0jDGb6ql1A6lOzWVpjAcwUDTxUsxP2JIaSzF&#10;/BDCoikLG2jos9BaltlLImq6T9HWgqhZpF+pvbpByJC/grSjaL+pEc2wP30cRuCftIWNuIX7/UnD&#10;/dzbT+ifmwxU7SzG8/mwMkwotz8IFhS/z1Ehzpnl+9syOMkjcoObzPyH1LoPVstbE4DPt+ppT73d&#10;l3e6nDGZ9BLyJ+LJ54ZVSu+qU0dCL7zmEnC3Nbf75ozKzW+JuHnL0h/3IPRRlUKQ/2xAPhiOZ3Kx&#10;XHZtb7vdF35Yl3b/sDfTU74VEojtfGSD7dzr3mwwujk1mid4IRVbp9lgqW2b+V6bDfbyipLz3Bmh&#10;1fr7MxRZaTbY2KbKTRcxaNiEaTbY3fX3UrI5142Ys2Kty7en5F80iPD5QYShxooU/ttxgZWTIMLF&#10;msG+0yDCbrnhI5xxuW8OlP0ml/uuARCN7VPOmT7rct8J6RtIiOSDBhIScpEZsilK20DCz5gkft1o&#10;iSq/60SVZqA2A/WJnNXPHiT8/vsf5z9KkGiGJd4/zD5JUEj2RQYyzt3/GJHOyNolICdcAkLm4tgI&#10;c+NyJkjYjLBp33EzwpoR1lDChhLS7jzEfpqntnlqG0r42+RlROyLLpx49/Ld4fGXx9nn9/cPqNDy&#10;iIDt26enx5cvXhyvb2/eXx2/e393fdgf92+fvrvev3+xf/v27vrmxaf94c2LCbPLYYDwC1PD1//9&#10;8efD7O4NXv/dJtRlCSghF2U5CSVcLqghhASehhL2PZKWfieRhBsgNWMDlfOsz0IJJ6RvKGFDCRHv&#10;2AzUZqA2A7UZqLE4YHNjU3XCkot/eJQ5x42dwXcZytdQwnKl628USriBuTg2wr6kfkszwhpKmARg&#10;tljCFksIB33wvYoz2oXO0A70x7s3uLlqm6v2OblqWyzhs4sl3IRaLgEl5EIuJ6GEq24OEO10lHC3&#10;QP+/j3xjKpE+NlA5N/s8lHAsfUMJG0rYUEKYaQ0lbChhQwkbSujzqyWBpaGEN4cnuIv3h39fzD4d&#10;rh5fXRz/+eHqcHMxu0+vFPnDlh7cTBV92X1J0Ze+GWGTdWhaLGFz1TYjrBlhzQhrRti3NcIaSvj8&#10;UMJQ54VRwn7ORV5OQgkXC9SGYZSQb2CMgBf8v8o1JF3fe3Dxd3ANySbkZv/9cHPzdn94P1sgaJNs&#10;iXOTXcbSj5U2vILl7LKEdO0E3EYO1syyWRNPKl07IRWvUpo04ZVL7I3ayUvi0JUfUy1NlMQZtTQw&#10;UDdKU3lZQk28s8oSLnpFWWeWJdwqzQ1L4miiDssSqu3VDcKgLKEq7TllCbVxaGUJ250koztJ3Hpk&#10;lCXEaw43kuBEv3ayi1zoW8Kf/M6GKBPnP0NAQQhTU68l2S0WrhaFlB+kKnwkRlwSfXBg33vx5HMj&#10;Xg6XcPj9MqEvMYMKOlj/Jvr1iqcvhozSDuF+EcUt6SY0RJL4Co9FhqT5UVlCZtSNc9CaiCujX+JE&#10;VCm0gY37/fHGc/Z49XTrbkymP1B8y/19/eH49NPN/j3VeNBjCX/8G/2fJczIWsbx8dGbQN/gSmK6&#10;22boqu3hoG5G2NX7GzhY6/b/ZoSlxm0zwtw62GpD/3lrQ2PLL9eGbkYYmQeS0NGMML0uYT5TzjHC&#10;Gkr47FDCbSj0ElBCrvJyEkq47HoYKDh1TF1WjIONhhLu+I7jaZRQfjhEymJu9s+Hb2agbkNudooS&#10;cnr2WbGE3Vj6iBJqsp+NEmr3cUCscB/HCSghH+fiJSi5gdoKZwel4iDdLi+5bChhQwmnUELsP2UD&#10;NXdk/too4de7vKQSJfTiJahfCQk7/fIS3BWsoIT8xRgl5C9waxSDYkWOfq3LS5jRAUrIuUCC/JU4&#10;aRnHf4JrjLcwi8Yo4ZeUfWlGWMs4TizglnHcMo5bxvH+483lPuJiw621GWGZUWX4jeGqbUbYCa7a&#10;hhI+P5QQ4I43uwJKyFVeTkMJtyufOjyFEsJToaCE/XrrsedplFB++DxQQgg4NlA5PfsslHBC+ogS&#10;arKfixIuPFK1Hde8S2ykepRw3E6GEqK32ljCcUuDWELtVmLMnIDE9ap4Z8USrhYu+G/M2nmxhFut&#10;uaEbWxN1EEuot1c3CINYQlXaM2IJ1XFoKGFDCSdQQrxiZZRw4S0swYksAxXNwVeVYU2+gQ4VcBFx&#10;JA5h/yGWjQokjG08qqHrY9KCh7QUS5jxQL1PoXXEQPq5GUu4ytsxDVTyAk7GEpLifSxhzuhCvoji&#10;lrC5TuijKkvaCeSD4eh6ZjRnpmNxa0ZJVCm0gY0TDNQsSLDVJXx+VxxvYRuMjTAHZ5+Z0NGMMEIJ&#10;x5ZOM8L8dhHd4M0IQ238ubvzXMr2+c2lXSEn+qApgk31shNLwShj6M/Ml7CzvWFhkPuzMjncE3Iy&#10;GT4/uMj4q5eHm+un2T0N0wyVKfDfw6uLw8Xs9auL1346hyh6GEIIqKeLt/yeXHTVNiNsH03HTqyS&#10;xLUbjI0JizDYNkIvNmgwhpDQkds9YlTBZxFmUtay9MfRjUL/hzDCGkr4/FBCrDwDlJCrvJyEEi66&#10;JWAtLJBTKKGExeEt8UvV9e3/vH1LBQ92fDaYBgnld88DJAyp2UkoIcpWYL0+0z4dCx8xQk30czHC&#10;vkUSugRoBbvE3A2AI8Xr+ARhXrmjnXgeRtgiCWE2pWBtiiDDxmmpLn/eVBfYsUXzdBBLZmGEPq03&#10;s7j8QWaQ4Oo/JBc5m9sFE8zTUowJE4uFloNn3l5j4mGAnppv/JUjCZdYsSYxQvFuDxmVyMBE3FxM&#10;EV7MU24oqlII8p8NyAfD8exvOG75xs/i7pIt9ukRRghPW7PBJtKNWzZHNOlaNgdBV80Gu/SH1Et3&#10;xPXwGqE/QNlmzQbDpYmkjGhj+U27BRKmYZWnZ3M0G+z6BD9tgwifH0QYqrxIICGcIc7kOg0i3DLY&#10;NwURImRBCSTsNux6mcYI5YfPAiOkqotj+9SBnmdihBPSR5BQk/1skHCjFcZL4LEUvEnrtgCxDPbW&#10;My1KqImX2kXkyakCCdUyfWeChGoRwTTXG8fyP0BRQm0cmoHaAgknAgmpBF4ZJMQLDJTLwX4w6qMB&#10;O4lB8QVa9SChVNLLWxOcK8P9YpU++Tr/UUY8xN6YsaEvue+9ePI5HVsKcGUrSvj6Tq+Hk8+UMEgn&#10;GKgtkBCBJ7BzPjwe7t7dIhSlc6fGh/3fPjw9C5BwN1XzBXHx54OEzQibrlU9CCTULJMsm6PXNv9m&#10;hAF/wRxNbepBNodqcp6RzaGOQzPCmhHWjDAxtiSgrxlh7MGVEtaZ+RxsTjHBSwaqqFJozzHCGkr4&#10;7FDCHQCgPJDQxz5/ejwJJVyuEWGtBRLCslNQwn659KEU0yih/PB5oIQQcIwScm72eenGY+kjSqjJ&#10;fjZKqEXHoaMEAZxOEp5ACXkliVF2UE9oB84nBY2bqJo9amlgoG6VpnIDVRPvLAO1hRK6yIRzDFRt&#10;HJqB2gzUKQMVmEQZJfQbhJgdFkqI1UwwRTECfXDfIHbNfxjj30qmj6dNYuuC7ZMBemWU0DM2NlC9&#10;ePK5iRJyZGVCX2ImROgJveiECqX6GMMhnBm+iJGTJd2EhqIqiwxJ84PhCIzyZsBmK2K643gauhkG&#10;PAQ2Gkr4EMsVvnb3IC9Xmx7jf/VwjbuSX108yZ8/PD13lHCq5gu2lvNRwgkTtBlhCDtrRtgI1kut&#10;4FKl6TpLeIASqiZnM8Jo4f/8UIj44zTcLAvX/WYqPLDFEnJqckw3JlugGWHhXjnD0GixhCVXbW6w&#10;nWOENZTw+aGEGNUBSsglXk5CCVeLpS+wgFhC9ppFWwu7q4ISLrqNX+G79dat8Vjbb3/8/DS7/vzq&#10;ol/KD58HSghOxygh52afhRJOSD9W2lD2hhLyKFw2lHCErxJUXwHVNgO1ZHP6hQzHJBw9m4F6pLIQ&#10;lx0b4v5ALlrxzy+qh/PHNVB5G2S86xknHOeMCoyXgKINJXx18f33P85/dJrCpM9CDtsFx9/wguMd&#10;nH4jIwyA5/koYTPC2tUlidFEy57ilR4UJdSryDQjbDJ7F6c5OPBwB3eNXdWMsIdRCchmhF0kVkkA&#10;oEqu2ty2aUbYE1nzwbP7PF21DSV8fihhqPMiGcc9F3k5CSVczzceRD4RJdzNfZrQ7wElDLnZSVXC&#10;ntOzz0MJx9I3lLC5sZEW3dzYsRqzUjHGh0K1qtm/86rZDSX0IX380hPumlm9YgsPguskNhD0QpH/&#10;julr7tbLLenfCiXk2MbnGkvYyhI+g4zjxXyOZX+MEroZfGbZl0UzwnB1Cd4+YDdpQmyLJRxqpKGE&#10;I9yqGWH5VS5cP+v3dnVJM8KaEUbooViLv60R1lDCZ4YSwuxCJlQeS9hzlZfTUMItKrtzxjGfOsaA&#10;F442fucNV5cs10u/0Tx7lBCagi9sbKC6iKMzDdQJ6cdKa7GEmm+3xRKOTPsWSzhdhLq5sancGB0D&#10;A6jIznpfX8IHBRZyepobu7mx/+1LeAsqyTikoIp/8IzjhhI+D5QQcVpjI+xLyr40I6zFErZYQhgA&#10;7Qa5dnvJH+72ktwD2mIJWyyhyw+7Ry7ZC0Jtjo8/H/zds6/3b/7182F22PuLwT/eHPAH6rH8+2L2&#10;6XD1+Ori+M8PV4ebi9m9q9my65YEXT2lBVwO6Tdfq7QL2H738t3h8ZdH4pv/nH1+f/9wfIl/g+en&#10;p8eXL14cr29v3l8dv3t/d33YH/dvn7673r9/sX/79u765sWn/eHNi37ezd1fj4f99c3xePfwzkUK&#10;4pzI9Qahj7s3uI54PsdpcYAScpWXk1DCzYrhvnIsoQMgKauYLzheLTb+AG+hhJL+9/nt4b0bYFaP&#10;jPGn42PQFIrwfImmfrm9erxxmnIBglFTITc7jSXk9OyzYgknpJ9CCXPZz8w4Rg1S3F6yRsTnwGc8&#10;LEu43PiswtSvjDEKeax0eclEM2mWBfV1O5tqCJPNaij1YS/X86XSUgoRqrKlNQmJHaUt4NuBq9Va&#10;0VN6b0mhLVx5HRuDnqa1hUsZI1VBysx9rbdWp/wsz1iVc1QGZ2ocCTQKKlPVPypFKE01m3QazKTJ&#10;Q0k5/s5OG7pj8BPYcE0SD42/a10WlHKxn68EDNLaQUVw3FwgXDJWGpR4OUxnqS0IHcTvp6LlVr7e&#10;X+b99FrEN26p8636zzBVRVWFiD1PS68lEwswNsWAEK+5YobvjtmSCR/KARKMD9nkcxriAiN4SYfk&#10;JVbWXMVPWpdencqp13XOZPw8SFriRsijEovMcHJBPgzCYjZeIqb70FAJdZ7OjsDCr1J9sGGBzwML&#10;xPYyxgK/pLhLM7Xo7R2Yfs3UAjTGE+2ymVqpE9Hvai1TIzhVm6l10Uwt94Y4oE3smGZq3TrYjWpc&#10;uspDznw7Pv10swdOc/WyxQU+v7jAULRFsocXzvBmZPAnAiB/PsBUCBgkgWxXLz30dvUSQCOlra+2&#10;fYgLdF7aq5cRvIKNrtUYXK/5KLbGdcDOIElrDMoPh7FxERv9lohfyLNOEL8Fp1qfhfgtxtKPlTaU&#10;/UzEDxcJAXxCmoiDKFM4LwWf2n3FF//xYoZTZa8oK8X9KINPK0eDWR0RMShdaS5D/lA/Q7sVMDNH&#10;aRC19vDGhH77fq2xlyKvBWlH6J8kLWbzJ0X/CtMshV/TeYY9ormk/7wuaayqwP/cxKJ9JeJ7Hjob&#10;XoAWv8/BKUYL233FHL3H+pAb6OKLy1/QRkDI2W58Ewl/Ea9nzjUtGNugIaw2Ffio24Co31F5m5Uv&#10;I5JBgbQ0ZfheiZPhTBE+rxsW+Ee5iQQO6qkSLpgkzkBtRhgKuNXs/+n2Tx7cKbMwhQMLlknd5p/u&#10;/QWzCStPsF4KZkkzwjjcKcEr68Zh5IOVfaEZYX9eH6zfk5sRVn8TCVslycsTjI3Mf9uMsKCXE4yw&#10;hhI+O5SQQlHyuEBf4exElHC9WvsADcQFjlBCWPoKSrhc7GDX0KFhEiWUHw6Rst8EJSREZ+SsXnCq&#10;9VkG6oT0ESXUZD8bJVQvkk1MsxS9SZEgMBPMNzYr+TgXDZXcQG33FQeFYRfWdDZECbVE6SFKqLZX&#10;NwhZhCBdv+VPCqMhPQclVNtKTwrpPGsG6p/aQMX+UzZQcVzFBuHmJqaKhRKqYYIDWMo7p2LKawl/&#10;8rSnFsF20IWE5lHvDpQLBUS9BSmX7CYGZ4mTdlXe170qL7ti5Hh49/qH+8Ps49X9q4sWMfgsIgZp&#10;IxwbYS7i7dwSLmMTtBlhrdBzWKejgduMsFZj0Lg4maYIjJVWYzCYbGIAeRuqGWE+FCp4WNm0HLtq&#10;RzZn0Sz8Q5VwaSjh80MJgSsMUEKu2HJa9nC/8wvkFEoIF6GCEq663qe0TaOE8sPngRKC07GByqnW&#10;Z6GEE9JHA1WT/VyUcNE5KGg7dkNmCODtTA6sZZRw3E4GUC1SHChtaezGHrc0cGNrAXuZ+1QVLwWn&#10;SDQlvC53Y68ohbhbjFk7z4291ZobooQadwMDVW+vbhAGKKEq7RkooToOzY19cYlJRjakS4MD4mVk&#10;73pD4Q+dSuxesTJKiGjtYHJWoIR4AQRTHBqovPJ5C80rt/eB8zQWmRNYXKApLVBCST2Wr/MfZcQL&#10;37Lw0OG3xFhcXD11z+LJ5wYnXbfK2wF9iZmu37K5GU69vl+veGJoyCgteo7TKG4upvQ3aCiqUgjy&#10;nw3ISSEud4A/F0YHsYQsrmDEeZPSkW9CVCm08m2LJfwWpW8Io/sGJVxoRxobYV9UwmVsgjYjbIwS&#10;apZJM8LGBjUW0OAixrKoWJzNCEOhL2cEzSYyKfyx8LKu0AkmIdlV7ixGO+jnUsvNCHNpnrBMkPE5&#10;+0TX19KWX3TVNiNsT3OVbZVmhN1df38zWXL61zDCGkr4/FBCrLADlJBruZyEEq5WW79UT6GEwA8V&#10;lHCx7PyiPY0Syg+fB0oIvGlkoKKy4hcku4yljwaqJjsdaGMO/9VHLPnutBWyNqPzEwfEaK3oAWMJ&#10;lWbRgJnQkhbHltlG6G0abxyjhO2qvPurV5ToTMFKitYGKKEem1g3CAMDVZ8aKV6rzY2s3iBio7S4&#10;xBSuTduCWRfm7hUVqnDTGZYeGzP4a8qMFAyN3j/TMsT8JTNSUJ6yGdkM1IdR0MBXKjhIYbaGgcp1&#10;8wT7abGEGdpoooRL+DUm0EmveI8S5kGP4pZOQidL2FxoKIZlBnguA14FJaQBR7+DqAJANZ5RN87R&#10;Hh+MfokTCcuUmRLYOCHZRY8l/P77H+c/yvqRkd0/0FHL3/OTfZHFIuKmXbps1y9WGdlh/+Hhjf/8&#10;d1wg+1uhhDAXx0bYF5V9aUZYu684WrfNCHvZjDDsP/sjFdK6/DNUfW5GGFsZ1a7aMX0wNqZsHrFt&#10;pP1g3gRbq8USJphGQwmfH0oI4zxHCZdc5eUklHC9oFghWP9TKCGO3QpKuOz4cDCNEsoPnwVK2ON4&#10;MzZQ3cHh3GSXsfQRJdRkPxsl5LqEDgNOo/sQq5MggNPY3gRKOGonB6i0kngQK+nNlcQZtZRiU7Da&#10;tGJ9mRtbyi6OGkvBKVqmFRwOp4/AVyyJM2rtvFjC1c5DZ6PmhrGEmqhDlFBtr24QBiihVGEcs5eO&#10;RIrsZfOnbhxaLGGLJeRqxbCSght7hTeq6Mbu/b4iAIuFEno8OMOaJmEp/2EsplfCnzwtrUSM8pRs&#10;QiYe2n1cMHFoKEoxPfmc8O7M0JSuxI3965XE8ajcRF1C/iKKW+RoQSOIjT+qUljOfxZQQk8+Qglb&#10;XUIKC/3dXqP3jVDCHtbK2Aj7orIvzQgjlHC096dbfzPCbggxSq1gUplm1DUjbNKv21y14kwKGCRO&#10;Q9g6LxEhXePr/nquWuzJzQgLiR7NCKPpGLDMb10cuqGEzw4l7LF2D1BCrvJyEkq4mXOMwBRKiC40&#10;lHC79XvHNEooP3weKCE2/7GByunZZ2UcL8fSR5RQk/1slFAN8krwMQ0JAjMBQ2uxhBL7p2OO2a3F&#10;5KvTAuxSiLa5sZsbm/bm5sbeRxtlGCFmoYRJfrKYOUWUMNjnBWwuoIQus9EI39NQQs+YoIHCm4gn&#10;n5sGanNjq8kug7jDAFb+KrGErS7hs6hL2ONcPTbCvqTsSzPCnKuW/SoxEWWAEmpZDrmLULMxz3LV&#10;qmkJwDSCNUoLp+L4bUbYaFCbq7a5aqdctTBayighVgPAmbWu2maEXSYmbMiTECNPjD8fxAm9Trhq&#10;RzZn7nMV4yb4Xj39HyKho6GEzw8lxPs/QAm5ystpKOGG4T6ghFyoYwx47ZbO6Quc6/Z/+GrkNYU1&#10;4T3p1ltn6tF3P35+ml0j3LtHVKOHF9dbOcz5q5V/k9tLcIfjhIHqfLBnxhLixpeh9GOlDWU/EyVE&#10;fByQqvXGKTILBUtMLgIJ4z3t0WIcgoQTzaT+U+pruiGIG+w7Qs4mGkqt0+V6vlRaSq1TVbbUOCW5&#10;lLbSOMLVWtFTapoW2spMU4g3LWQWQ1iQMnNf663VKT+LIFTlHNUinJoQWZaxqv6RTSpNAQtpScYT&#10;xXj+DPkt9MqTSermAqGBEfcL8XInmKQr1SLFN4lH1FtRmKritTdRQXotmVhsstxS8+z6hpfrNe9f&#10;/lNmSyZ8sAvRP2138rkBCuIlHZKXWFkzTiatS69O5dTrgMn4eZA0l1A68zIJeVSifJ//KqfOh0FY&#10;zII9RUw5hOTNSSe+Weo8PbDIt6364B+o+iDFD4+wQF+ZpJla2T3GtPc2UwvlWrA4NVOL3depGd9M&#10;remCNc3Uwgl7uJlGUyzfgjObJtu6vfWT7/HN1Gqm1k83+/dk3DfE7/khfqFoy08odvM4W/T+9T3x&#10;vuLtii3x0xC/9WLpPQ6/B8QPmM/YDOVU67PiAiekb4hfQ/yAhvFEyxNWdKO2IX7jqnhAqQFytLKC&#10;gH0k0NC7F37jXBWHGzXED2g48MiG+FElp4b4vd6/+dfPh9lh/0TBF7OPNwf8cbs//Pti9ulw9fjq&#10;4vjPD1eHm4vZfYrrPbl/LFcbKmxySL95nX5z9XCNpl5dPF2gViv9+cMT/oWffHg83L27RU/dhbfO&#10;//bh6VlE/+EWnwlT60sKtTRTi9Zd5wGJ1kUztZqp1So4yz5cvL6EXO9kTkaPYZm8mVrRL5ijh+Ki&#10;8ygiFnrnigwuR/k6/1FO3Jyrcg2I14szqaHGHHh9Fs7Vhvg9O8SPbhXKY/xWXH3lpBi/bb/20N1U&#10;JjCWPyUTeD3f+XJQ05nA8sNnkQlMlZrGiJ8zo850PE9IHxE/TfazY/yW5APFVZQDsw/jn4TdOX+x&#10;y25O4wBHMX7jZiZBp1FDECrpbJKfgRnKLuxRS3mMnyLbIMaPahgi/mXUVh7jt57W0yDGT2srj/Hb&#10;ukDGsbaGMX6alHmMn9panfIHMX6KnFMxfiONDWL8FPVPxfi5pprj+U/seKbbcD3it3ZAQ3Qse/ul&#10;48BnifiK309ZgbByQsiXxLR5M9LHBOWfnWiGSkBglRnKL4kXgtmKq00um3xuIn5Y5sgi5kUL5CVW&#10;1j0WqYRcZKdV3xvW64zJ+Hm4VTlXsXTGhiU3E5Uo3+e/yqnzYRAWs0CBFdgKg2ioZDg7Agst3/fh&#10;iJyibomLzma/d8QPG9rY1HJzt5la0zF+/GJHOK+ZWlfvXZW/1MBF3HYztRB60+5s+1PE+DVTK7Od&#10;cjNFLAc22NgGaaYWFSN6Ikfsr2FqNcTv+SF+sAwGiB9XUjkN8Zv3aAinjSnED3uugvittitv7E8j&#10;fvLD54H4AYsam6GcAn1WjN+E9BHx02Q/G/FTslVTg4jTAUbW4wjxG/uLc9CpV7C1kRk6bmiA+HFW&#10;74ilHPFTZDsL8VPaOgvxOzHVZCRljviprdUpf4D4KXKeg/hpTaX6T+dWQ/z+xIhfzOrVED9MZ+wk&#10;XwfxczHZBqok+Nhpjmd+edmAxLI6gb1JGk1iV5bNUK+KhFzs1PxnDLLFrN6MGfEBI6tX+TxImjcr&#10;nXHzNHIQqsOq5OMT5fv8Vzn1EPHzbQwQv3zE8+akE9+saFBmh3zbsnr/SDF+2N3HptYXFVAZG5rN&#10;1Gqm1pfG+Gl2bjO1HKqImOJ3tJG7Ur6caeCPiZdSpgnYI32rhBr6w+FliIcvEsNxj93p0i0TtMMX&#10;if8UiF8ztU5A/JqpFdzJv56p1RC/54f44VSeI35rZ0yfmtW7WXlTfgrxw7ukIH7rFcr3uVPEeseH&#10;gLSOn/zweSB+If/574ebm7f7w3ukQK9dsahzHc9j6aMZqsn+hYjf6O638xC/UTNgN0Tv4VRWjfiN&#10;GhqYoVpLU4jfqK0UcaJTs8LVRIzfZtTWeYgf3Ru3Hjd2XozfRmutTvkDM9TF+E2wlg5ACtOlQZ+D&#10;GD+P+I1U1mL8Wm3pUW1pehuMGD9M56+G+EnYXglVCoifEAdYKSv+5+0iIc7BNDXGz8uWQHglRiT4&#10;LSEvsSIBdEIuzlqncsIfR4gfxwQi8kVymzIJpTPB8Dx5ZYwfjTM6HSJ+/tMB4udPdoLilVTSEL8Y&#10;yffHzerFJBkhfusvKqDSTK3xVp/u9IXot2ZqxchJql1UYec2U0sF8RriN0ZByZwmsDKW+iC00qOW&#10;/zg+ESR6uLl+mt27Ygy+8gMKMxwQzP3q4rXP2nq8aqYWa4Ij1JqpFe1oMQXFovxWplZD/OoRv+PL&#10;T8fH2ef39w/46xFm3u3T0+PLFy+O17c376+O372/uz7sj/u3T99d79+/2L99e3d98+LT/vDmRT/v&#10;5u6vx8P++uZ4vHt498vt1eMNXC0MTaFkzN0bxOPNKQNkbFo58z9BsWjFOT7+Y3/9v8fZw/7HN3dP&#10;P+/vHp7Ak8O7cI9GCHHzXRwf0cPrT/+1f4O4+isUh3FeHn/rxtVL8EpBo9vFzgdCLNZbFyl39TLg&#10;Xf0CayChhD2u7+LDiPz8+sPxSQpDXn3Egshpqrw0xt0ZssXNeeMADroMpJDVCqLb2WrnIx5ShCMN&#10;clu621rXE01l1oDSUhrltp67pM+JllJbTGUqtcR2a1e4eKKpFPXqFKZSyKubb7cEU000BTs8KFTl&#10;Kktr5attpxrLQC+NsSzGrdRYjeozM6xbLRx+NiFmFuWmy5mqHyGqG0VpGeylza8uG4H11kFoU6yl&#10;Q7AlD/PkbM1mPu7EUVjrU7QXKcNKa+nk7zYbbXb02RjstCHt0zeg2+y0V4DilcJsWyxUWbNh2Lg7&#10;AaemGxWDD82tOrW5bCA2C5W7dCDW85WiOypIFXrtNguX/jwxrlRbIdBt1to0ocICgazb9NoMxpoZ&#10;6XaY6NMju8iHYqEtIYt0KLrO3aYzNe9o0U7YW/bKvFukY9F1O0L1J9vLBmO77LT20sHolgDGp9uj&#10;3S7hD+/P9Dq3TEejWy+04aCbpWJ72402ust0OPAGqe1l47FTx4Nq34Z++znuGlLkzcZjt9HWgWU6&#10;Hn0/V/WXjkc/n2srwTIdj36xortBp8YXYGCUo9tttPEl+DTKu9ppL+8qHY9+vtK2/FU6HihHoo0H&#10;6psk/c57TX/k7Iz87XaqvOl49NjOlPm3SseDCitr+svHQ13nV+l4LJbYXabHA77eRI5up81nuDkj&#10;3UJfroDRRTrIq7aXjsdip66m62w8er29dDyWWBA0ebPx6EE3vR6gblSUY7nQ+cvGo19py/M6HY/l&#10;cqu9b5tsPPq1xt8mHY/leqHNl002Hpj4iry4ey+Rd4N5MD1fNtl4dDu1vWw8Nivt/d3k46Fax5ts&#10;PHZ6e9l4LDptfSHfRHh/YRtolhAlSQY6TBdtfLfpeKA9bX2hyw5jeyvIMT3/tul4rHp1P99m47FV&#10;bSHcgxj7XfVrVd50PBbzThtfitoIcqyWc218ccyLdIsO+4wibzYeC3V8ESSStKefy+icGflbQS/T&#10;83mXjgdOpdr7tsvGYzXX1pddOh6LLSIOpuXdZeOxdvESU/vlLh2PZbdV28vGg04TirzpeCwL+svG&#10;Y63uR908HRC3EE0L3M2zEdmstBWmm6dDstzMNZE7+CyTMd5gbZuWGdZrSjhXbehuno3Kptd29W6e&#10;Dsuqg3miSZ2Ny1ZdZ3AET3mEM0ZtMRuZDSwoRersVL5aq6Zglx3LV1vsOVqL6cisNupm51y08e3b&#10;YlXXWkxHBmcq7fXrsgP6CgXl1BbTkUGL2oLTZYd0vHq6HtORWfeqCYxTTTqEu2xNbCluv9sUN9WR&#10;RQiOc9q4uCczxJwqbxM5IBifLlWOSO/xsjlyAUMNcrxJjrwukp7uJHbkdbH0PYuKGlI1vBMGQq0D&#10;46giZ1ED7lsWlTAM13qdqARROPI6URcs6qJOVAIYqHUACDWiEn7gyOtGFfdee/I6UZcsKk73Vcyw&#10;qDi815DT2Z14x9m8ipxFxdG7ipxFxcm6ipxFxcG5ipxFxbm4hpyOxSSqj+41X2069TryOlHpUOvI&#10;60Tl4iOXvpaxzQyLiiNnjah04iRmcKKsImdR/WXtJjN0XnSt14lKx0FHXjeqGxbVR7aYzHCJuksc&#10;1mpE5YvpL3EWqyJnUcOV8+VVbMui+uvrbd5Z1G3dqNI5iRSJc1AN73QMcuR1otIpx5HXjSodYhx5&#10;3ajuWNRdnajuCELN0xGjRlh3wvA/qBPXHSD8D+oEducD/4M6kZ35739QKXRMWKsUmvxqrofauvTk&#10;O/M/qBQ6BLHkUSy6/RQMKFjOycD5d+FLwl7I3UIhxu5ETa7sWCY0jdkVzcVv83hXSXBn5uRLefqm&#10;mAgrlxdBvpVn2mEVkXAlDUgq+1iKjndk+YUmR8fLqtBJy/L0LPZcLqCOyhBFurTIWIJKsiFrumoW&#10;hEtg9sovNNUAGs/oRCXy9KpZVM0EoTKEkS4tMpagkkwEFcZ11QD0yUTWVLPi93nYsvTgVQNoLWtN&#10;vpVnTmUII10aZCJBJdlQAF01iM7IhNFUIxU0hi3nQguVwaZ0Wkk27FOXZlM50BtyjiXvikghTz+E&#10;wJZPoDKEkS5NMj8elWT1qtlVDjRibCqE3lUtD0JlCCNdWmR1y8NQUBlTfdYABK17CShqqEI5KA9T&#10;o8NAZsgdejXpKreWobgVGoIfPBNcWya6nsGE4cSUPvyb1fVV8yeQWZJLryZd3RSCcywXV7gvzKFF&#10;7RxakIPSXHu6BflLbLJl1ZbVLetmpJBZepReLToRwqRjnZh0lTN8OBgV47caDLk6w+UuZ2OGI/Ku&#10;ZvzgD60iYwDF6pSc2pg0EuoscsuT374Vowh4CUsWfCeR09awrCiGBN2adKwTk46vyzbpKl/n4diK&#10;Ogqv85oBLin0pU6H9dpvCe6WIJzjpG15ssrXkIVUVD4zddKaMTCS3WiRATqhTodkebKhcMiISFYg&#10;DSGffmiHn8LJl0iTNzgQHf5MRywnXvk6/xFzseFTviOWCP5uwxMCfjtM2ORjXiNllPImpSNpmt0R&#10;cKzlsz7/VaBmEzGXHLGXThh/4I+cUOQlFBKP9YWkUoRIwjMMagST1nBCgY5E7aZY7JICFunjAYMM&#10;/sN/4dvOpRvqhKIA0UjwQ8j3+a9EJ4zlo+dsGCj0jxpxyE9kkKF8WARVnPB7NBwd4Yh5gKPfdQao&#10;MtfdkI5zca01LrRnLK3ryjUztGeswfIKI8ynLAfFsUC5AcEVOeUZ9OJHEmyW22Oc1NQfQ8d4lNvj&#10;aiYmHS+AJh2fP0Z0kzNSlmlPHabemoIBoTTJ/xQdca3loKO8zaFGebYD0C9rgCJ9qTNrRg62FOmu&#10;sAsh1sE13cG96HlQ96GNmJXwFRbZ3YjpHTw9wog85W3nGd8FRF0I5CmE0D4poJ8bc3lD0SZECKC1&#10;zCPFr4CwC4C4dClP6ZpibIgQPp1ii2uG2Ds4DA1CXskx+kXC8dgIb6UBZR9IH14/fUD5xeqxA5cZ&#10;4Tca6QMWobc1F8GDKBzLU7RKkSLQ6gIzttw1BakQoV/6dfNHNnACKY0WPY+9z5YqtDjSpAhRUj/7&#10;ZZZBVbr6+SZGQt6KHCPWx+kAEXJlQjEdECtpEXodLP3VkwUdUG4L1L801T+Su0JZW34JV8EbqCpr&#10;yy/2OvijpH158szasi2IG8fLOthCmyQaqmWVCTeULkKE5nImhMEeEd7kKbOfYzkQSmV0zfeLIYCs&#10;TDjWpHRZmKvbOe9hQVUF9TMpLC5jrjJhcKwLI/IM4+TVv4U5brQohIb9JOO0RdhfscVIaL1PHBWD&#10;0HyrRT6eWupB6pKbS/Qs8jgeG9FfcUB969vgLi8MKJMiCNdgxBPuRocaYSgMKBOGIB8hkOeQMMSN&#10;CIE85TXh2b+rJrS6RqqXU/8u+GulS3kOut5i5yuqR1rchiVMWpLnQOo4NkJQHFB/sEVYrqzohRFl&#10;5Hjuaw3qizq9crSgIXJ8eGIWnoRpCmMlys7cevhQiMBX8zX1OzolwBm65WMpPP8mJfM5BxvF8ZLt&#10;IdGoyFwaB8FAu3BI0sch0hrrECKXvXZ7a3fd8jYM2N/aMSgJjUasNy0rSn9zlKYdyscUSjEsa3fD&#10;h/2uCxE4ol15hpnFMztqVChK48Axk93CPq5sAy3CCctzghflbmnux3zq65bmLGfAEtlaxowUtx1k&#10;MiijREH6Gp3JmCDRhvWgz13x3BPeWtTZhoPQgOBa7zuH2nVL04gZc1ojX7jeKABSunwcgwgU1JjJ&#10;W3FSbpA6UdYEH44AIVqaYKClW4e4QJFPnrL9cJgcJc2We48194P00lbpPZLRQxKtOSfkkE42ZlET&#10;W0qcohVla5lBCaXMSeFanmGd4DVya80zsZi6rbVGbinJxfFpoQRy8uo25twda1QkKY2DYAa7EMCu&#10;zt2dcL3Dwl0chx3b9UgFNmY5Lq/1mthZK/uW9wAURTFm+VYsgZ2F6mzZGut25tj2wqe5U441WjEO&#10;yBF3eqAkcOt92LH/GViUNQ68B/TkrS+PGKUqY0ZSMnOZksxHT4llr9jmltcQQGEWJSXmUu9zHOLL&#10;bUI9njKcMES78uT3dkKjQlF4H5Bb79tHRhBzor8PkdZYQ3aisx4bTFE+eg2cfH1YF4VreYp87LXq&#10;eyx65TbZdut7TM0yJSU70Tj0cJQZlIxh9RZ4gSxwbnO0Pwwlivoc8qmPGFUv8O2jPAHzrI0Ylg7m&#10;ZWHMs34uOotli4Rbeco4sL3bI+/S0BlbF/0Sy2NZu2wPwiwvz5cp6YW/ks7E3RYBPV1n7OLqkRpY&#10;5Lqfsz2PKVHmmipE+DFDCYhim6D0uy/aNKASOqO7uYvEzWKb/XwsfY3O2MqjMhPcvq4zTEXHy9rY&#10;/7Dc+1NIjwo1Ra7hJuA3bmOdJnZsBfWxvr7IJ0+Zu7JCcwVh9cRONThYoiC9tFWaZ/JGR8tN15n4&#10;ArbhlCA9yNNzjbeY18htSJsQCnkKJWUd03q2NbAjbKW87kdOpa2SfAyg97uQDqXKJ/kJWISN+UlQ&#10;B3G9mBsrJmayl28xN6wSrGcsH4qaFOcZKFm7u2CJiCbkKdodSy8UBZ11jE6gbIC8+7rO2OpadAYA&#10;BwPHz88FqvIY8nEN7wXS7g1KKn9D49Ah/qW0XmPl43EY35onGmGdTUgvFCWdsXVIJWSYE11nHIC0&#10;6A0LCWaZt2nhVLM0wavwYmFYh1jP/A67sFx6oPR7ADovr3zOJHXjEKWv0RnHPy+WwR+n64wK/9BI&#10;L629o2MH92Jp7oa8nlGZHmP2YLv0vZvvO5+EIZO1hoylr9GZjPMqJI/qOhNeUKStLJ8kWi3WAUMW&#10;XuQZVhR+i1fBlhMKecp7NOZUKErvkYzJOuDOunxsX1NZJEM+DmPFHTnGSCPo1o/0xrCQsJ4JpRGa&#10;0dOS42bPxkDIe4JEHWWUvkJn2GT8r7aA5vwqqOqMDk2uhy22huKKCbY95W4UICY8yUjzaX6xMywk&#10;qkvFbRooKrTLKzuBV2U+x9ILf4V51vM5arELetB1xieN5RyJc2VeeI9bzo0wnL7jiFtQWusEJ5ej&#10;1o+hCdktsJwa54AJ6Wt0xqNHZb7MecZzYokwQ0NnnMm/JKbK2uXT2bJHjYYiJbBbN89AaYxYQmno&#10;rOPdEMWArN2QzznLzkDIe9RV83xGjdaMA59nl33F3BValFIr66znqPblwjglI1/Rr2cI+LDGgW12&#10;UMqMEfnkKWsIx4MtKWi+PLaYULSCLVFkzKIUPrFEFNtEgTGeL0Gjwl9pDWFEbrmseB8CrYE8Q7t+&#10;5aNidQbXMiNX2IrK8kVKa8RgcjvtolZZuU0yzpnSsi74tLtcGggy9j8eW9RhsnrnsV1iMpZlD5oP&#10;o1QztmwlL1dhRuj7A2OjVIXL4IXKEdLcXZtvDts2oLTGgVEH9G684R17oaBck09vbSfS1+iMLT4Y&#10;3jImBZ2xJjaWHQmMxOtsY53xeln1N5Y9D4SI2zTCGvueU16W23AWFk3Ik1ew0ObWCBxBm/zmbC17&#10;AgXOPJ/kBinOcgqPdTOrok1vt8LVa7YplAZ+jZ2b+aT4X4NP3vE25hvONnsym0Tj8pS9I1AaXoy+&#10;H89Qaau0zsuOsw3IjD6vhXZnja0kHy53Nte8O+3MdwXGpJsFOyMaBpWHeQ7urHOOnC6WBPQWx1by&#10;FZcoE1qm7NgDt9xZNl+gjLqXEZOnvH+i+TFlYWzJLCKNreYAvbx06tguGPUDrfHmLPhsuJpbO8KC&#10;LcDVHOkrRe2iNidzig2tTMknNyqvalDyaXBFVfmKbRJU5fREVV/KlLy2rubmKsyRJCsrdqvv+QwE&#10;SmNmTYynzJPCLMCJhnUb9gN1FuBMIbTG2ULKJUC7xthS2I3XrmV1kanpKQOnIp88+X2Q7NgVCv+X&#10;R2zBlhyqQBiW3IIRJVAas2BCo8JfYRxWMs4IGWKe1XFYcb4H5DN4WbNPcYWgk7ImVpxZj+IaFqW8&#10;jSgRbLTJ1XZWVOel+OZMSF+hs7W8mX2IklZ1JnmUKyAxZV7kVmmUQDa4lujW1QJbSlG+NdvJK8sf&#10;DlPK23ygtMZ2LH2FzqSmBhVkZp5VnW1B4t643rJttpzfYMu3RVOuzYV1GtyyX2G1sPYHiUNaLaw9&#10;Z0L6Cp3t2GrFOMu6p+psB9PSy2dYQXCL8UjHaE3hRZ5+PaOa2L5NAGHlebbjJL/VwjpB79i/slpY&#10;a+SE9MKfvp5R3W0ZZ+FZ0xkcaP7su1pgAy29R3CLeVsfXJffYrjFeO5akQ+Ljv2UKyuLB6PPO9DS&#10;8CpMSV+hsz7oIexwqs4ogNnPs3BKlx7kybNnwX7KFW1MRe0GC8KKRUWTPA7LUPJRepUn994H7eIl&#10;KvY+Ib20VZhnFCzj9BBjYVSdEbOe1rDSgQPy7KFaU0WuCd5zbcJAMyjHnFbIh1FjnkO0jSrfKvRg&#10;eFcXa7H6LKRtEdpcGfYnkhpFE4aVDnOe3/eVEQm7mJC+QmeoqS9jIra9qrMN+1BWMFXL44fi49yq&#10;4RVabDgff0XKK86eYMHEHD+RT578Hq1l7q6M9ZpuFBhKL20V3qOtvKdUN8XzrOpMouZW+F9ZPkoQ&#10;cm/H2vBG0L0FTGnYZ4sJTivk24n9vgorliYf8hx4bbVGZRn28Bh3JbzIk8ePYAmvCSOfZDHBqbSl&#10;j99SYkww56w5v+zYQwVaGWvpQZ6ea0Qc8JxfBwtbKOQplHKSovoLpTkPTlm7FhKMLJJAKbaq9CpP&#10;6Z29j4n0QlHQGZm1PDstGwWuIZmfxqkA+xCP9MaIg1iSCe77N9aJ5QSnFfItBYtZB5xNnfNhx8PF&#10;G+XxA2rHXBuYHNw4vM5TSmlxTizFFqYc7TKl4DYbA+FZTkhfobMVY+4ovSTvhqozChD142dYo3BQ&#10;yOwxVu/lmqO1wIcx58nl4nrHxSZlna2h1DpKCo71lCOPkeiO37gV+5ZWG2MPX05oVNoqvJubsB+E&#10;PAl1HDYc0YCl3Zi7uAiS5TP8QMuNYCxUrqM4I+k19zozTi90sUwt5Vj6Cp1tZY+hIk6eZ1VnW/Y6&#10;r6y8LHguRT4D+wWlaNfwduJ8IZowLNUlpSt57RoIFtqUdTdIb+sMgLasUQhCLetshWt8mBfDmgEA&#10;zDaYlckOStYZJWiV5hl653eTErTKlILsb41ZPiV9hc4kzhDvvqzr2jxDvLvoLOxB0oM8/YqCQ4HM&#10;iRDfJxTyFEoZh61xDqdrkvyIUTJxUWcUsOLm2dbwBwAA5jaj9MKfvp6tKGTDz+NwOlJ1JtUTV5an&#10;EDCP6MzArwGYMNqEC7HLmiC4zWvCsHQAh4nODNxtSvoKnVEohNeZefbF8U3eOCPeZrUSXBGXDJc1&#10;ATSTNQFgpjh7VrIHbA3rabUUjGdrvQ8T0lfojAx1rzNMDc+zOs/WYb02iv1gC5e11VjZ6dIv1plR&#10;4gR4gswzA1lYrTlTAnVejLd4QvoKnYWTPQHJhs42YUWxVuEtZ/LAWyM7i/AiT17Ptpz/AB9M2X5B&#10;3VDeDbfW3KVAFP8WGzG6dKkaUwbphb/CerYTOzzGfKjzbCfYAh3yi++R5F7BDjVWqZ2cLcyVPWDi&#10;WwRLlHsX/+024K+iCXnyiO3kvGlVQKFb3li71js2oVHpVR8HusCO2w/+U20c1uRs9nMi0EoP8vTy&#10;redwHzBleY1co06JUJZHbC1xzbhKz6KUdcmmlBV6Z2Tfo3feKW1KiXWglPLSfIGWWJ+4eM+glHeM&#10;pkO5Tc4AwsSRtUjGRp4yRuORF4rCfJFIFYyCjKw6XyRSBrTlFWzdy3mFHGxF+RACJvPF0K67UYXi&#10;U8i5WG4zzBcDzwKftSMm2QIYB2NsJzQ6HAekLj5ePd3+9S/8h7toBn9ffzg+/XSzf08ldY/7+7s3&#10;f7+7v3f/OLx7/cP9Yfbx6h7FpN3/WAUZ2f3D7BMVs0EYwLlNvL75eHMv2gWDnx6PL4+PPx/++hf6&#10;6/X+zb9+PswO+yeqaT37eHPAH7f7w78vZp8OV4+vLo7//HB1uLmY3f/nw/HVBQomUEj7k/vHckUQ&#10;zeyQfvM6/ebq4RpNvbp4upj5P394wr/wkw+Ph7t3t+ipc2I97P/24Wn/9u6J2Ixc8T8+HR89r/hj&#10;9vn9/cPxJWjA5dPT48sXL47Xtzfvr47fvb+7PuyP+7dP313v37/Yv317d33z4tP+8OYFUjbn7q/H&#10;w/765ni8e3j3y+3V4w36ps6u//sjNHD3hlIeyRfzcPX+5tXF3w83N2/3h/czZIg59IVJf3Gqw2g+&#10;/mN//b/H2cP+xzd3Tz/v7x6ewJN/9zNS+gfpe/b603/t36DlK8jqxP789uAmBnidfUbvK8njo0q4&#10;UMXVy5vPT7NrfIVYMhiq13hXgh0uP05n2NVHzDv3w3dv+Kqjd29YnkuoPVyfCtyObkV1zTK9kEEB&#10;gYyuWPULw9XL2BDMjkCBAEa6SneqIdh+gQxX3k+1hFc1kAA7WSgtwSIKZNMsYcUJFARHKQ1hIw1k&#10;CktQcyBBdUi66ntKOGyegUxpibbNQIO3RlW4rXFCyWNTmJAKV4R0BDqNrUzpSPzW2rK1TltC6A4+&#10;B03tdHALdBpbmeJRRE1jq0LztCiF/uBt0TRPcEugm55Y5MkIJAi50DRPJ51Ap4hIXvpAs9guNc0T&#10;lhvoFLZSzS827vrgqWlKx47QlMZWqnn4Funa6cm2KjRP23ToD+uZpnkCtgPdtIh0oggk8M2oTVVo&#10;nvw1SVu4GH1aRMINAp3CVqb5fqPNeWTEx6YUzZNLJHSH5GpN8wTPBjqlLdqVAw2gKE1dtMEFumkR&#10;aRcKJJTbr2iLUKRAp7GVah61BzTNU+2O0JbCVqp5RNnRJdxT85SCSENTGlup5lEpWtM8peBbbVEg&#10;SaSBb17hi8z+QDctIp3oAwl8h2pTFZontDO2BUxMY8vWPBXfiE3BZaw1VaF5Cn6MbS3cJfdTo0jH&#10;qUg3bT4QeBhpUCFG4YsSxALdtOYJ8Q0kPao4aE1VaJ7O4ElbvaZ5wiICncJWqnmkC2iap+DT0JQy&#10;58ntGWhQckyb8xSGEuiUtijVJNB0ODwq6qJCO4FuWkTy0AeSbqNuGZQBEeg0tlLN42IVTfPkGQtt&#10;KWxlmkfUgSZhheYJmA/dIRRS0zw8x5FOEZGcSbGtxU7bf8jNG+imRaTqO4GkQ+kSRUTC4QKdxlam&#10;+X6taZ7QzdCWwlameWBKGlsVmqeQ99AdgCxN8wSGBTpFRHIsB5qdesagXLVANi0hAcyBZKtuGFSL&#10;LZBpTKV6Bx6t6IqSyEJTClOp2lGiQWupQuuUABV6QwyQ1lSF0t09zKEteMOUtuia5tjntISuBFJo&#10;C+CF2laF4l1VkdiYenbFzYcVjKW679ea7l1lptCnMiPcrc+RaKlp34VvR7rpHdZhv4EITWsqI99n&#10;oFPUn51iwf20+Ub5RLGpREigaQHVuLoVoAP3oTPSgb+AMr0jfImgk8f9kUAVgj0Am1wKKFu+Px0v&#10;JhELblkmxqtHxAKHlokxwkQsKGuZGO8PEQuIXiZmeP4yRLca5CxjCMI0yFnKUMHMIGc5g4vdIGdJ&#10;gy+oTE4He1IMDu6EFLpLwGms8aupoecwxMsQzWu0zqIGgNsgZ1EDcm6Qs6jBNVImZ8D7MuB9BrnM&#10;3LqpywGMl8H/b7TOooYybwY5ixriEMrkdHSlUcXRtGZUGSS9xPGzipxHNRT+MJhhUUN0nEHOooaA&#10;ljI5Jx1chhgCg5xHNQQnGOSyItUtSXSsI72HcBWjdRYVJ7MavXNkxyUOX1XkLGqo+ldmhv2clyEg&#10;zyBnUUPEgkHOooYA0TI5nYZIkSGGxSBnUUNIqUHOoxqiFA1yFjUEyRjkLGqIWi2TcyzbZQhjMMhZ&#10;1BAxbpCzqCFk0CBnURGKVzPFOP/1MiTOlVvnQNLLEHFqkLOoIXzGIGdRQ8SCQc6ihtB/g5xHNXhL&#10;y+TOyqYZTGZ0jSqlmih+ULcKSxE+/KBuccKdJ/6lijevWDKwzGTYVskQDadKoTlZAZZWJrS3Q9gK&#10;PdxcP83IpQsnqfsvHJ6Hi9nrVxeviSvvJmZa8hiTe9fhX7NbFIrdONM1uut9IID/HuMTTI1IIY5o&#10;ptzS8TOllO/lOaArRyCEjivJAn/Smx6mEIJ5w290mQhLr5GJ6QxmJYq4kizwVyMTT6nwG1UmquJT&#10;I5PQWcxyx5Vkgb8KmeDgzTnVZeKg3VHr0gvPPUmqN5iVjivJRr0W5p6kBIbfqDLJpdKBUmSRJ8sk&#10;dBazWC5p2CvJRr0WZFqTryJ9S3SZ+Fw0an0oE9MZzErHlWSjXgsyrbj4UfiNKpOkoARKkUWePE5C&#10;ZzArHVeSjXotyUQeuKpxWnEo06j1oUxMZzHLHVeSjXotyLRk0yr8Rh2nJRfrC5Qiizx5nITOYFY6&#10;riQb9VqSic/I4Te6TBxOGChFFnmKTExnMcsdV5KNei3ItGDzPfxGlWnBQeyBUmSRJ8skdAaz0nEl&#10;2ajXkkwcbhh+o8uEeMvszRNZ5CkyMZ3FLHdcSRb4k94KMiEqJ+dUlUmKR41al15YJqEzmJWOK8lG&#10;vZZk4hS+8BtVJknpCZQiizxZJqGzmOWOK8lGvRZk6jicPPxGl0kuTZKjqsgiT5GJ6QxmpeNKssCf&#10;9FaSidOYwm9UmeacqhAopXV5skxCZzHLHVeSjXotyDTnkkvhN7pMFJmU7s4iizxFJqYzmJWOK8kC&#10;f9JbSSZOzQq/0WSiALgamQKdxSx3XEkW+LNlWuwYHw2/0WXi1KJAKa3L048T4ktqDO7QcVmmQDbq&#10;VR8nihnMta/KtGUccdT6QCahM5iVjivJRr2WZOIEwvAbXSZOGwiUIos8eZykOIjFLHdcSTbqtSDT&#10;hhNiwm9UmTacHhooRRZ5skxCZzArHVeSjXotycSJkOE3ukyc7BUoRRZ5ikxMZzHLHVeSjXotyIQA&#10;1cr3ac2J5aPWBzIJncGsdFxJNuq1JBMnOYXfqONE1a0r9qeF0FnMcseVZIE/0WBBJqSO55yqMiFM&#10;OKeU1uXJc0/oDGal40qyk2RiB3T4jSoTVYOvGSehs5jljivJAn+iwcI4IbI651SXiR21o9alFx4n&#10;lyFkglwU0u06NmQSslGvJZkohiS14lSZJL1+1PpAJqGzmOWOK8lGvRZkQp22Wpk4GXfU+lAmpjOY&#10;lY4ryUa9lmTiMhbhN+o4IdA+l15kkSfPPaGzmOWOK8kCf9JbQSa5QCT8RpeJi/YESmldniIT0xnM&#10;SseVZKNeCzJJofLwG1UmXAJeNU5CZzArHVeSBf5EgyWZuDxq+I0uExeeCJTSujx5nKjOOK06FrPc&#10;cSXZqNeCTHP2WYffqDJJonigFFnkyTIJncGsdFxJNuq1JNPQ+6fLNPS+iSzyFJmqnGXuUsuK4aS7&#10;L7O9RnrTZaI8mPw3mky42XNwepTW5ellCnTlAQgdV5KdME64srlyf+op33pSY0OZmM5iljuuJDtF&#10;JimhFX6jjhPSkapkEjqDWem4kizwJxoszD0kO+WcqjJtht43aV2ePPeEzmK2yp1IyVg5f9JbQSa6&#10;PSebUbpMQ++btC5PkanKWYZb0n3HhuhCdso4bYbeP1UmKQc7an0gk9BZzFa5E/sRf9JbYZzWHBQY&#10;ONVlGnrfpHV58jitq5xluJTIu34M0YUs8Ce9lWQaev9UmeRSh1Hr0gvLJHQWs1XuRMoizN8N6a0g&#10;E7IF89/oMg29b9K6PEWmKmdZLx0bogvZSJMFmZZcpi78RpVpyUVjA6XIIk+WSegMZqXjSrJRryWZ&#10;KG225pyLau51+5PQWcxyx5Vkp8gEyL5SJrpLIJNexkeePE5CZzArHVeSnSTT0Punzj0pIjhqfShT&#10;lbOsX1S5EwPZqNfC3KN7TjLtqzIhMTenFFnkyeMkdMYASMeVZCfJNPT+6TINvW8iizxFpipnGe5K&#10;9cdmS6Yhf9JbYZzoRvq6ceqG3jdpXZ4sk9AZzErHlWSnjFM39P6p4zQfet9EFnmyTEJnMVvlTsQF&#10;z4P9U3orjNOc8q6r1vI5Z8CMNCa9iExMZ8gkHVeSjXotyTT0/mnjRKntufQiizy9TIHOYpY7riQ7&#10;QSZKnM851WUaet9EFnmKTFXOstBxWaZAdpJMQ++fKhPVr8xmqcgiT5ZJ6Cxmq9yJuNt1cL6T3vS5&#10;12253G/Qgy4TSKpkYjpDJum4kizwVyPT0PunyrQZet+kdXnyOAmdxSx3XEl2ikyo+JBrX5dp6H0T&#10;WeQpMlU5y6jUhOvYkEnITpEJlScqZVpzmfRR6wOZhM5gVjquJBv1Wnif1lwkPvxGHaf10PsmssiT&#10;x0noLGa540qywJ/0VpAJ5YYrxwkFQHJKaV2eLJPQGcxKx5VkJ8k09P6p47Qaet9EFnmKTFXOMqpr&#10;UvM+CdkpMuGuhlz7qkxLLq46an0gk9AZAyAdV5KNei3MPbphLtt1VJlQ5CWnFFnkyeMkdBaz3HEl&#10;2SkyLYbeP12mofdNZJGnyFTlLOukY0MmITtJpqH3T5UJjo2qcRI6i9kqdyLV7ZnutTD3UJ8n/40u&#10;E1/ZMNLYYJzkagdDJum4kmzUa0kmLtAffqPK1A29byKLPHnuCZ3FLHdcSRb4k94KMtFNwXVrhJTe&#10;HrUuvYhMVc6yTjo2ZBKyUa8lmYbeP3Wc5nyBzaj1gUxCZzFb5U6kIlG5zqW3gkxzvuw7cKrLRDVH&#10;01O+tC5PHie5CsaQSTquJAv8SW+6TLuh808TCZWwaiQSsjKn0msd1SniDP1+qjhDt5uoSp5+gFAH&#10;20ltMFrlRdwNeZOu9NFB0bBc6Zo4csHzSFXShxdHyMriSK91VKMuC+LwRRrhJ6o4XBUgEIoY8mRx&#10;mMxglHutoxp1qYsjN4uFn2jibIZ+NhFDnl4cISszKr3WUQXepKuCOEMfnyYOqsbls1LalqcXR8gM&#10;Rqs8hpshb9KVLg5dSpktwao4Q++atC1PFqfKFya9loUWqhNGZ02V4dMdRRNnVVcaQsgMRrnXOqoT&#10;xFkNnXqqOEOfmoyKPP3ooGSgU0+ZUem1juoUcaqz6YbuNBFDnl6cJZMZjFZ5B+k+5GzmSFf6u4Oi&#10;iflPtNFZcv2ykaqkDxaHycriSK91VKMuC+JwOYbwE00cuQM8EIoY8vTiCJnBaF0RiCFv0pUujtwq&#10;F7hUxdH8U9IHi1Pl7ZJey0ILVeBNutLF6Ye+O00cVMzMZ6W0LU8vjpCVGZVe66hOEWfotlPFQa3F&#10;yfdyIA6TGYzWOQGHvElX+uh0tTUf5DbFkaqkDz86QlYWR3qtoxp1WRBn6KzTRsfVV033WxFDnixO&#10;nWerzvU35E260sUZuuk0aYZOMmlZnl4YpiornbusIjphYECavQyaJFXYW1UUoO+wLMeQK9GXjAhq&#10;grX7oChf7Pd+HxTOCuP7oFwJu+ySp69xHxRu/fL7Gi5lGdwHhYAhIIN0H1SP2+i53N0X3QjV9Z2r&#10;S9/1dKe7q1QXb3yCnRiKO/e4yanrtljeBkTQVCACgOiu+phsDdhzJMSlJ0p7AFgiWdfr7aUFttXW&#10;oK7Y2ny1WqH89CR3ePsjoc4dThWRbL5wlbEn28MQBkKVO8pICVQ7FH3TuCOTPRB2OntZre1ig5Wj&#10;QXhX6Hi3nKv6I6skEOoCp+Oxg+JUgfPx2Gmzhc6jodvtbkuVyifHgwJhA+GOSpVPz+ZsRFCNUmsv&#10;u0Sq09tLX4/d3F0wMskf2dyBP9TkUBnMBmS+UjWYXSe13izVBtMh2W63eoPZkMy7ldpiNibIaVF1&#10;mI5Jh+v6tBaz+6W2uGNea5ECJYMW4ZpWpSandSAEwEll6SfHhcDCQNjhdl6Vx3RgwKOqR7LqQos9&#10;QtvUFvORcfdETfOYjky/gMKV2U2gSOgat+bSbWvTLaYj0+9wW5zSIu31scWNu/RhskUCuwMhLr1a&#10;qy3mI7NVZw/VBIkt4k5KtcVsZDYrdY0gRC+0uMRFMmqL2cjQy6XokWKNYotLbD+aHrORWePl0lpM&#10;R2aJm+q1FrP7qXA3vNpidkHVCucxtcVsZFa9OnsI3g5Srxa4nkSROrusCvfW6i2mI7Oiq/20FrOR&#10;WbgLaSbnIyFagcc1CaO1mI1Mt9Z5TEdmjZpGWovZ/VXbfqmOTHaB1Wa1VFeK7Bqr7dxdmjcpNQUA&#10;BKk3m526PmaXWaFKj7riEm4bWtwucHeZokeKeIuE3YJuO5nmMR2ZLW72VVvMR0Z/Z7KrrWAkqG9h&#10;dr/VFlWxNR6zC65wZ7i6UmTXXKFFdaXI7rlC+q/OY7qaYQTVkcluu8Jar7eYjsxmh01TGRlKKQhD&#10;iNBtdWSym682mGdqi+k7A33jikZl+mQXYOFm+7nWJOERgUnUKYdJqDWZrmebhW6MUuBI2iTmrtZk&#10;Ojg4vqkGfXYhFsxMfdWlWMXQ+Xo5V3VJvuFASE2qCxBBeIFyvSg0mQ/PFre0KYJnt2StVvqszO7J&#10;Qs12nCi0JtPhQVFcdaJnF2bhCllc2qY1mQ7Pcturk4iiIIKGEBuim30EVgfKZa8vayjhHwkx0Zfq&#10;2pvdo7XY6ZYk+V1D32gStyoqguf3aS16/R3Pb9SCMvUVPb9YC+Ft6myn6wJSTpe6qZ9fsNUjUF17&#10;0fMrtih2SX3T3a0CQVP93N2kPLn55Hdtdd1a33TzG7c67FQ6p/lArfRlbnDzVmE+YaJnOt1g/dJG&#10;P4cF5uq0pxsO0nFa629nlyEDa3cv3rRGM2QAGoXyVT7Tl6nHHqhsRK7kShhPtIlL3dQ208XOXYeq&#10;sJmPEcqbp022W8im79rimirtFrLRBXRcz6LdQjbSDNduaLeQjTSzxPoHcP8SsEHNVTYcfnrZbiGj&#10;6lvp7Y/tFjLtckSOgrtst5AN5wyHWF22W8iGmuGAnMt2C5n2Vkl0CO45+8a3kKm3oDoDnTYTnIyq&#10;dhOY0X73Ieu6ZvuBA01+kAn9xRejeQOdbkbzPjpa2WP8BwfaOIc17ZZwhzK7kUbiMoQWGLRjNdIK&#10;hTyHlNKmfC9PoSN3uQtQ4b7le3kO6cY9S8zIlGySgxR/pcsGB36lbPNqLQilpQXp26Sr1NZYbtFn&#10;QVsIDhuOrqqtbsMpFFGz0oM8eeS6Ta22AqWhhdC3RSfy1NKNZSlpCyEag/mia2uJdyt/x0RL8hRt&#10;UTzKaZSWdNK3RSfy1NKdpi0EoAzk0rXVVetAKC2epfdaupNkm0s90vgrVbY5gkkGepAZIE+eCfNt&#10;rRYCpSFd6Nukq1tlJuQWGQrvzXxdPxMo0KhSW3CPnkhpaUH6tuhEnlq6OEtqtLU4QVsIo6rUAUqW&#10;nUhpSSd9m3SVc2ssd4228CoM5NLfxDlXdhyPh/Tk38TdrlJZgdDSgfRs0lXqaiy1SKC/hxTUVqmq&#10;3YYzLE1NrXdwDGWmpDAiT1YpAgUqCWt1v2bCsk530rFFxoIYZKIYi6xqHCdGRLRWGEaxn+PYaDN+&#10;t+RrvCKptC9PHh2EJ9aNjiTsmC3KPYcdgmT8kUi6lCd3veDIcCqSVyasKmuzW3AJAKtbudmx3Kko&#10;xhhvUbRFVjctxiMsOitMi54dCh0KgHg9qtOi5/saO8CgRZXLpQNUtiAnvP7w+u76+5t/X+4dePg0&#10;+/zqYodgF55FHOvMQ9wxqAj/MjWDSH+m5zQJ/pxOv1mzIrWQy3ENzeXcDAlFFSYhV3aJDEhL8pSu&#10;uSplhzCgctehxaHGhi1yMhLCoqwW5dWUcZWW5Ck8MgpR0SIcdrRmm8PPdcFs9XBSsfkOd1xVF97h&#10;otQUj+x4RHRESd/bHSNsm6G685nkVQRqhBJAcg/hyjzEx14hCGJKp+ecC1ugXoPnIW9zoP45TzqE&#10;x+Uc57/iwZpzOQSPwAgnuzkDQ96NET/mvMLwaudtDjnh9wQZDzWccMEa+JYy4Xm1RVxw9rFcZBdw&#10;q9IbO+dNvx+Ods6/6EQunRx0yQnOUE3GCePxEXIrcsJFkuHPr9EJzyoECqRduggPenGGH/OyJ3M1&#10;l24wOh1fToPpknMypGMflShavpanvPVc4XYk2JCO71sYzs4hGZdtM5a58WYj7RR2KLnzhI7mXnR1&#10;h5pLdVMMW1FLYggvEE5dJuSqvkgQsAi9RbscpdyJiLKYYFbTYrJE6Eep6+2OLZwFAuzKhOzfXSBF&#10;okwoBVDC0iS8yVN4lDRVv/NihxUCecq7J6W4wtgIQWlA+W7yFQImPb/6gPK8WmGpLYmGqDavVYSG&#10;W4SI4qG1fLS4COeiAy7FSfcvlLre7niTXxubPMI3EbuPrldARMstUqQRERrb3W4+0qQIUVI/z4Jt&#10;UJWufl7NqS5siWNEovEZcY4tp0RJ+S5ONiyKMvrCszx5AKBYR4l91miSF+ktVvxS3xgor9couXRZ&#10;UpcYKR12Dt+8ri9+t5FaU+YZV/N4VpB7aDEtts8CAS4l8ZBU4xWGUnXlNkHJp+reWgnkghxKFrJ6&#10;5+2M7swu8QnZhTJotGYcxE5dBp71cQi0PqGzsIAJJZXLLHMt47A2FgRYY2wor9F4qc04Ygi6r6VE&#10;4+U2w2nKm2aq7JTW5V/FpaGlhDLoXkZMnrIhiD7jKAlF8R3jw8omzB19bGX2IMq9qIk4z7bGngxK&#10;b+Aj3ay8NEfKnTkObDl0O2+BFsZBKJHsVpQI84VHbIvyguVZIJQbhLMblKJ75FiUKCG7UIZRqhpb&#10;v9b08/C262PLbw4K+5c1gXfMbyM9mjW4lirJyOUuUmKW+02sR4q2Rcm9072JJZ2hTb8WQKKypRnW&#10;5J6uAiy1iXEYabRmHKTe4iJEIunjIPXP6TrWEi/Ym1kTVDDJoPQ7Hq7PtLQrZioVTiq2uZXqtssg&#10;k2hCnmJMyJESyZpGm1IrboEkr1LvOznoIwF0KJG+1m3Fr9evw6+0cQCtX5eQ7zTsYSAf8Gq3luNa&#10;N4NSboDvt4aNsqVlk8xQGAnW3JU7Celir5LOpqQXSUo6k2rTSIzl9nWd8T2Ri86ylzYMFi0oB6HI&#10;9VbenR2whiIl0r68ziKnNfKxNQhQW+acLh+vfIsFXpMyL3wwWSwt62LD3lMch423eEN5ipgTC2QU&#10;l3tHarKnROpxmXI3lr5CZ1vK6CJOkIjM7as6o43V0a4NSyBYOqhgbcxkJJz7NjfWG7dhm2ixtnaL&#10;DdeYlkIkus2w4TcOF9Abc3cj78PKg4Z6mxMarRkHAQK39ru5ZdsNiVPG3N3yERi11i1K9koszaPn&#10;WmY5ElLLM1JugVgg29OglNIxW0BPxbdxzdjUYgtwpUi5HWu0YhyQZu/mI6XRc/vq+7DhVQq30Bm8&#10;bBjLX/bWDiT3VC4XlvW04nMqoDLjHVvx/oca/sa6u+aIhmUXYvNFZ/JkS4COb7QWLDtMxuI4TGhU&#10;2irsVWtKA6b2UXzAGgdCqwa00oM8hWv2heE+BYPrNZdJhW/RWMvXDMovkd9f1sSSge3lam1SensX&#10;whvvLRJMWfatMQdXvNYtlwG0F+3Ik7W04jKXoLS0NB4laas0tux9ozIQ5tiyzbDcmlwz0IVjuLy5&#10;wos8Wb4l47JLC+raLhkPXW6Q/1uc5UsMqZuDtE0VKVEkgymD9MJfQWcrRhlWdIG3b19dl1Y8d1eI&#10;8CzzsuK5u8L9U2VKFOJwXFOhDYvSn66RuW+sS0v2t63oGFrU2YT0NTpji4hKeXD7us7YulgtrHdz&#10;xTsl6loYc2LB+wPSyg1NUKc0e1D5xxoHtgdXdPVmWWdj6St0hpnuOVkHbETVGVY8T7uxEBecDZhy&#10;5KAVnvjdXPDas1pb56oJTqWtwnu0ZCx+heoX1pyQqsBwmwit9CBPWVF4f4cZaYwfLqJ2mkCKskVJ&#10;FSFoTtDxtTjSckMLqktYfI6lF0lKOuMZv47YjzonCOogrhEfZvCywIblKcPJQ3iRJ2tXoifXFNZU&#10;1gRb6Wu6ZqZMyUjGurfOasux9MJfQWco4eOlQ4kea54t2KJerywEmZYHp7N1sE6FF3myznCxIlNa&#10;FgSQMubUarNnW2O9wqZc1O6E9MJfSWeMlKy3AevV5xmOi04TW+tcLGvPemet7BS749pEEaSyfLiN&#10;j3tHabKiJpA8wZSYRkVKCcVLpK/QGR0oiOcNpUH59lWd9Yxm4xYCY+2BP823ap4YKODN9T+3/IsT&#10;nNbIxxY7Qj/FRtDl47eDSk6VdY0ypJ7rleVtnjMyizZFv8K1PPmNkzt5cf2FvPFCIU95N/lUvrHC&#10;IXDQ9/tmIr20VXiPehm9TYhL0XXGWMkGRZ4MnQnXWyNoDoW8/Mq+gf1cbhMlv/w4oCCUQcnv0Qav&#10;cZlyQvoKncl6uaVIMuM9ouM+zfktRVgV32kUnvWUVhDfds6RRNsOU7PYptynjJ8YmpjzlaEbci8U&#10;25yQvkZnfCah8mmmznht3S6MYJgtyl96nS3NVZj3cEwzSxN8OwE8HYYm5oEynLNEE/KU952q09As&#10;MG32Ob9jcDcaYysxvIlGpdfC+95RNUviZB3sP/V9R7Ulpg12ifQgT1mlOBgF8RDyRgiFPIWSkQVE&#10;OZS1u9nJ+7AxxgGUfl+B56/cOyhFIuPEgNfA7+/blTkOY42KzKVx4FMAQm5knPVxYB8twpkMtILy&#10;oN3omnhrxzMSETrG/hcpjRVsI/eHo83yWp5SWiMm64Z1skGbPLYU9FVawTY7RkMB/pTn4JZcyF6f&#10;YZRqxpa9QDtU4TLXOvb7UoHFItfwHXrbG3kT0qrwIk//jmF/9DslyhyW5duI7wy9W20yuoUpWB5b&#10;KgDpdJZIL/wV3gexnXbLgI+r78Oc8SWY3mX5oDPWRDxZCS/ylHWJT247grlKsyfKRzcrGZT+bdyZ&#10;aK8rHodVebe29mlX5c5RGuhIHNu1sTuB0u+ieH/L+gQlz8G1oXlQiuzGORWUfm+kgqBFfcZ5DejL&#10;omQ+ASxalMLn6A0fzJCJGSoUpXnNO84Oqw5zos9r9o4jZ1lopQd58myd8463i7uHUMhTKNkWhllX&#10;XhW3cwDAtNYBwCq/ARsJk97RH6U3AIVW/fqJ3dQaB46oppKrVpuccEJOO6N3vyNA9+XeceVDoBxK&#10;pI8tbAQ/cxFYGxzS2uDC9PBsE3F5xw3vDkjNV4JhFtSpNCwvRKV5GUFqvT50aqOpQKTlXYkK3zIp&#10;FVYsDofc4gixLFKJmMFqZ0Ruu3Oj55WOkkUGQrQuDPfhMOevDSpo+JcBDBhRqpOzQForTJ4NZoHn&#10;exGsOnXy0OGcia3JI1m02FKMyBmqMCytWov0SgIREZFoaJmcoDx5jIAVRLYIA3SoLI6dRBJg8li8&#10;Tmm2YkCWnHcD+yUcJtUBoQwRL+TS8GdsUHuYSVFntixkzxsxxs7AH6mUs4yd9Yoi9ENIDT8QTlrC&#10;a9RBheo6hmZQrjZ4r1TVkavPq85ybW9C+CuyLsqzbo1EeG51aYQ4bMQoxEAHv44IKU+2pKXAFJGW&#10;t0+4cr2pmepAWtOXAaqfzXyjPjbPDk11QHtFyLURJYowB9Ey0N7irIN7QFhAeeEyKQWL89gZRwtU&#10;3hBeV4bqJnVQoTqyqj0zFDbiVw9VdaEGCe6nEWLpQ55+0BHNIfoAbFbWB0qVh9Erzw8UWRZu4Zoq&#10;t0qBHF4w8v+XlsX1lA5EnMKsi2sS6p1bqkNwNrMzzuKRvlh1lC3sOadUoiLnZDLx6Blo+Vr8Igga&#10;hT1ZbLWXBIv5xjihUE144TXoQMQpqA6GFv9sFywDddZJvDJK5hkWBzLU5NXaGT5OFIMSUivNYrVj&#10;pwBUZ+BYmEmiD4rSLWp5Sge26hA1yj2QDWzMulUwI7CglgedSvHLkKA6Ronz1ZphPRQzxEwpkk5x&#10;WyHkkm9lRpXzYLpq8wOLEk8mVDovH2kRkcW7OPC48qoEW02WGop8LwopjjZMUAN/WqGgvWjZCIMG&#10;hMK2baKDCtXh/gPfA2BMOXaoqgtbM5yZ5ZFcStUAKDmAS8KOPP0Chqg7YWFurEow5oKQBjyOpApW&#10;HSa+MXZTOhAe9VVpuZUtAyH48gpoqoOBxKs0MtwN1VHGhFulMZ1lSIQdebLqcNUEk5JmSrNukltp&#10;rSDkitEnvAEhBE0VUgKOcNY0doLlUmpzIY2zPDyY2DKS1tF8KRFBGHxLyys5C4JZ2Y5FH/JkLU/p&#10;QEgKquvlRI9LOWQ1VVVHh34/6BaAvBTnABg3TixQsrxauBCuPD+QuiWzLqBmIqQ8WR8S70PvtjF2&#10;UzqQ1nTV0eUkoo2wemiqw/QQIa3I2QWFiXotW9D/YhcGpDfM7kluK4Rcy+kFMRrW/EAChKx841Oi&#10;9OWHB1GNMpWWUGNpUVhIxDOmUghPkdbkKa0KxIB3WwwJIZEnk0rENSZqGD0hkaeQTuhASArzY8He&#10;JGxI5oaPHB5ZT5eG74kusOH5YeEGSFOXqbQyVulFqCiFF1YGWoSUJ+uDcjJ5GQjnKyGRJ5Mu2HuC&#10;sTO2TeRQyeRZGMDFYkqz0nFhQCjr1fNNwel+zqkvLO6QGhFLH/L0QmL+iD5WRsYD3RPErZLVVJz2&#10;ZGewlo2o/IUU6YGWjXBiBFmMdSDi6Kqjq4hEGwEK0FSHMgoiJKWXlISEdzG0awAXiGJi4xXBLeW9&#10;sN/IOahbGomH4JWPTB0ScMq8TumgQnVIUGDVrcOapKpOsgpgu4YwDOlDnjzrKOvPz491iHQUEnkK&#10;qZxoYUSWLbB+GVq14mFwd6O8sASMFId5SgfCY2HWdXL0RdE26UFVnThAobqwU0kf8mR9xKoXQF/K&#10;nMMlwVpeGhmD/ZyzILHeG66qPpTTw9YgggmP8mRep3QgJLrqUD1BVg8bPuzgqpCpZLywKLwig742&#10;IspReTAsA4ZvAjiOzGULE6SrxphX3CRWHLtJHVSobhXObwQKlLcJvFCiZ4DSZXaQt8ecb4x3G2uR&#10;rBlk1pderQ5ZaKIP4y3EaSO0OsoaEr34WddN6UBICrOuF6gI80RWfu2FBVoR9GGEF2BfkyPkxnBR&#10;wtyXAVmFs6BwLk8Wkk7EbA8YGRfIT4ykMiekNXlKqxM6EBJddZRb63nZhCVJ0xz5zJnWyv+Q0nLd&#10;JjgRhBd5erYpM052k/JrhVoLQmmAahEzMWuGTUgv/Ok6W3PyB+7swGpXflGl1DBojQoKQA1Fu8Fs&#10;F17k6XVGdYp4HIxswXjaWRu27YrTCjGNDSsHSScyDkasOC4oFErDrzWlUZFZH4eIfWxDrIE2dxdh&#10;vUSQdHFlo+wbr92tgdNIOhRdmCLzQLiWpx+xPowYIjuKvfdhn7MpZb4g9cZoU5YmkzIsN7jdsdgm&#10;RU3ze2usBaGqMgCq8k4Vj1drI+9nauRF4/p8CdMxDqw2XQKwZ3ncwjkihlMJI/L0U0BeGisZV6ro&#10;wZoU3FQakqesAjIAxuEvnLzWxkYdQAyKbSht/hOKFN5E+ygx8Xj1dPvXv/Af/zg+ub+vPxyffrrZ&#10;v6dazsf9/d2bv9/d37t/HN69/uH+MPt4dY+rsNz/mIeM7P5h9glxQFQ24NwmXt98vLkX8cDUp8fj&#10;y+Pjz4e//oX+er1/86+fD7PD/olu5Jp9vDngj9v94d8Xs0+Hq8dXF8d/frg63FzM7v/z4UiVqwmf&#10;mj25fyzhUcI/Duk3r9Nvrh6u0dSri6eLmf/zhyf8Cz/58Hi4e3eLnjon1sP+bx+e9m/vnojNyBX/&#10;49Px0fOKP2af398/HF+CBlw+PT2+fPHieH178/7q+N37u+vD/rh/+/Td9f79i/3bt3fXNy8+7Q9v&#10;XqCQ39z99XjYX98cj3cP7365vXq8Qd/U2fV/f4QG7t6gsMqcco0ert7fvLr4++Hm5u3+8H62IJ8m&#10;GGPSX5zqMJqP/9hf/+9x9rD/8c3d08/7u4cn8OTX2oyU/kH6nr3+9F/7N2j5CrI6sT+/PbiJAV6p&#10;KjicAX6jA/Djerx6efP5aXaNr+h0dI2AMIQUidUgP05n2NVHzDuwevXy3Rs3A+kPlucSak+us6Vr&#10;bx2zKQl6CSRAO+iuY2TkuZcjJQOXgczd8ztqCFoMFIAI6c7oqYawogeyrptkCSZYICm0hBU/kE2z&#10;hPU7UPT+XvkplrCFB7LphmBNBwq47+gK36mGKIs60CnC0bAGGlSn0hROcHygm+aKDoGBBDiSpnI6&#10;8QQ6ja1U6aW2bK2TcRG669fLTtOWrXdCspOmtpriaUkKdIqEhNcGmh6+boUtKjsX6KYVT6BkIEFw&#10;nqZ42jkDncZWpvhCW7biKa0wdIcjoKZ4sr8CnSJhpngk5SvKosNjaEqRkA5KgabHxThaW7biyXKI&#10;TaGMmNZUheIJyKxqy1Y8jhNJU4AYNLZsxdPBPXLVqTOeduRApyieCgwGml5f2+lcFOim5wPtkYEE&#10;KTaa4uEqi3QaW5niC23Ziqekm8AWlKUpnvwfgU6RMFU8/JrajKdIytCUIiHhRpFGX+MpCyPQTbNF&#10;eH8gwWFcUzydrCOdsq+mii+1ZSueol1id/oaTzh2oFMkzBSP+mHKy0NRVaEpRfHkcY80+hpPRleg&#10;m2aL6kMEElzooymegL9IN614OnJGmkJbtuLJXxqb0td4Or8EOkXCTPH6Gk++1tCUoniqmhJp9DWe&#10;DmqBbpotin4JJDgFaYon30+km1Y8OTkiTaEtW/FUoy02pa/xhHAHOkXCTPH6Gk/JuKEpRfGE7kUa&#10;fY0nPC/QTbNFUdGBBGkomuLpDB3pphVPTodIU2jLVjzF8Iam9CWeUn0CmSJgqnd9hacMjdCSonaK&#10;Iwk0+gJP8YOBbJopCgQPJPr6jsiFSKYxlSq90JStc4ryDkzpqzvcdpFMES/Vub64Ow9j6FGRD5F8&#10;SX/66o65m9BN8+WyP0OH+pLsMmsDncpYqvlSY7bqqUpvVKq+wLurwQNjmpCp9vUVHoGGSZ+akNnJ&#10;VV/iXXiaxdjg6KotNS7gNLSlMpZqX1/knfsqNKZoLDu86qu8u6PcbCvVvr7Mu4T30JYmZHZ8VQ+v&#10;VA06zh5Fxvz4quq+5vTq7msKvGdbBlDRgEhd3QpIdf35gVEq/AWE8B1hg4RePe6PBIgRZAXQ61Ic&#10;GKCibxViCEvEgo+VibGCErHgvmVivKhELB6CMjGWQSKWIJcyMb1rRO2hOGjJIGcZg0feIGcpQxKL&#10;Qc5yYtp7uNggZ0lDPE+ZnGAZEhVzt6Z1mruOvG482S9xGYKvDWZY1JA/bZCzqKHMYpmcveiXwV9o&#10;kMvMrROVwxIvQxaT0TqLGtycBjmLGvynZXKCHmiYQkaCQc6ihhoPBjlP4OAaMshZ1JBOZJCzqMGf&#10;VCbntMnL4KszyFnU4IQyyGVFqluS2GF3GdyWRussakjrKJNz0tIljtA17yq7LS5D3QKjdRYVJ+Gq&#10;1nlUQ3y70TqLGtJpyuR0oKUJHG6CMch5VHEwreGdYxIvQ9yL0TqLGkK+DHIWFZEwNcxwPafLELta&#10;bp2jPi6Dx8kg51EN0UAGOYsaYj8MchY1BICUyTmx/jIElhnkPKohg8EgZ1FDVQuDnEUNqRQGOYsa&#10;ajSWySUe85JORDXTwJ2IaMrTsafuBywvuwJtMwXhIe6lireMWDKwzDHJyfhBNJwqheaMFlhalUJz&#10;aCB+ULdMSUAcflBpP3FFbfyg7v2VYliXXaUN5Q4AbqRh5VeNtJhRZMonP/Ajzrb64eb6aUZBCwgD&#10;cP+FS/9wMXv96uI1/cYHQjAtxUS4AAYc1m/hvqYZRCQxDiWNFhE3KrqLBBJpkREC22L+5Gt5ejI6&#10;nkJw8mFX0cWZLe3IM+t2TCbxHynH2U8AdzEHZZF6KqDgVS5dyzMTqZaOfOXF9vy+N0FmiUQ+7zqR&#10;rFJCPErkjS+yKnSxY1GNPFOVJ/zJ16ZI2xABZIySFaUmrFbThY6FV3lmIkX+5GtTJGB+daO0Ce+6&#10;tC3PfOJV04WOpR15ZiJF/uRrUyS6T8a/IsYoAaWsmlDVdKFj4VWemUiRP/naFinE9hoiAeGsEqmW&#10;DjXti+355QHZQEMyUyRAnnWjtAxWsahLnvnEq6WLHUs78sxGaUxmikQXEVRNPEC0Ra3K8lBLFzsW&#10;UeSZiTQmM0WiOvZ1IhkRvEGkWrrQsYgiz0ykyJ98bYoEtLdOpJiiL23LM5941XShY2lHnplIkT/5&#10;2hQJQHGdSECnqyZeNV3oWHiVZyZS5E++tkUKK4qx4lXabhTLUid66Fh4lWcu0ojMFCmaWmWRul3d&#10;ildLR7E3RdF5ER+TWSJRzEvVxMMEqJp41XSxYxkdeaajlPAnX5sixcsnjFGqtN2QBVE18XBdUzlb&#10;wo/SBJkpUrShDJEqbTekk8muIGqVp9c+L/YUL1Qx8SbITJGiDWWIVGm7Ia+gboLGjkVkeWYTb0xm&#10;ixSyZQyRKm23rpbOym3miTcmM0WKNpQhUqXt1tXSxY5ldOSZjdKYzBQp2lCGSJW2G4r310282LGI&#10;Is9MpDGZKRKlItXYeEj7rFvJqulCxyKKPDORIn/ytSlStKGMUaq03ZJyTcKDPD2rsuLFjuV7eWYi&#10;jclMkaINZYhUabshTqJu4sWORRR5ZiKNyWyRale8StsNuFvdBO1CxyKKPHORRmSmSNGGKo9SpYlX&#10;SUaRdzUb7ZjMEijaWWV5Ku27SrLYq4yLPNPxGVNZ0kQTy5CmbqGrtOxiryKFPFNpxlSWNNG6KktT&#10;aa3VklXZdJE3kdWSJlpMZWkqDbVasqoDbOStWpqwdJSlqbTRKsnGJprwm860MZU1NtFOKktTaZ5V&#10;ksVeRQp5ptKMqSxpoolUlqbSMqski72KFPJMpRlTWdJE68iQpm5Nq7TdYq8ihTxTacZUljTRMCpL&#10;U2m31ZJVrWmRN5HVkibaRGVpak2xSoutak2LvFVLU7umVRlhlaZa6FO4lGc6z8b2nDUywV4qD4xU&#10;zZFO5ek7Z6O/iih0KE3IM5VjRCRiwNXd6gZQEOHvvW4AQmTGdQNcIEhWDOBr1A3Y0ZXpFO4wUTcA&#10;gU2/at2AnpL03ZEkLQiQpmKcUjdg1FCa/1LI9oeyQ5x5N81SmgZQaAmBSqElFyE/YinNwDilbsCo&#10;oTQBoLpuwLRwtD4Ftk+qGzDiapB8oWbY5XUDFLZSpZ9UN2DMVqZ22PxKIijFUAVNTA/geXUDpiXM&#10;Ei9OqhswkjBPvICxq0iYZ14obGWKL7RlT/fz6waMJcxmPAxgRcK8bsC0hOfXDRixdV7dAIWtTPGw&#10;IzURbcWfXzdgLGGmeNiDCld53YBpCWGZxhfspLoBI7bOqxugsJUpHvCXJqKt+PPrBowlTBVfXTdg&#10;WsLz6waM2DqvboDCVqr4k+oGjNlK13jy0yljiANFnILTazzyGiJJB1RHaSqvGzAt4fl1A0YSnlc3&#10;QGErU7y+xlPhP2NHPL9uwFjCTPH6Gp/XDZiW8Py6ASO2zqsboLCVKV5f46kSsKH48+sGjCXMFK+v&#10;8XndgGkJz68bMGLrvLoBCluZ4vU1nu61MBR/dt2AsYCp3uGoUBaavG7AtHzwD0e+4XLQmsIZzhDv&#10;rLoBClOp0gH2a0zZOj+7bsBI51Q2O2hAX9wHdQOm5fuCugEjvs6sG6AxlmpeX98JEovamN4Ov6Bu&#10;wISQqfb1FX5QN0ARMju5nlQ3YMzY4Oi6UKbqoG6AxliqfdxsoDZWof3z6wZMCJlqX1/mB3UDFCGz&#10;4+spdQPGfOXHV1VdNafXQd2AtC3Ao61uwERhhJj+xtEBRroc5zfW5r5Jvp8EAxqt45VwWWaVeW+S&#10;6ycRpuXWW90AreAFF9m+BKDho7zKimx1AzRF8g1Al61uwLAACx296dVudQOGmml1A7S3qdUN0DRD&#10;ddvobWp1A6bLPbmjjbMkUPesZktzdc/8D+qMCXdIcT/AQaSqh1Y3wN9jUCy91X21ugEwXL9p3QBv&#10;KNt1A5huXBBgKvojqWsgX0v8x69RN0CsdGlbnhzL4llF3YAquomCAHl7PmlkgswSKcnLL8fm2PUA&#10;WCQz6FhED8lsIoo8sxid08OOcQ2yKNUSyQrSE5Fq6ULHIoo8M5Eif/K1OUoxwNcQyQwrZpGq6Spj&#10;9UZkpkgxytcQyYwtZpGq6aoC9vrIX/Uoxbx8QyQzwJhFqqWLHQuv8swm3pjMHCVAnrwlGyKZUcYs&#10;Ui1d7FhEkWcm0pjMFCkG/RoimaHGLFItXexYRJFnJtKYzBQp5uVbIlWuZGZcsohet+JF/kRiU6QY&#10;/muIZAYdM6vVdKOlTHjORinyJ1+bIsUYYEMkM0CZRaqmq1vxIn/1IoW8fEMkM1eMRaqlq7Px+jGZ&#10;OUoxa6sskl0PwItUS/e7qBvAIlXaeBMFAWRmpe/SBJk1SklevjFKZtaYiFS3MiYdiyjyzEQ6Pb8s&#10;ycs3RKq03ey6ASx6NC5FFHlmIo3JzFGKNpQhUqXtZtcNYJFixyKKPDORxmS2SCFFwhCp0naz6waI&#10;SKFjEUWeuUgjMlOkaEMZIlXabnbdABYpdiyiyDMTaUxmihRtKEOkStvNrhvAIsWORRR5ZiKNyUyR&#10;YnaXJVLlSlZp43WxYxFFnplIYzJTpGhDGSJV2m523QAepdixiCLPTKQxmSlStKEMkSptN7tuAIsU&#10;OxZR5JmJNCazRQoriiFSpe1m1w0QkULHIoo8c5FGZKZItTZeJTxXSfY7qBvgNV9p3o2huanxGVNZ&#10;wxNtp/KEqzTtasmqyqNE3kRWS5poNpWlqbTqasmqTrGRt1pposVUlqbSoKslqzrARt6qpQlLR1ma&#10;SluukmxcEUD4Tde1MZU106KdVJam0oyrJIu9ihTyTKUZU1nSRBOpLE2lBVdJFnsVKeSZSjOmsqSJ&#10;1pEhTZ3xVmm7xV5FCnmm0oypLGkQilmHCluV6/x+U2nexV5FCnmm0oypLGmiTVQem1qTzaobwOZN&#10;1ZoWeRNZTWlq1zSjboDn0qobwLKEPoVLeaYjc0bdgLppZpQE8DxWEYWS/MK/PFM5RkQyJK1uwK5b&#10;/hHqBiDsfFw3wL0vX71uQL+be2c+qny7uweuXt58fppd4+Y1inpxdQPi7Ref3x7eu9vXPhyffrrZ&#10;u7+vPspVbiFK+90blucSbYekDSVJP02A6dcrivzuN2AKkTlpeQEwE1qaTnhI6wb0626jNHRi3YBC&#10;S3YWQJrc2C+3a4UlO7cxTQDoV4ul0lB+baOSAJApfDnXFE7Db2g8T75YrDWVn143oNCWrfUs9aLv&#10;F5raT64b0G81xVOAelCWMtGzxIu+02e6rfg88QKXzSjzoSbzAjZTZL0vtGUrPqsb0O3U+d7bEx63&#10;7CVczdUZf3LdgG6nzniKpQ+DqKwx6SLTbdUZT3H2oSllPuDuvoSm0Jat+KxuQLdRZ/zCVjzCpBKu&#10;NuqMP7luQKev7Utb8VndgK6wulcoHjcJJiIW2rIVn9cN0Ff4pa143ECYcKWv8XQFoTW18roB+hq/&#10;shWf1w3Q1+VVheIRvZGwXmjLVjzuPEya0tf4k+sG6Gv86XUD9DWebksMgzi91OR1A/R1eV2heNyy&#10;GLvrCm3Zis/qBuhL/Nqe8LicMWFKX+JPLhugr/BAKWOX02rPqgboizJd6hgGUFngEWwbaQpN2UrP&#10;agboy/vGVjquiYw86av7yRUD9MWdUkGCpqZ1nhUM0NfjbYXOcfNk7K3QlK3zrFyAvrJvbZ0DeYk8&#10;6Qv7yeUC9HV9Z+s8KxegL8WUrhJGT5nnSGWJNIWmbJ1n5QL0RX1n6zwrF6Cv6WeUC9AXdXepZlDW&#10;9FTPywXoK3GH03hUqqJ4CjdLiNRjwOnlAubKgcIl25gipvM9s9xbKreW9MTZ05UJSXi9XQKT4JXl&#10;pN9wi6nkKRjkeE9d65X5V3gZHXld9lVL5dYyA1sqt6aZJdZCmmLtCvhhBjKCCJxm2hXwQ83QAYTm&#10;TLsCfqiZdgW8ts6Q2Uxzpl0BP5usN8PLcMxyMAwJuGmdPr/0CniYjejpS64ex8Aihdj5lfSrx8Xt&#10;hO7KnnlyU3FAgjhs5ekdt5wwXk3H/i50LO3IM3MEj8nEFZxynP0ER+C60IlVWCila3nmItXSxY6l&#10;HXkq/MnXpkg4QdeJhEN71SjV0sWOhVd5ZiKNyUyRlgB1fSUCY+LhyF8nUi1d6FhEkWcmUuRPvjZF&#10;Ag5QJ9ICJwIvu7Qtz3ziVdOFjqUdeWYiRf7ka1MkwAh1IgG5qBKpmi50LLzKMxMp8idf2yJ5R7u9&#10;4gH1qBKplq4PHQuv8sxFGpGZIgFTqRulOYDlmolXSxc7FlHkmYk0JjNFAjZeJRK5XGtEqqXrY8ci&#10;ijwzkcZklkjdLiw85RWP3LV1ItXShY5FFHmmIiX8ydemSED460ZpW7fiddV0oWPhVZ6ZSJE/+doU&#10;CQ6COpHgk6gapWq60LHwKs9MpMiffG2LFFYUY+JV2njk1q4TPXQsvMozF2lEZooUTS1DpFXditfV&#10;0sWORRR5ZiKNyUyRog1liFRpu3W1dLFjEUWemUhjMlOkJZzyNTZeV2nj1dOFjkUUeWYiRf7ka1Ok&#10;aEMZo1Rpu3XVdHUrXuSvWqRoQxkiVdpuXTVd3YoX+asXaV458SptN4SD1q14fehYeJVnNvHGZObE&#10;izaUMUqVthsAiipbkEIniou9j6WdIDNFijZUWaRKE6+SDO5I2eFlbOSZjdGYzBJoF1YdQ546u63S&#10;DIy9ihjyTMUZU1nSRNupLE2lyVZLVrXMRd5EVkuaaDaVpam01mrJqla4yFu1NGGZKUtTaahVkm1C&#10;r8KnPNOZNqayxiYaS2VpKm20SrLYq0ghz1SaMZUlTbSTytJUmmeVZLFXkUKeqTRjKkuaaCIZ0tSt&#10;aZWGXuxVpJBnKs2YypImWkdlaSqNslqyqjUt8iayWtJEw6gsTaU9VktWtaZF3qqlCatLWZpaU6zO&#10;YhtbYsJvOtPGVNbYRKupLE2dEVZHFfsUGeSZyjKmsmQJ9lJZlCpzsooodCj8yzOVY0QkYgDZbXcL&#10;/xFyBOFKHecIupCrr54juN1x0fJ+1TuYbypHMPjMv3qO4Kb30Yl+I/mSHEFObhk3VBF7mUZeonir&#10;Twwbt4RhM8Il00QG3Cbr0/HGDVWEvCZdIZuTblLsN+OGzsgR3GgKPzlHcMnhoBNsVei8y5ReaMvW&#10;ep4juOCcsAm2bL3ndwsvVpriT88R7PWZbgd4D3IE1Rl6Ro6g3pat+CxHEHfJavP95BxBXOqmzPgz&#10;cgTVGX9yjuBOnfHYs+PaoER45zmChbZsxec5glt1xp+cI7hVZ/zpOYL62n56jqA6SymcNCzKiuIH&#10;OYJ6W7bi8xxBfYU/OUdQX+Ph4zQlHOQIqjP+5BxBfV0+PUew0Jat+DxHUF/jT84R1Nf403ME9TX+&#10;9BxBdZaekSOot2UrHttoMv30Nf7kJEF9jcehMOlyuvJBdrfwTp3wpyYJ6qvyyUmChaZsrWdJgvr6&#10;fmqSoL68n5wkqK/uJycJqtMTgIw5EfIkQb0pW+dZkqC+tJ+aJKiv7KcnCarz/NQkQX0tPjlJsNCU&#10;rfMsSVBf1U9NEtQX9TOSBPVV/YwkQXWCnpMkWGjMVn1+p7Bqu5+eJagv7GdcKZyeVoF/hbJEV7dS&#10;qShGk+OvqVh378e9FMd5Oc6dswbEKV4mxvJEKQZ1qXgYESIWn3O5ZU54qUvDa5fHakkguIHGKT2U&#10;XStrXW49C6UHDXIeUhyDfTCQQc6DinI4NeR00qUJs6ibuC3jUJsELeNQ00zLONQ00zIONc20jENN&#10;My3j8MHVk5y2wpx9S/vZN884dAmHU4ahdnks7Ezs5L9GiiLAk1KKondR2Ak7OGsXIxUlRbGaLnQs&#10;/md5pn5ocTiBP/laPNF6imKIoSi71Ps1IOyahJ1qutCx8CrPTCQ49wbd2iJVhm+Qv2/Qds6CjFIt&#10;HYCDYnvePiTv4IDMFGkVIl+NUVrWxWf0tXSxY1GNPLNRGpOZIgGFYC0YIi0A89RMvFq62LGIIs9M&#10;pDGZKRJAjEqR6kLUeuArdaKHjkUUeWYiRf7ka1OkPiw8xigBc6litZoudCy8yjMTKfInX5sidWFF&#10;MUTqKle8arrQsfAqz0ykyJ98bYsUVhRDJHgDqkaplg7IUbE9XvHGZKZI88oVDzcuVk28WjrE15WX&#10;GxZpTGaJhJsP61a8blu34lXTxY5lRskznXgJf/K1KRLcEzz+5YnXwSNSnCi81dbThY6FV3lmIkX+&#10;5GtTJA7aMW083LhYN/Gq6apWvC7yVy1StKGMUaq03bpquqoVr4v81YsUFh5DpErbDTcz1k3QsfEm&#10;PGcTb0xmTrwVKqJ7O8cQqdJ2w82MdRM0diyiyDMTaUxmihRtKEOkStutq6WLHYso8sxEGpOZIkUb&#10;yhKpcsWrtPFwM6MstSKKPDORxmSmSAigrJt4lbYbbmasm3ixYxFFnplIYzJTpGhDGaNUabt11XR1&#10;K17kTyS2Rapd8SptN6A6dSve2HgTnrNRGpOZIs0rV7xKE6+SDIzKfBdB5JkJNCazBIp2VnnWVdp3&#10;lWSxVxFDnqk4YypLmmg7GdLULXSVFmDsVaSQZyrNmMqSZlO5yFVaa7VkoVeRQp6pNJE3+daSJlpM&#10;5bGpNNRqyaoWt8hbtTSVS1uljVZJNjbRhN90bMZU1thEO6k8NpXmWSVZ7FWkkGcqzZjKkiaaSGVp&#10;Ki2zSrLYq0ghz1SaMZUlTbSODGnq1rRK2y32KlLIM5VmTGVJEw2jsjSV9lgtWdWaFnkTWS1pok1U&#10;lqbWFKtD72Kvwqc807EZU5nS1K5pVUZYpakW+hQZ5JnJMqIyZRF7qTwwVUZ/FVGdgSZciZAiBqCb&#10;lnX5R8i6RCD7KOvSYxpfPetysebwrAWuIKTT8Tjrsl+G+1K/etblfOsytTqEmDle4h2Pdipaemla&#10;P1+62+omGqqI3M4SAPWW7EjWLENh17krAidYsrP/0rsuut3a5YFONHRy1mW3XWgKPzXrstvsNJWf&#10;fDNjqS1b61nWZbdea2rH6huD+JWLVDLFbzpN8QCCYlNKsld2M2O30me6PdWzrMtupc71k7MuS23Z&#10;is+yLnGxtKb4U7Muu6U640/PulyoM/7krMtenfGnZ10W2rIVn2ddYspTjurE+nBy1mWvzvjTsy71&#10;tf3krEt9TT4967LQlq34LOtSX+BPTbrUV/iTcy71Bf7UlEt9fT8547LQlK3zLOFSX91PzbfUF/eT&#10;0y31tf3UbEt9aT852bLQlK1zuGzj/qYv7DgxR7LpHTW7j1Ff12H+xpaUDTXLtNSX9VMzLfWV+ORM&#10;y0JTts6zTEt9TT8101Jf0k/OtFRNmFMTLVUDBkCsOQ2yPMusJRyQW1rW5B0rPoGnE09rOT2IY1Yu&#10;cRG799sb5Jx8hjoqVeR4E1z0tYQjGa1zrhLqodS0ToY5tQ7ju4q8pWVB/VMh6WTRuqSvulFFpXZP&#10;XjeqZJi61utGlYxPIl/WjSrZl468bgK3tCwtkaSlZWmaIcuHpli436i8ipF5Q+QwYWqWJTJhHHnd&#10;BCY7xZHXvasbfldhcFQxw6Likuca8t8iLQsbP/T/K+TJ0Bm6kCfDR2wzhrLH2ZeVJSC+PL3HQjIw&#10;aulix9KOPFMPiEAA4E++Ft+BmieD4zBzWnaCdDtcfuzHX9qWZyZSLR0htsX2/BszQWaJRHhppUhd&#10;3f0iOOgXWZUg39ixqEae6Sgl/MnXpkhbvFVe+cYo4fhfxWo1XehYeJVnJlLkT742RQImUCfSxrhb&#10;R7RfTRc6Fl7lmYkU+ZOvbZEAfFeNElCMqlGqpQOWUWzPv0vdmMwUae09M+aKR/h2kQUZpVq62LGo&#10;X57ZKI3JTJEAjNSN0mp0aU7OQhCpli50LO3IMxMp8idfmyIBV6kTCVBO1ShV04WOhVd5ZiJF/uRr&#10;U6RFWHiMFQ9AUJVI1XShY+FVnplIkT/52hQJ6FDdKPWVK141XehYeJVnJlLkT762RQoLjzFKwLOq&#10;RqmWDqhWsT1e8cZkpkjR1DJEqrTdULaoboLGjkX98sxGaUxmihRNLUukypVsXktXt+JF/kRiS6Ro&#10;aZUlqrTcasmqVrvIW600260cC8vSVBpttWShV+FTnul8i7zJt9bYRMOpLE2lvVZLVrXGRd6qpQkL&#10;TVmaSlOtkmxsqQm/6diMqayxWYcaTmVpKq20SrLYq0ghz1SaMZUlTbSUDGnqlqtKey/2KlLIM5Vm&#10;TGVJE42ksjSVtlktWdWaFnkTWS1pFmF1KUtTaZbVkoVehU95pmMTeZNvLWmiaVSWptIiqyWrWtMi&#10;b9XSVK5ptcZYnW03tsWE33RsxlTW2HSVa1qdGVZHFfsUGeSZyjKmsmQJ9lJ5mgkYJJ3K03fO59Iq&#10;otChNCHPVI4RkYgBWKBFJP8RIpIB8Y8jkp1R+tUjkldbXP9C7osWkRyjn1tEMpxltI6FGxWmo4sQ&#10;ohBJSlHEFXEl2T0wpbYwXS220vAp7KJafGaLSL7BOKPIbVRoi0h+f3/16uI/XsymZzzQzkRZsP20&#10;0N+KGZ/fA1Noy57xLSKZN9DLFpGMOuRdMkkBRylztEUkr9J8E8A5iqJaRPJli0imrbJFJF8C4Ykb&#10;YItIhvnkg7/EyVQORONIsbpAMYkTY09buWWOEpMgoTJxuyhCCyxsF0VommkRyZpmlvyiBpyu/PJR&#10;dhqFiy7r3lVKQSPyUKet3DoZdY68bkGiXDJHXrcktYhkbRK0iGRNMwjocVMs+IbKE5iSmWhGBk+A&#10;Qc4TGGlJSXg0kHH8rEUknx6tkkT8lp0gtZHGtXRJx+IEkWfqDJkgE3eIFmSdRPxaIlXG51UGrCQd&#10;iyjyTEWaIDNFihG/hkiV0ShUmaIY0SXRlrFjEUWemUhjMlOkGBxiiFQZktJV01X5eQmSHmjIFqne&#10;01sXn1cZvzIRajw5SqdHsKBGszg2jVGqDE6pjlyOHYso8swm3pjMHKUYK2KJVBfI0lVGshDWPphR&#10;kyKNyUyRYsCIIVJlmApVFymyKstD7FhEkWc2SmMyU6QY8WuIVBmr0lXTtYjk6nymLsaPGKNUG9xS&#10;Sxc7lgknz2zijcnMiRdtKEOk2kjjWrrYsYgiz0ykMZkpUoz4tUSqXPFaRPLD5Z4yF6dGqEUkyzZX&#10;nm2V9lot2chcmxqb0426aDOVpak01SrJYq8ihTzTtWBMZS0FMeq3LE2lNVdJFnsVKeSZSjOmsqSJ&#10;lpIhTd2yVmnHxV5FCnmm0oypLGmikVSWptI2qyVrEclYx62xiVG/5bGpDTWuSzmLvcoMk2c608ZU&#10;pjT159SqU0CLSJ62BFpEMl6t4/7+7s3f7+7vyV46Ht69/uH+MPt4df/qAlZkNCQzsvuH2adXF12P&#10;Qh7uV2c08frm4829h4jvcT/tC4qsPT7+fPjrX+iv1/s3//r5MDvsn8DGxezjzQF/3O4P/76YfTpc&#10;Pb66OP7zw9Xh5mJ2/58Px1cXu25JccdP7h/LFV3bMDuk37xOv7l6uEZTry6eLlDqh/784Qn/wk8+&#10;PB7u3t2ip86J9bD/24en/du7J2IzcsX/+HR89Lzij9nn9/cPx5egAZdPT48vX7w4Xt/evL86fvf+&#10;7vqwP+7fPn13vX//Yv/27d31zYtP+8ObF7iDbu7+ejzsr2+Ox7uHd7/cXj3eoG/q7Pq/P0IDd28Q&#10;CjyHb2oiIrmnl59Jf3GqwwA+/mN//b/H2cP+xzd3Tz/v7x6ewJNPqMtI6R+k79nrT/+1f4NoiivI&#10;6sSWMsfgdfb51UW/m3uHWr/auVrcsUbyer4D3H8N9wCubOKVSH59/eH49NPN/j3Nj6uPgP7Ba1KQ&#10;LAb3Qu8hfhTZobNPM9csk0scWRrmsOoQGNRhjAc0aYAseN0oTaUhg1pTECswVWgqDdVc76a5SqMF&#10;dfnSEFmtJTgqA1N6S2kMlSbeoFIyxVZOKj3VOhQ+LeAoMHmyqVTra62lVO3Un8JWqnatqUztelOp&#10;3nUJU82vdpulxliqe4UxWprCKJKmlLayesmawig8IjRWYCyvmKwNZFYvudSaon94+VrBwVZwkLzF&#10;37Lg4Bc7l916Nbslg2a63hUWW+cEDzEf2iGDtoqcUg4E8vQHg0AXCqbJ9/L0dNJxJVngT1rRDxok&#10;Kvn16YltFDrUZPJ0iLn1ZNK0PJlRbq6OKnYqreiM0jrkOJWmNT79KEIkg9XQ4JgL4UYGadCzfC3M&#10;Qmkt3+8PkO9HIV3jfD/nf89M5q9hXS/WlB2AWbtY+EN/tK573Jj7Faxr1+zAck7tvJUzXHyBWdrQ&#10;xQJPTY1+DovkE4rsg8NBU6mdpzWVmnmFplIzY70l43PMVWbmudPDFFOplae1lNp43rqeaim18DTx&#10;JqzrqaZQfzgabxBtWsCRdT3ZVKZ1raVU7Vj8lAHMEv+UuQDvc8K63lSqd13CVPOIJ6Ij4KSQqe4V&#10;xmgbCgYxNaK0lVnXK0VhmXVdYCy3rrWBzKzrUmvptE/EbNb1dGnmFjyvRXr+KsHzX2xdu1fZWddY&#10;vQkDigZcbuQGzD0SiMXlCWmr8Na12ILyvTwHdH53ggTyvTzzjivJAn/SitiBEyKJdR3qtGsysUAS&#10;ey5Ny5MZPc26Dp1KKzqjtA5VWdd+FGGnIEevdBAIDfJerSo/EA7HUpjFL5t1/UewrmHmeOv6/7m5&#10;fgI8cn8zW/Q4WmEaqeb1D7cgvPnb4bD/dHtz9eYLIezlnG6eweTtt6jM7wzWm89Ps2ug27hcC18R&#10;hL3EvVx+ZguE/XjwEPaM/nh1cQD7bgETOJtmKJPQuvawJy+Ka508GskH7iUY+TiePr/+zDow3R0P&#10;+4cbcXZgyfCODvzhnRz4wzs48Mfvz7lBKTJ+gvzj7sHNDZc7wHPjhwfyCbn8gV+Cb8NPD+ctufzX&#10;I5wXmYPD/6TewdHTNWq0tG3kfCGzY7Ok5ZFmh6xSyty4B+fVc8P5zhAbsnK/yBxrlf63w/7Dwxs/&#10;WVXnGX1NOmA/1buX7w6Pv0RP1bsv81T9BBYewf+nx3eZpwpX2PJgOgp6090bx3Q/EQ8/H9y0Z478&#10;8Ipe2em02uFyC3cs3mzcQTw5FuMY41xOuyV/c337P95VtSBi+hUMfxfjhGlz+yO/6WR/u9/Fm8t9&#10;p9BSwgqr7Gt79CjRa4w5OKZ54gc9VfrpJoSXaayKDv2c46brFzhWdchAxDimEEF6oKWTC0aIh2ga&#10;RqAj6EQz6WG275V20sOs0k56kMJ8Iq/hFEfpWVaTLD3IUhtKU+lJtvP3do21lB5jC23lKMKC/EQT&#10;uspAhIKQGYyAdpTWqlQPoCoeslUxRzjClO4zIEFTfnajaTqvsK82h9Pv0+GEofvCjEBKgIbPxs0q&#10;WobiCYtPgX4rkI07fn394fXd9fc3//YRwnIUdPuGI4ZV90SBD94owGvoVrn0MxysaXel1TNtSo5b&#10;KSm9kkwsX+c/yomxUie9MbQRXxxPTHgTNjn52OADL+iQvMRJBxbS1kUbtPb4zwc8hs+DoLmA0pnn&#10;XZoJKpSv8x/lxPkYCIfZwIiUMtx5c9JJpj8hlS9/nYPndk7/5yHPbDsfNHV+xFSN0dcipjhiaoXN&#10;f2xfuRNes6+S7bvZV666nG4RpTZts6/4JM6Z/NjBpy5L9Bvnpex75YIBfnO6dOcEbxRwH1Mt+y3o&#10;Mqst4AyJKWLY9dglLyXZpcyGR0EvBdwsE/O+fBl3vM8O8FH0wRvwN71BtNlXmX3np+RuObBd5GM5&#10;pmb2QbOvUlOUJ7FYNl/ZvsqwVMLLgM1hR7+m0O/Dw5uvCpw9fxsqIlYeQv8GEehUaWgCxXfrZWJQ&#10;0dodQ9B/XRR/TQg9LenruV94Iya4WO6wTzt0r8c88YczgRQFo5/99jB+nrWA1eePBeQDJRvZ3P4s&#10;pE6RXytLYbUjlAiTAwvFwMVDi76bG0usYfnUOAv9RHtAz8JWEqHN1FRcrKgUMf7rz/ORCPZOCFBZ&#10;rAhInWgpheHUliCV3VKKgS6WBJ5N8JQioKp0KQSqtpQCoGpLKQCqSkc2VhCv3+2mFYWFIFLpbaVK&#10;73tKDJlQelY9XW8rVbveVpXec/RTlbFK81nxdF1fVbqncIOg+26jTNIshkrVVxZE1c37ad1nIVR6&#10;W6nu9baqdE/XLFTIWKV72pcq2qrSPfkiQ1suFm5iquKOl0ikqmuRTXtl1mcV1PWmUs1rL1BWQL3f&#10;UlQdGhwugPDAR96Xq+n5kBVQ15tK9a42lakdGp3kigItgtoX62muyCcZibTVdJmqXRtB+C5rmkrV&#10;rjaVzXdt36GqmIF3bQRRACkhWqwUXaVqV5tK1d6tqZb3xGSg0OvAlTaCFCEdiPSmMrUr84rc06Gp&#10;XhOQnLORSnlxCGGMRGpTNWrHSxKb6jpll17VqD0roe7Sxia0nhVQ17S+TrWutlSj9HWqdFU81DmI&#10;StBm1TpVut5UqnRyDk8soVkF9Q15macUlapcWxWQnBMZV8YOidKRBr1NsrRJNa6xtEk1rshGURBh&#10;aqYNARVqDtPfp8NUhTnJ8COcM0R9lrFLDiX9phl6Ku9819VlXwfS8vn/sq+DaTms6zLciFfWDJlL&#10;pMhQedMgx3rlyAVvMMixJjnyOlGRT+/J60Ql84Vah4XiT7hlZshEceSVsDuLioi1qtZZ1FBO0WCG&#10;RW0FuCnmgBC0x/2RAhAuOdz9Eltxjd45yPUS+20VOY8q9tQqch5VbJxV5DyqIXW1PAlog6QZiT2w&#10;pnXaBR15JuoXOz3ITqCgEjIFaCBi0Ij3DLjv0S+bCugvUkgYgacEtOM4jJTyvTwHdHiDveDyvTwH&#10;PdfS+YMXOJR2JLwh5dm3DbRgwKsmFfCOAaW0Lk9uUegMbkPPtXQnSAXcYsCrJhWQhAGlSCNPL1Wg&#10;M7gNPdfSnSAVp2vEaaUJJSMwajuXiclwxC5PP9jdmPeVZAtwWZrMBAHQW2ToR2StJBtJWpjxfhrj&#10;AMh8GlrEobMoEDZGEqiSLHYrYyFPfnuG3MnXpkA4EdUJZOTIszx1VLFT4VOemThjMl0cvxlgkfez&#10;SBsdnkcis3QrT989bxWhMflWnp5q0KN8KSxiHW3JSHgPOc+ES2z9DnNNYJWMXVTO5khcVJh19K+q&#10;8lghgX+12Q0cTz5njryS8Y0Xp+RZnicX5953vlpmKfC+6ySiYdrxtF5RYjSqQ4+bSqGD1ZqcWFON&#10;wUwKAMNqsSNAY7K1FK7RW8N2EFpbz5FWr7SWw2QuCn+KOYxxbG7jigJMMpfiNjpzmSOqQ6E5VdjM&#10;GVVoENZG4M8xpsmbeaQIWRJpsRw1HOdr4ThQLs4qX3RZDb1XPuUZ7+HUQcJvN7Jxxf0tD6tJt6YF&#10;JgPWJQnH7nfe5MA0Sz/Gi+0sEf6YRCmEqNObOyAPG1/2M8/IakOYN5azYad4Zd3nW4BLCY/0KrvP&#10;k2mbs5P/y/cSfjVsbcFWybB3vOEpV4bM7g0e0JeE7rrtfFJqv6Q4OzYfmviFjG8qJtgzLYlR9BOY&#10;BphFo59FlP+K2YLPP+iJduRvEeiEXWEc6IRbsNgoQFlOysxzYzHIR/210pUXG0b/1nMPh8RAp35F&#10;bhkyKZbATsESppOYFM8ozumPnK5MoJyfIJeUX/n9/jOSXP3taIkJOXv6jG8oMflrzpTdHKi/W4JG&#10;1aOokr5ExMk56pnMlJur/xf1fC8mK/lCuX+omDh6XcezZVj84NvMlm7Hl/mNa4212fIs6jwTgj+e&#10;LQ6k+uZrC8rWY+7STsN3/sRdaEPB4C7adrERBK2tLWm1hW9iqlBcxYSpwvUWXAXxr26qrCmGkRCO&#10;fsfnEyk6sNwS8uZMFV+o4XmaKn/skGwKqpmYIu7MmKwoX9NGWc4JN8QUWczleChTBCVQwJ8DyHyV&#10;jzZFspot32YVwenWT5G/H25u3u4P78meHWbK5jPk14rax3HGAxC4B44z32VurDe0/fhNRrxJssec&#10;BZ52c3chADXrMIqIjKKfgMdpNT3BZqDBHVEUEu04HDSVoacesXOOtRSsTbHTQlMYlthjVfVTTb4U&#10;Nq2rfqq1lCGmingDvJQC96c0lYGlem3QVO+EC082lWldKeY5KFqispWqXZMwxauJdYWtVO+6hBla&#10;jWrAWmup7hXGKLYrzhnMdKWtLHK/qvrpWmcsC91XxezzWa+K2Sv6x87QEO+vhXir8Xn00mDnvgw5&#10;deUgHrYFL5GK5aEpg9zjts85chHT7st8AX4bQ0gR3oxJTwC2JafjUF00OgMElmZcHLtOTinfy3NA&#10;Z5Y19R1XkgX+pDdxjY/jiUhUmjb09PNAk8kbhkZJUWlO0HRhQJ5ebKGKncr3OqO0qjlOpWmNTz+K&#10;EMlgNTQ45kK4kUEa9CxfC7OYeKab4BxfQLu5K1RE/DbWNWyFiQOYezG+1QGMbgF17+PW+wwikIMy&#10;rFiD3Rm9uRNw4VxaMtMl2X96h0veyPbApXO3d9f/5+rpKv23o3950+9v9/dvbg5//f8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7UAAFtDb250&#10;ZW50X1R5cGVzXS54bWxQSwECFAAKAAAAAACHTuJAAAAAAAAAAAAAAAAABgAAAAAAAAAAABAAAACN&#10;tAAAX3JlbHMvUEsBAhQAFAAAAAgAh07iQIoUZjzRAAAAlAEAAAsAAAAAAAAAAQAgAAAAsbQAAF9y&#10;ZWxzLy5yZWxzUEsBAhQACgAAAAAAh07iQAAAAAAAAAAAAAAAAAQAAAAAAAAAAAAQAAAAAAAAAGRy&#10;cy9QSwECFAAUAAAACACHTuJAi+6y1NoAAAAJAQAADwAAAAAAAAABACAAAAAiAAAAZHJzL2Rvd25y&#10;ZXYueG1sUEsBAhQAFAAAAAgAh07iQBbf57A4swAAzicHAA4AAAAAAAAAAQAgAAAAKQEAAGRycy9l&#10;Mm9Eb2MueG1sUEsFBgAAAAAGAAYAWQEAANO2AAAAAA==&#10;">
                <o:lock v:ext="edit" aspectratio="f"/>
                <v:rect id="AutoShape 3111" o:spid="_x0000_s1026" o:spt="1" style="position:absolute;left:916;top:1466;height:6120;width:10074;" filled="f" stroked="f" coordsize="21600,21600" o:gfxdata="UEsDBAoAAAAAAIdO4kAAAAAAAAAAAAAAAAAEAAAAZHJzL1BLAwQUAAAACACHTuJAeCDKIMAAAADd&#10;AAAADwAAAGRycy9kb3ducmV2LnhtbEWPQWuDQBSE74H+h+UVegnNmhxSsdnkIJRKKEhMm/PDfVWp&#10;+1bdjdp/3w0Eehxm5htmd5hNK0YaXGNZwXoVgSAurW64UvB5fnuOQTiPrLG1TAp+ycFh/7DYYaLt&#10;xCcaC1+JAGGXoILa+y6R0pU1GXQr2xEH79sOBn2QQyX1gFOAm1ZuomgrDTYcFmrsKK2p/CmuRsFU&#10;5uPl/PEu8+Uls9xnfVp8HZV6elxHryA8zf4/fG9nWsEmjl/g9iY8Abn/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IMog&#10;wAAAAN0AAAAPAAAAAAAAAAEAIAAAACIAAABkcnMvZG93bnJldi54bWxQSwECFAAUAAAACACHTuJA&#10;My8FnjsAAAA5AAAAEAAAAAAAAAABACAAAAAPAQAAZHJzL3NoYXBleG1sLnhtbFBLBQYAAAAABgAG&#10;AFsBAAC5AwAAAAA=&#10;">
                  <v:fill on="f" focussize="0,0"/>
                  <v:stroke on="f"/>
                  <v:imagedata o:title=""/>
                  <o:lock v:ext="edit" text="t" aspectratio="t"/>
                </v:rect>
                <v:rect id="Rectangle 3112" o:spid="_x0000_s1026" o:spt="1" style="position:absolute;left:2168;top:1826;height:318;width:203;mso-wrap-style:none;" filled="f" stroked="f" coordsize="21600,21600" o:gfxdata="UEsDBAoAAAAAAIdO4kAAAAAAAAAAAAAAAAAEAAAAZHJzL1BLAwQUAAAACACHTuJA6YGEPrsAAADd&#10;AAAADwAAAGRycy9kb3ducmV2LnhtbEVPy4rCMBTdC/MP4Q6407QiUqtRZoRBEVz4+IBLc22qzU1N&#10;Mj7+3iwGZnk47/nyaVtxJx8axwryYQaCuHK64VrB6fgzKECEiKyxdUwKXhRgufjozbHU7sF7uh9i&#10;LVIIhxIVmBi7UspQGbIYhq4jTtzZeYsxQV9L7fGRwm0rR1k2kRYbTg0GO1oZqq6HX6uAvtf76eUr&#10;mJ30ech328l0vL4p1f/MsxmISM/4L/5zb7SCUVGkuelNegJy8Q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YGEPrsAAADd&#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pStyle w:val="113"/>
                        </w:pPr>
                        <w:r>
                          <w:rPr>
                            <w:lang w:val="en-US"/>
                          </w:rPr>
                          <w:t xml:space="preserve"> </w:t>
                        </w:r>
                      </w:p>
                    </w:txbxContent>
                  </v:textbox>
                </v:rect>
                <v:group id="Group 3113" o:spid="_x0000_s1026" o:spt="203" style="position:absolute;left:2906;top:3773;height:1943;width:242;" coordorigin="738,1687" coordsize="242,1684" o:gfxdata="UEsDBAoAAAAAAIdO4kAAAAAAAAAAAAAAAAAEAAAAZHJzL1BLAwQUAAAACACHTuJAB2dt9MEAAADd&#10;AAAADwAAAGRycy9kb3ducmV2LnhtbEWPT2vCQBTE70K/w/IKvekmFkuMrlKkLT1IoUlBvD2yzySY&#10;fRuy2/z59m6h4HGYmd8w2/1oGtFT52rLCuJFBIK4sLrmUsFP/j5PQDiPrLGxTAomcrDfPcy2mGo7&#10;8Df1mS9FgLBLUUHlfZtK6YqKDLqFbYmDd7GdQR9kV0rd4RDgppHLKHqRBmsOCxW2dKiouGa/RsHH&#10;gMPrc/zWH6+Xw3TOV1+nY0xKPT3G0QaEp9Hfw//tT61gmSRr+HsTnoDc3Q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dnbfTBAAAA3QAAAA8AAAAAAAAAAQAgAAAAIgAAAGRycy9kb3ducmV2&#10;LnhtbFBLAQIUABQAAAAIAIdO4kAzLwWeOwAAADkAAAAVAAAAAAAAAAEAIAAAABABAABkcnMvZ3Jv&#10;dXBzaGFwZXhtbC54bWxQSwUGAAAAAAYABgBgAQAAzQMAAAAA&#10;">
                  <o:lock v:ext="edit" aspectratio="f"/>
                  <v:shape id="Freeform 3114" o:spid="_x0000_s1026" o:spt="100" style="position:absolute;left:738;top:1687;height:1684;width:242;" fillcolor="#EAEAEA" filled="t" stroked="t" coordsize="1350,9433" o:gfxdata="UEsDBAoAAAAAAIdO4kAAAAAAAAAAAAAAAAAEAAAAZHJzL1BLAwQUAAAACACHTuJAWLmuYbgAAADd&#10;AAAADwAAAGRycy9kb3ducmV2LnhtbEVPTYvCMBC9L/gfwgje1rQKS61GQUHxJGxXPA/N2BSbSUli&#10;1X9vDsIeH+97tXnaTgzkQ+tYQT7NQBDXTrfcKDj/7b8LECEia+wck4IXBdisR18rLLV78C8NVWxE&#10;CuFQogITY19KGWpDFsPU9cSJuzpvMSboG6k9PlK47eQsy36kxZZTg8GedobqW3W3CuZVvJxMsaV8&#10;X/vdcN0ePJ6sUpNxni1BRHrGf/HHfdQKZsUi7U9v0hOQ6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LmuYbgAAADdAAAA&#10;DwAAAAAAAAABACAAAAAiAAAAZHJzL2Rvd25yZXYueG1sUEsBAhQAFAAAAAgAh07iQDMvBZ47AAAA&#10;OQAAABAAAAAAAAAAAQAgAAAABwEAAGRycy9zaGFwZXhtbC54bWxQSwUGAAAAAAYABgBbAQAAsQMA&#10;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15" o:spid="_x0000_s1026" o:spt="100" style="position:absolute;left:738;top:1687;height:1684;width:242;" filled="f" stroked="t" coordsize="1350,9433" o:gfxdata="UEsDBAoAAAAAAIdO4kAAAAAAAAAAAAAAAAAEAAAAZHJzL1BLAwQUAAAACACHTuJAGBzYor4AAADd&#10;AAAADwAAAGRycy9kb3ducmV2LnhtbEWPzWrDMBCE74W8g9hAb7VsH9zUjexDIJBDL03bkONibSwT&#10;78pYyk/fvioUehxm55uddXvnUV1pDoMXA0WWgyLpvB2kN/D5sX1agQoRxeLohQx8U4C2WTyssbb+&#10;Ju903cdeJYiEGg24GKda69A5YgyZn0iSd/IzY0xy7rWd8ZbgPOoyzyvNOEhqcDjRxlF33l84vVEV&#10;b3w8eHancTt9PVfclVga87gs8ldQke7x//gvvbMGytVLAb9rEgJ0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zYor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16" o:spid="_x0000_s1026" o:spt="203" style="position:absolute;left:3638;top:3773;height:1943;width:242;" coordorigin="1470,1687" coordsize="242,1684" o:gfxdata="UEsDBAoAAAAAAIdO4kAAAAAAAAAAAAAAAAAEAAAAZHJzL1BLAwQUAAAACACHTuJAjBppWL8AAADd&#10;AAAADwAAAGRycy9kb3ducmV2LnhtbEWPT4vCMBTE74LfITzBm6at7OJ2jSKi4kEW/APL3h7Nsy02&#10;L6WJrX77jSB4HGbmN8xscTeVaKlxpWUF8TgCQZxZXXKu4HzajKYgnEfWWFkmBQ9ysJj3ezNMte34&#10;QO3R5yJA2KWooPC+TqV0WUEG3djWxMG72MagD7LJpW6wC3BTySSKPqXBksNCgTWtCsqux5tRsO2w&#10;W07idbu/XlaPv9PHz+8+JqWGgzj6BuHp7t/hV3unFSTTrw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GmlYvwAAAN0AAAAPAAAAAAAAAAEAIAAAACIAAABkcnMvZG93bnJldi54&#10;bWxQSwECFAAUAAAACACHTuJAMy8FnjsAAAA5AAAAFQAAAAAAAAABACAAAAAOAQAAZHJzL2dyb3Vw&#10;c2hhcGV4bWwueG1sUEsFBgAAAAAGAAYAYAEAAMsDAAAAAA==&#10;">
                  <o:lock v:ext="edit" aspectratio="f"/>
                  <v:shape id="Freeform 3117" o:spid="_x0000_s1026" o:spt="100" style="position:absolute;left:1470;top:1687;height:1684;width:242;" fillcolor="#BBE0E3" filled="t" stroked="t" coordsize="1350,9433" o:gfxdata="UEsDBAoAAAAAAIdO4kAAAAAAAAAAAAAAAAAEAAAAZHJzL1BLAwQUAAAACACHTuJAvJ2z28IAAADd&#10;AAAADwAAAGRycy9kb3ducmV2LnhtbEWPW2sCMRSE34X+h3AKfRFNtCi6NYpYRBGheHnQt8PmdHfb&#10;zcmyiZf6641Q8HGYmW+Y0eRqS3Gm2heONXTaCgRx6kzBmYb9bt4agPAB2WDpmDT8kYfJ+KUxwsS4&#10;C2/ovA2ZiBD2CWrIQ6gSKX2ak0XfdhVx9L5dbTFEWWfS1HiJcFvKrlJ9abHguJBjRbOc0t/tyWr4&#10;WR2LT3VwzVtv0z8t1tlyMf06aP322lEfIAJdwzP8314aDd3B8B0eb+ITkOM7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yd&#10;s9v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18" o:spid="_x0000_s1026" o:spt="100" style="position:absolute;left:1470;top:1687;height:1684;width:242;" filled="f" stroked="t" coordsize="1350,9433" o:gfxdata="UEsDBAoAAAAAAIdO4kAAAAAAAAAAAAAAAAAEAAAAZHJzL1BLAwQUAAAACACHTuJACGt7Or4AAADd&#10;AAAADwAAAGRycy9kb3ducmV2LnhtbEWPS2vDMBCE74X8B7GF3BrZpripG9mHQKCHXvIqPS7WxjL1&#10;royl5vHvo0Khx2F2vtlZNVce1Jmm0HsxkC8yUCStt710Bg77zdMSVIgoFgcvZOBGAZp69rDCyvqL&#10;bOm8i51KEAkVGnAxjpXWoXXEGBZ+JEneyU+MMcmp03bCS4LzoIssKzVjL6nB4UhrR+337ofTG2X+&#10;wV+fnt1p2IzHl5LbAgtj5o959gYq0jX+H/+l362BYvn6DL9rEgJ0f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Gt7Or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19" o:spid="_x0000_s1026" o:spt="203" style="position:absolute;left:4371;top:3773;height:1943;width:242;" coordorigin="2203,1687" coordsize="242,1684" o:gfxdata="UEsDBAoAAAAAAIdO4kAAAAAAAAAAAAAAAAAEAAAAZHJzL1BLAwQUAAAACACHTuJAA/PxLL8AAADd&#10;AAAADwAAAGRycy9kb3ducmV2LnhtbEWPQYvCMBSE78L+h/AWvGlaF8XtGmURVzyIYF0Qb4/m2Rab&#10;l9LEVv+9EQSPw8x8w8wWN1OJlhpXWlYQDyMQxJnVJecK/g9/gykI55E1VpZJwZ0cLOYfvRkm2na8&#10;pzb1uQgQdgkqKLyvEyldVpBBN7Q1cfDOtjHog2xyqRvsAtxUchRFE2mw5LBQYE3LgrJLejUK1h12&#10;v1/xqt1ezsv76TDeHbcxKdX/jKMfEJ5u/h1+tTdawWj6PYbnm/AE5Pw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D8/EsvwAAAN0AAAAPAAAAAAAAAAEAIAAAACIAAABkcnMvZG93bnJldi54&#10;bWxQSwECFAAUAAAACACHTuJAMy8FnjsAAAA5AAAAFQAAAAAAAAABACAAAAAOAQAAZHJzL2dyb3Vw&#10;c2hhcGV4bWwueG1sUEsFBgAAAAAGAAYAYAEAAMsDAAAAAA==&#10;">
                  <o:lock v:ext="edit" aspectratio="f"/>
                  <v:shape id="Freeform 3120" o:spid="_x0000_s1026" o:spt="100" style="position:absolute;left:2203;top:1687;height:1684;width:242;" fillcolor="#BBE0E3" filled="t" stroked="t" coordsize="1350,9433" o:gfxdata="UEsDBAoAAAAAAIdO4kAAAAAAAAAAAAAAAAAEAAAAZHJzL1BLAwQUAAAACACHTuJArOoQQ8IAAADd&#10;AAAADwAAAGRycy9kb3ducmV2LnhtbEWPT2sCMRTE70K/Q3hCL6KJQhddjSKWohRBtB709tg8d9du&#10;XpZN/NN+elMQehxm5jfMZHa3lbhS40vHGvo9BYI4c6bkXMP+66M7BOEDssHKMWn4IQ+z6Utrgqlx&#10;N97SdRdyESHsU9RQhFCnUvqsIIu+52ri6J1cYzFE2eTSNHiLcFvJgVKJtFhyXCiwpkVB2ffuYjWc&#10;P4/luzq4zu/bNrks1/lqOd8ctH5t99UYRKB7+A8/2yujYTAcJfD3Jj4BOX0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zq&#10;EEP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21" o:spid="_x0000_s1026" o:spt="100" style="position:absolute;left:2203;top:1687;height:1684;width:242;" filled="f" stroked="t" coordsize="1350,9433" o:gfxdata="UEsDBAoAAAAAAIdO4kAAAAAAAAAAAAAAAAAEAAAAZHJzL1BLAwQUAAAACACHTuJA+LnlTb4AAADd&#10;AAAADwAAAGRycy9kb3ducmV2LnhtbEWPzWrDMBCE74G8g9hCb7FsH5zEjexDIdBDL03bkONibSxT&#10;78pYyk/fvioUehxm55udXXvnUV1pDoMXA0WWgyLpvB2kN/Dxvl9tQIWIYnH0Qga+KUDbLBc7rK2/&#10;yRtdD7FXCSKhRgMuxqnWOnSOGEPmJ5Lknf3MGJOce21nvCU4j7rM80ozDpIaHE707Kj7Olw4vVEV&#10;r3w6enbncT99rivuSiyNeXwo8idQke7x//gv/WINlJvtGn7XJATo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nlTb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22" o:spid="_x0000_s1026" o:spt="203" style="position:absolute;left:5102;top:3773;height:1943;width:242;" coordorigin="2934,1687" coordsize="242,1684" o:gfxdata="UEsDBAoAAAAAAIdO4kAAAAAAAAAAAAAAAAAEAAAAZHJzL1BLAwQUAAAACACHTuJA7fJesr0AAADd&#10;AAAADwAAAGRycy9kb3ducmV2LnhtbEVPy2rCQBTdF/yH4Qrd1UlSKhodg4gtXQTBB4i7S+aaBDN3&#10;QmaamL/vLApdHs57nT1NI3rqXG1ZQTyLQBAXVtdcKricP98WIJxH1thYJgUjOcg2k5c1ptoOfKT+&#10;5EsRQtilqKDyvk2ldEVFBt3MtsSBu9vOoA+wK6XucAjhppFJFM2lwZpDQ4Ut7SoqHqcfo+BrwGH7&#10;Hu/7/HHfjbfzx+Gax6TU6zSOViA8Pf2/+M/9rRUki2WYG96EJy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7fJesr0AAADdAAAADwAAAAAAAAABACAAAAAiAAAAZHJzL2Rvd25yZXYueG1s&#10;UEsBAhQAFAAAAAgAh07iQDMvBZ47AAAAOQAAABUAAAAAAAAAAQAgAAAADAEAAGRycy9ncm91cHNo&#10;YXBleG1sLnhtbFBLBQYAAAAABgAGAGABAADJAwAAAAA=&#10;">
                  <o:lock v:ext="edit" aspectratio="f"/>
                  <v:shape id="Freeform 3123" o:spid="_x0000_s1026" o:spt="100" style="position:absolute;left:2934;top:1687;height:1684;width:242;" fillcolor="#BBE0E3" filled="t" stroked="t" coordsize="1350,9433" o:gfxdata="UEsDBAoAAAAAAIdO4kAAAAAAAAAAAAAAAAAEAAAAZHJzL1BLAwQUAAAACACHTuJA3XWEMcMAAADd&#10;AAAADwAAAGRycy9kb3ducmV2LnhtbEWPW2sCMRSE3wv9D+EUfCluoqDo1iiiiFIK4uVhfTtsTne3&#10;3Zwsm3hpf31TEHwcZuYbZjK72VpcqPWVYw29RIEgzp2puNBwPKy6IxA+IBusHZOGH/Iwmz4/TTA1&#10;7so7uuxDISKEfYoayhCaVEqfl2TRJ64hjt6nay2GKNtCmhavEW5r2VdqKC1WHBdKbGhRUv69P1sN&#10;X++naqky9/o72A3P649is55vM607Lz31BiLQLTzC9/bGaOiPxmP4fxOfgJz+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d&#10;dYQxwwAAAN0AAAAPAAAAAAAAAAEAIAAAACIAAABkcnMvZG93bnJldi54bWxQSwECFAAUAAAACACH&#10;TuJAMy8FnjsAAAA5AAAAEAAAAAAAAAABACAAAAASAQAAZHJzL3NoYXBleG1sLnhtbFBLBQYAAAAA&#10;BgAGAFsBAAC8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24" o:spid="_x0000_s1026" o:spt="100" style="position:absolute;left:2934;top:1687;height:1684;width:242;" filled="f" stroked="t" coordsize="1350,9433" o:gfxdata="UEsDBAoAAAAAAIdO4kAAAAAAAAAAAAAAAAAEAAAAZHJzL1BLAwQUAAAACACHTuJA6bvnI70AAADd&#10;AAAADwAAAGRycy9kb3ducmV2LnhtbEWPu27DMAxF9wL5B4EBujWSPbitGyVDgQAZujR9oCNhMZZR&#10;kzIs5dG/L4cCHYnLe3i43l55NGea85DEQ7VyYEi6FAbpPby/7e4ewOSCEnBMQh5+KMN2s7hZYxvS&#10;RV7pfCi9UYjkFj3EUqbW2txFYsyrNJFodkwzY9Fx7m2Y8aJwHm3tXGMZB9ELESd6jtR9H06sGk31&#10;wl+fieNx3E0f9w13Ndbe3y4r9wSm0LX8L/+198FD/ejUX79RBN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u+cjvQAA&#10;AN0AAAAPAAAAAAAAAAEAIAAAACIAAABkcnMvZG93bnJldi54bWxQSwECFAAUAAAACACHTuJAMy8F&#10;njsAAAA5AAAAEAAAAAAAAAABACAAAAAMAQAAZHJzL3NoYXBleG1sLnhtbFBLBQYAAAAABgAGAFsB&#10;AAC2Aw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25" o:spid="_x0000_s1026" o:spt="203" style="position:absolute;left:3390;top:3776;height:1943;width:243;" coordorigin="1222,1690" coordsize="243,1684" o:gfxdata="UEsDBAoAAAAAAIdO4kAAAAAAAAAAAAAAAAAEAAAAZHJzL1BLAwQUAAAACACHTuJA4iNtNcAAAADd&#10;AAAADwAAAGRycy9kb3ducmV2LnhtbEWPQWsCMRSE70L/Q3iF3jSJotitUYrU4kEKroXS22Pz3F3c&#10;vCybdFf/fVMoeBxm5htmtbm6RvTUhdqzAT1RIIgLb2suDXyeduMliBCRLTaeycCNAmzWD6MVZtYP&#10;fKQ+j6VIEA4ZGqhibDMpQ1GRwzDxLXHyzr5zGJPsSmk7HBLcNXKq1EI6rDktVNjStqLikv84A+8D&#10;Dq8z/dYfLuft7fs0//g6aDLm6VGrFxCRrvEe/m/vrYHps9Lw9yY9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iNtNcAAAADdAAAADwAAAAAAAAABACAAAAAiAAAAZHJzL2Rvd25yZXYu&#10;eG1sUEsBAhQAFAAAAAgAh07iQDMvBZ47AAAAOQAAABUAAAAAAAAAAQAgAAAADwEAAGRycy9ncm91&#10;cHNoYXBleG1sLnhtbFBLBQYAAAAABgAGAGABAADMAwAAAAA=&#10;">
                  <o:lock v:ext="edit" aspectratio="f"/>
                  <v:shape id="Freeform 3126" o:spid="_x0000_s1026" o:spt="100" style="position:absolute;left:1222;top:1690;height:1684;width:243;" fillcolor="#EAEAEA" filled="t" stroked="t" coordsize="1358,9433" o:gfxdata="UEsDBAoAAAAAAIdO4kAAAAAAAAAAAAAAAAAEAAAAZHJzL1BLAwQUAAAACACHTuJACqcVk74AAADd&#10;AAAADwAAAGRycy9kb3ducmV2LnhtbEWPQWsCMRSE7wX/Q3iCt5q4B7Fbo6jQUk9SLYvHx+a5u7h5&#10;WZJ0Xf+9EQo9DjPzDbNcD7YVPfnQONYwmyoQxKUzDVcafk4frwsQISIbbB2ThjsFWK9GL0vMjbvx&#10;N/XHWIkE4ZCjhjrGLpcylDVZDFPXESfv4rzFmKSvpPF4S3DbykypubTYcFqosaNdTeX1+Gs1FMU5&#10;Nn7IDlfctHjedofP/aLXejKeqXcQkYb4H/5rfxkN2ZvK4PkmPQG5e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qcVk74A&#10;AADdAAAADwAAAAAAAAABACAAAAAiAAAAZHJzL2Rvd25yZXYueG1sUEsBAhQAFAAAAAgAh07iQDMv&#10;BZ47AAAAOQAAABAAAAAAAAAAAQAgAAAADQEAAGRycy9zaGFwZXhtbC54bWxQSwUGAAAAAAYABgBb&#10;AQAAtwMAAAAA&#10;" path="m226,0c101,0,0,101,0,226l0,9207c0,9332,101,9433,226,9433l1132,9433c1257,9433,1358,9332,1358,9207l1358,226c1358,101,1257,0,1132,0l226,0xe">
                    <v:path o:connectlocs="40,0;0,40;0,1643;40,1684;202,1684;243,1643;243,40;202,0;40,0" o:connectangles="0,0,0,0,0,0,0,0,0"/>
                    <v:fill on="t" focussize="0,0"/>
                    <v:stroke weight="0pt" color="#000000" joinstyle="round"/>
                    <v:imagedata o:title=""/>
                    <o:lock v:ext="edit" aspectratio="f"/>
                  </v:shape>
                  <v:shape id="Freeform 3127" o:spid="_x0000_s1026" o:spt="100" style="position:absolute;left:1222;top:1690;height:1684;width:243;" filled="f" stroked="t" coordsize="1358,9433" o:gfxdata="UEsDBAoAAAAAAIdO4kAAAAAAAAAAAAAAAAAEAAAAZHJzL1BLAwQUAAAACACHTuJAn3wyoL4AAADd&#10;AAAADwAAAGRycy9kb3ducmV2LnhtbEWPzYoCMRCE74LvEHphb5qoIDoahRUEvezi38FbM2lnRied&#10;IYk6vv1GWNhjUVVfUfNla2vxIB8qxxoGfQWCOHem4kLD8bDuTUCEiGywdkwaXhRgueh25pgZ9+Qd&#10;PfaxEAnCIUMNZYxNJmXIS7IY+q4hTt7FeYsxSV9I4/GZ4LaWQ6XG0mLFaaHEhlYl5bf93Wq4nb+v&#10;vt2e/HS9m7RfB1z9HDcvrT8/BmoGIlIb/8N/7Y3RMJyqEbzfpCc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3wyoL4A&#10;AADdAAAADwAAAAAAAAABACAAAAAiAAAAZHJzL2Rvd25yZXYueG1sUEsBAhQAFAAAAAgAh07iQDMv&#10;BZ47AAAAOQAAABAAAAAAAAAAAQAgAAAADQEAAGRycy9zaGFwZXhtbC54bWxQSwUGAAAAAAYABgBb&#10;AQAAtwMAAAAA&#10;" path="m226,0c101,0,0,101,0,226l0,9207c0,9332,101,9433,226,9433l1132,9433c1257,9433,1358,9332,1358,9207l1358,226c1358,101,1257,0,1132,0l226,0xe">
                    <v:path o:connectlocs="40,0;0,40;0,1643;40,1684;202,1684;243,1643;243,40;202,0;40,0" o:connectangles="0,0,0,0,0,0,0,0,0"/>
                    <v:fill on="f" focussize="0,0"/>
                    <v:stroke weight="0.45pt" color="#000000" joinstyle="round" endcap="round"/>
                    <v:imagedata o:title=""/>
                    <o:lock v:ext="edit" aspectratio="f"/>
                  </v:shape>
                </v:group>
                <v:group id="Group 3128" o:spid="_x0000_s1026" o:spt="203" style="position:absolute;left:4123;top:3776;height:1943;width:242;" coordorigin="1955,1690" coordsize="242,1684" o:gfxdata="UEsDBAoAAAAAAIdO4kAAAAAAAAAAAAAAAAAEAAAAZHJzL1BLAwQUAAAACACHTuJA8lTOrcAAAADd&#10;AAAADwAAAGRycy9kb3ducmV2LnhtbEWPQWvCQBSE70L/w/IK3upu1JYaXUXEigcRqgXx9sg+k2D2&#10;bchuE/33bqHgcZiZb5jZ4mYr0VLjS8cakoECQZw5U3Ku4ef49fYJwgdkg5Vj0nAnD4v5S2+GqXEd&#10;f1N7CLmIEPYpaihCqFMpfVaQRT9wNXH0Lq6xGKJscmka7CLcVnKo1Ie0WHJcKLCmVUHZ9fBrNWw6&#10;7JajZN3urpfV/Xx83592CWndf03UFESgW3iG/9tbo2E4UWP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lTOrcAAAADdAAAADwAAAAAAAAABACAAAAAiAAAAZHJzL2Rvd25yZXYu&#10;eG1sUEsBAhQAFAAAAAgAh07iQDMvBZ47AAAAOQAAABUAAAAAAAAAAQAgAAAADwEAAGRycy9ncm91&#10;cHNoYXBleG1sLnhtbFBLBQYAAAAABgAGAGABAADMAwAAAAA=&#10;">
                  <o:lock v:ext="edit" aspectratio="f"/>
                  <v:shape id="Freeform 3129" o:spid="_x0000_s1026" o:spt="100" style="position:absolute;left:1955;top:1690;height:1684;width:242;" fillcolor="#BBE0E3" filled="t" stroked="t" coordsize="1350,9433" o:gfxdata="UEsDBAoAAAAAAIdO4kAAAAAAAAAAAAAAAAAEAAAAZHJzL1BLAwQUAAAACACHTuJAwtMULsIAAADd&#10;AAAADwAAAGRycy9kb3ducmV2LnhtbEWPT2sCMRTE70K/Q3iFXkQTBaWuRhFLUaQgbj3o7bF57m67&#10;eVk28U/99EYoeBxm5jfMZHa1lThT40vHGnpdBYI4c6bkXMPu+7PzDsIHZIOVY9LwRx5m05fWBBPj&#10;LrylcxpyESHsE9RQhFAnUvqsIIu+62ri6B1dYzFE2eTSNHiJcFvJvlJDabHkuFBgTYuCst/0ZDX8&#10;rA/lh9q79m2wHZ6WX/lqOd/stX577akxiEDX8Az/t1dGQ3+kBvB4E5+AnN4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LT&#10;FC7CAAAA3QAAAA8AAAAAAAAAAQAgAAAAIgAAAGRycy9kb3ducmV2LnhtbFBLAQIUABQAAAAIAIdO&#10;4kAzLwWeOwAAADkAAAAQAAAAAAAAAAEAIAAAABEBAABkcnMvc2hhcGV4bWwueG1sUEsFBgAAAAAG&#10;AAYAWwEAALsDAAAAAA==&#10;" path="m225,0c101,0,0,101,0,225l0,9208c0,9332,101,9433,225,9433l1125,9433c1250,9433,1350,9332,1350,9208l1350,225c1350,101,1250,0,1125,0l225,0xe">
                    <v:path o:connectlocs="40,0;0,40;0,1643;40,1684;201,1684;242,1643;242,40;201,0;40,0" o:connectangles="0,0,0,0,0,0,0,0,0"/>
                    <v:fill on="t" focussize="0,0"/>
                    <v:stroke weight="0pt" color="#000000" joinstyle="round"/>
                    <v:imagedata o:title=""/>
                    <o:lock v:ext="edit" aspectratio="f"/>
                  </v:shape>
                  <v:shape id="Freeform 3130" o:spid="_x0000_s1026" o:spt="100" style="position:absolute;left:1955;top:1690;height:1684;width:242;" filled="f" stroked="t" coordsize="1350,9433" o:gfxdata="UEsDBAoAAAAAAIdO4kAAAAAAAAAAAAAAAAAEAAAAZHJzL1BLAwQUAAAACACHTuJACR7azL4AAADd&#10;AAAADwAAAGRycy9kb3ducmV2LnhtbEWPwW7CMBBE70j9B2uReiN2ckjbFMMBCYkDl9IW9biKlzhq&#10;dh3FLtC/ryshcRzNzpud5frKgzrTFPsgFsrCgCJpg+uls/Dxvl08g4oJxeEQhCz8UoT16mG2xMaF&#10;i7zR+ZA6lSESG7TgUxobrWPriTEWYSTJ3ilMjCnLqdNuwkuG86ArY2rN2Etu8DjSxlP7ffjh/EZd&#10;7vnrGNifhu34+VRzW2Fl7eO8NK+gEl3T/fiW3jkL1Yup4X9NRoBe/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R7azL4A&#10;AADdAAAADwAAAAAAAAABACAAAAAiAAAAZHJzL2Rvd25yZXYueG1sUEsBAhQAFAAAAAgAh07iQDMv&#10;BZ47AAAAOQAAABAAAAAAAAAAAQAgAAAADQEAAGRycy9zaGFwZXhtbC54bWxQSwUGAAAAAAYABgBb&#10;AQAAtwMAAAAA&#10;" path="m225,0c101,0,0,101,0,225l0,9208c0,9332,101,9433,225,9433l1125,9433c1250,9433,1350,9332,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131" o:spid="_x0000_s1026" o:spt="203" style="position:absolute;left:4854;top:3776;height:1943;width:248;" coordorigin="2686,1690" coordsize="248,1684" o:gfxdata="UEsDBAoAAAAAAIdO4kAAAAAAAAAAAAAAAAAEAAAAZHJzL1BLAwQUAAAACACHTuJAAoZQ2sAAAADd&#10;AAAADwAAAGRycy9kb3ducmV2LnhtbEWPQWvCQBSE70L/w/IK3upuFNsaXUXEigcRqgXx9sg+k2D2&#10;bchuE/33bqHgcZiZb5jZ4mYr0VLjS8cakoECQZw5U3Ku4ef49fYJwgdkg5Vj0nAnD4v5S2+GqXEd&#10;f1N7CLmIEPYpaihCqFMpfVaQRT9wNXH0Lq6xGKJscmka7CLcVnKo1Lu0WHJcKLCmVUHZ9fBrNWw6&#10;7JajZN3urpfV/Xwc70+7hLTuvyZqCiLQLTzD/+2t0TCcqA/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oZQ2sAAAADdAAAADwAAAAAAAAABACAAAAAiAAAAZHJzL2Rvd25yZXYu&#10;eG1sUEsBAhQAFAAAAAgAh07iQDMvBZ47AAAAOQAAABUAAAAAAAAAAQAgAAAADwEAAGRycy9ncm91&#10;cHNoYXBleG1sLnhtbFBLBQYAAAAABgAGAGABAADMAwAAAAA=&#10;">
                  <o:lock v:ext="edit" aspectratio="f"/>
                  <v:shape id="Freeform 3132" o:spid="_x0000_s1026" o:spt="100" style="position:absolute;left:2686;top:1690;height:1684;width:248;" fillcolor="#BBE0E3" filled="t" stroked="t" coordsize="1383,9433" o:gfxdata="UEsDBAoAAAAAAIdO4kAAAAAAAAAAAAAAAAAEAAAAZHJzL1BLAwQUAAAACACHTuJAjA/eZMAAAADd&#10;AAAADwAAAGRycy9kb3ducmV2LnhtbEWPQWvCQBSE74X+h+UJvdXdCJUmdQ1SEOKlRS20x0f2mUSz&#10;b0N2jbG/visIPQ4z8w2zyEfbioF63zjWkEwVCOLSmYYrDV/79fMrCB+QDbaOScOVPOTLx4cFZsZd&#10;eEvDLlQiQthnqKEOocuk9GVNFv3UdcTRO7jeYoiyr6Tp8RLhtpUzpebSYsNxocaO3msqT7uz1bD5&#10;LX6O8/P38Hl42a66j6svmtFr/TRJ1BuIQGP4D9/bhdEwS1UKtzfxCc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D95k&#10;wAAAAN0AAAAPAAAAAAAAAAEAIAAAACIAAABkcnMvZG93bnJldi54bWxQSwECFAAUAAAACACHTuJA&#10;My8FnjsAAAA5AAAAEAAAAAAAAAABACAAAAAPAQAAZHJzL3NoYXBleG1sLnhtbFBLBQYAAAAABgAG&#10;AFsBAAC5AwAAAAA=&#10;" path="m230,0c103,0,0,103,0,230l0,9203c0,9330,103,9433,230,9433l1153,9433c1280,9433,1383,9330,1383,9203l1383,230c1383,103,1280,0,1153,0l230,0xe">
                    <v:path o:connectlocs="41,0;0,41;0,1642;41,1684;206,1684;248,1642;248,41;206,0;41,0" o:connectangles="0,0,0,0,0,0,0,0,0"/>
                    <v:fill on="t" focussize="0,0"/>
                    <v:stroke weight="0pt" color="#000000" joinstyle="round"/>
                    <v:imagedata o:title=""/>
                    <o:lock v:ext="edit" aspectratio="f"/>
                  </v:shape>
                  <v:shape id="Freeform 3133" o:spid="_x0000_s1026" o:spt="100" style="position:absolute;left:2686;top:1690;height:1684;width:248;" filled="f" stroked="t" coordsize="1383,9433" o:gfxdata="UEsDBAoAAAAAAIdO4kAAAAAAAAAAAAAAAAAEAAAAZHJzL1BLAwQUAAAACACHTuJAIkzFAroAAADd&#10;AAAADwAAAGRycy9kb3ducmV2LnhtbEVPTWvCQBC9C/0PywjedBOhJU1dRQoFb0VbyXWanWaD2dk0&#10;u8b47zuHQo+P973ZTb5TIw2xDWwgX2WgiOtgW24MfH68LQtQMSFb7AKTgTtF2G0fZhssbbjxkcZT&#10;apSEcCzRgEupL7WOtSOPcRV6YuG+w+AxCRwabQe8Sbjv9DrLnrTHlqXBYU+vjurL6eoNrH2V+Ot+&#10;7h4vrip+cBp1sX83ZjHPsxdQiab0L/5zH6z4nnPZL2/kCejt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TMUCugAAAN0A&#10;AAAPAAAAAAAAAAEAIAAAACIAAABkcnMvZG93bnJldi54bWxQSwECFAAUAAAACACHTuJAMy8FnjsA&#10;AAA5AAAAEAAAAAAAAAABACAAAAAJAQAAZHJzL3NoYXBleG1sLnhtbFBLBQYAAAAABgAGAFsBAACz&#10;AwAAAAA=&#10;" path="m230,0c103,0,0,103,0,230l0,9203c0,9330,103,9433,230,9433l1153,9433c1280,9433,1383,9330,1383,9203l1383,230c1383,103,1280,0,1153,0l230,0xe">
                    <v:path o:connectlocs="41,0;0,41;0,1642;41,1684;206,1684;248,1642;248,41;206,0;41,0" o:connectangles="0,0,0,0,0,0,0,0,0"/>
                    <v:fill on="f" focussize="0,0"/>
                    <v:stroke weight="0.45pt" color="#000000" joinstyle="round" endcap="round"/>
                    <v:imagedata o:title=""/>
                    <o:lock v:ext="edit" aspectratio="f"/>
                  </v:shape>
                </v:group>
                <v:group id="Group 3134" o:spid="_x0000_s1026" o:spt="203" style="position:absolute;left:3148;top:3776;height:1943;width:242;" coordorigin="980,1690" coordsize="242,1684" o:gfxdata="UEsDBAoAAAAAAIdO4kAAAAAAAAAAAAAAAAAEAAAAZHJzL1BLAwQUAAAACACHTuJAZ/r76MAAAADd&#10;AAAADwAAAGRycy9kb3ducmV2LnhtbEWPT2sCMRTE7wW/Q3hCbzUbxVLXjSJSiwcpVAXx9ti8/YOb&#10;l2WT7uq3bwqFHoeZ+Q2Tre+2ET11vnasQU0SEMS5MzWXGs6n3csbCB+QDTaOScODPKxXo6cMU+MG&#10;/qL+GEoRIexT1FCF0KZS+rwii37iWuLoFa6zGKLsSmk6HCLcNnKaJK/SYs1xocKWthXlt+O31fAx&#10;4LCZqff+cCu2j+tp/nk5KNL6eaySJYhA9/Af/mvvjYbpQin4fROfgFz9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r76MAAAADdAAAADwAAAAAAAAABACAAAAAiAAAAZHJzL2Rvd25yZXYu&#10;eG1sUEsBAhQAFAAAAAgAh07iQDMvBZ47AAAAOQAAABUAAAAAAAAAAQAgAAAADwEAAGRycy9ncm91&#10;cHNoYXBleG1sLnhtbFBLBQYAAAAABgAGAGABAADMAwAAAAA=&#10;">
                  <o:lock v:ext="edit" aspectratio="f"/>
                  <v:shape id="Freeform 3135" o:spid="_x0000_s1026" o:spt="100" style="position:absolute;left:980;top:1690;height:1684;width:242;" fillcolor="#EAEAEA" filled="t" stroked="t" coordsize="1350,9433" o:gfxdata="UEsDBAoAAAAAAIdO4kAAAAAAAAAAAAAAAAAEAAAAZHJzL1BLAwQUAAAACACHTuJA3BWZSrsAAADd&#10;AAAADwAAAGRycy9kb3ducmV2LnhtbEWPQYvCMBSE7wv+h/AEb2vaCqLVKCi4eBKsy54fzbMpNi8l&#10;idX992ZhweMwM98w6+3TdmIgH1rHCvJpBoK4drrlRsH35fC5ABEissbOMSn4pQDbzehjjaV2Dz7T&#10;UMVGJAiHEhWYGPtSylAbshimridO3tV5izFJ30jt8ZHgtpNFls2lxZbTgsGe9obqW3W3CmZV/DmZ&#10;xY7yQ+33w3X35fFklZqM82wFItIzvsP/7aNWUCzzAv7epCcgN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BWZSrsAAADd&#10;AAAADwAAAAAAAAABACAAAAAiAAAAZHJzL2Rvd25yZXYueG1sUEsBAhQAFAAAAAgAh07iQDMvBZ47&#10;AAAAOQAAABAAAAAAAAAAAQAgAAAACgEAAGRycy9zaGFwZXhtbC54bWxQSwUGAAAAAAYABgBbAQAA&#10;tAM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36" o:spid="_x0000_s1026" o:spt="100" style="position:absolute;left:980;top:1690;height:1684;width:242;" filled="f" stroked="t" coordsize="1350,9433" o:gfxdata="UEsDBAoAAAAAAIdO4kAAAAAAAAAAAAAAAAAEAAAAZHJzL1BLAwQUAAAACACHTuJAnLDvib4AAADd&#10;AAAADwAAAGRycy9kb3ducmV2LnhtbEWPS2vDMBCE74X8B7GB3BLZLjitazmHQCCHXpo+6HGxNpaJ&#10;d2Us5fXvq0Khx2F2vtmpNzce1IWm0HsxkK8yUCStt710Bj7ed8snUCGiWBy8kIE7Bdg0s4caK+uv&#10;8kaXQ+xUgkio0ICLcay0Dq0jxrDyI0nyjn5ijElOnbYTXhOcB11kWakZe0kNDkfaOmpPhzOnN8r8&#10;lb+/PLvjsBs/1yW3BRbGLOZ59gIq0i3+H/+l99ZA8Zw/wu+ahADd/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LDvib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37" o:spid="_x0000_s1026" o:spt="203" style="position:absolute;left:3880;top:3776;height:1943;width:243;" coordorigin="1712,1690" coordsize="243,1684" o:gfxdata="UEsDBAoAAAAAAIdO4kAAAAAAAAAAAAAAAAAEAAAAZHJzL1BLAwQUAAAACACHTuJAd41YcMAAAADd&#10;AAAADwAAAGRycy9kb3ducmV2LnhtbEWPQWvCQBSE70L/w/IK3upm1ZYaXUXEigcRqgXx9sg+k2D2&#10;bchuE/33bqHgcZiZb5jZ4mYr0VLjS8ca1CABQZw5U3Ku4ef49fYJwgdkg5Vj0nAnD4v5S2+GqXEd&#10;f1N7CLmIEPYpaihCqFMpfVaQRT9wNXH0Lq6xGKJscmka7CLcVnKYJB/SYslxocCaVgVl18Ov1bDp&#10;sFuO1LrdXS+r+/n4vj/tFGndf1XJFESgW3iG/9tbo2E4UWP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41YcMAAAADdAAAADwAAAAAAAAABACAAAAAiAAAAZHJzL2Rvd25yZXYu&#10;eG1sUEsBAhQAFAAAAAgAh07iQDMvBZ47AAAAOQAAABUAAAAAAAAAAQAgAAAADwEAAGRycy9ncm91&#10;cHNoYXBleG1sLnhtbFBLBQYAAAAABgAGAGABAADMAwAAAAA=&#10;">
                  <o:lock v:ext="edit" aspectratio="f"/>
                  <v:shape id="Freeform 3138" o:spid="_x0000_s1026" o:spt="100" style="position:absolute;left:1712;top:1690;height:1684;width:243;" fillcolor="#BBE0E3" filled="t" stroked="t" coordsize="1358,9433" o:gfxdata="UEsDBAoAAAAAAIdO4kAAAAAAAAAAAAAAAAAEAAAAZHJzL1BLAwQUAAAACACHTuJAdDk697sAAADd&#10;AAAADwAAAGRycy9kb3ducmV2LnhtbEWPzYoCMRCE78K+Q+gFb5qMqKyjUdhdRK/qem8m7czopDMk&#10;Wf+e3giCx6KqvqJmi6ttxJl8qB1ryPoKBHHhTM2lhr/dsvcFIkRkg41j0nCjAIv5R2eGuXEX3tB5&#10;G0uRIBxy1FDF2OZShqIii6HvWuLkHZy3GJP0pTQeLwluGzlQaiwt1pwWKmzpp6LitP23GqKn4vt2&#10;VGHo9s3I2vFvNlzdte5+ZmoKItI1vsOv9tpoGEyyETzfpCcg5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Dk697sAAADd&#10;AAAADwAAAAAAAAABACAAAAAiAAAAZHJzL2Rvd25yZXYueG1sUEsBAhQAFAAAAAgAh07iQDMvBZ47&#10;AAAAOQAAABAAAAAAAAAAAQAgAAAACgEAAGRycy9zaGFwZXhtbC54bWxQSwUGAAAAAAYABgBbAQAA&#10;tAMA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139" o:spid="_x0000_s1026" o:spt="100" style="position:absolute;left:1712;top:1690;height:1684;width:243;" filled="f" stroked="t" coordsize="1358,9433" o:gfxdata="UEsDBAoAAAAAAIdO4kAAAAAAAAAAAAAAAAAEAAAAZHJzL1BLAwQUAAAACACHTuJACtIH5b4AAADd&#10;AAAADwAAAGRycy9kb3ducmV2LnhtbEWPzarCMBSE98J9h3AEd5rWhWg1CgqCbhT/Fu4OzbGtNicl&#10;ydX69ka4cJfDzHzDzBatqcWTnK8sK0gHCQji3OqKCwXn07o/BuEDssbaMil4k4fF/Kczw0zbFx/o&#10;eQyFiBD2GSooQ2gyKX1ekkE/sA1x9G7WGQxRukJqh68IN7UcJslIGqw4LpTY0Kqk/HH8NQoe193d&#10;tduLm6wP43Z5wtX+vHkr1eumyRREoDb8h//aG61gOElH8H0Tn4Cc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tIH5b4A&#10;AADdAAAADwAAAAAAAAABACAAAAAiAAAAZHJzL2Rvd25yZXYueG1sUEsBAhQAFAAAAAgAh07iQDMv&#10;BZ47AAAAOQAAABAAAAAAAAAAAQAgAAAADQEAAGRycy9zaGFwZXhtbC54bWxQSwUGAAAAAAYABgBb&#10;AQAAtwM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140" o:spid="_x0000_s1026" o:spt="203" style="position:absolute;left:4613;top:3776;height:1943;width:241;" coordorigin="2445,1690" coordsize="241,1684" o:gfxdata="UEsDBAoAAAAAAIdO4kAAAAAAAAAAAAAAAAAEAAAAZHJzL1BLAwQUAAAACACHTuJAh1/GB8AAAADd&#10;AAAADwAAAGRycy9kb3ducmV2LnhtbEWPQWvCQBSE70L/w/IK3upmFdsaXUXEigcRqgXx9sg+k2D2&#10;bchuE/33bqHgcZiZb5jZ4mYr0VLjS8ca1CABQZw5U3Ku4ef49fYJwgdkg5Vj0nAnD4v5S2+GqXEd&#10;f1N7CLmIEPYpaihCqFMpfVaQRT9wNXH0Lq6xGKJscmka7CLcVnKYJO/SYslxocCaVgVl18Ov1bDp&#10;sFuO1LrdXS+r+/k43p92irTuv6pkCiLQLTzD/+2t0TCcqA/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h1/GB8AAAADdAAAADwAAAAAAAAABACAAAAAiAAAAZHJzL2Rvd25yZXYu&#10;eG1sUEsBAhQAFAAAAAgAh07iQDMvBZ47AAAAOQAAABUAAAAAAAAAAQAgAAAADwEAAGRycy9ncm91&#10;cHNoYXBleG1sLnhtbFBLBQYAAAAABgAGAGABAADMAwAAAAA=&#10;">
                  <o:lock v:ext="edit" aspectratio="f"/>
                  <v:shape id="Freeform 3141" o:spid="_x0000_s1026" o:spt="100" style="position:absolute;left:2445;top:1690;height:1684;width:241;" fillcolor="#BBE0E3" filled="t" stroked="t" coordsize="1350,9433" o:gfxdata="UEsDBAoAAAAAAIdO4kAAAAAAAAAAAAAAAAAEAAAAZHJzL1BLAwQUAAAACACHTuJAqQstbb8AAADd&#10;AAAADwAAAGRycy9kb3ducmV2LnhtbEVPy2oCMRTdF/yHcIVuSk1GqNipUcRSlCKIowvdXSa3M6OT&#10;m2ESH/XrzUJweTjv0eRqa3Gm1leONSQ9BYI4d6biQsN28/M+BOEDssHaMWn4Jw+TcedlhKlxF17T&#10;OQuFiCHsU9RQhtCkUvq8JIu+5xriyP251mKIsC2kafESw20t+0oNpMWKY0OJDc1Kyo/ZyWo4/O6r&#10;b7Vzb7eP9eA0XxaL+XS10/q1m6gvEIGu4Sl+uBdGQ/8ziXPjm/gE5Pg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kLLW2/&#10;AAAA3QAAAA8AAAAAAAAAAQAgAAAAIgAAAGRycy9kb3ducmV2LnhtbFBLAQIUABQAAAAIAIdO4kAz&#10;LwWeOwAAADkAAAAQAAAAAAAAAAEAIAAAAA4BAABkcnMvc2hhcGV4bWwueG1sUEsFBgAAAAAGAAYA&#10;WwEAALgDAAAAAA==&#10;" path="m225,0c101,0,0,101,0,225l0,9208c0,9332,101,9433,225,9433l1125,9433c1249,9433,1350,9332,1350,9208l1350,225c1350,101,1249,0,1125,0l225,0xe">
                    <v:path o:connectlocs="40,0;0,40;0,1643;40,1684;200,1684;241,1643;241,40;200,0;40,0" o:connectangles="0,0,0,0,0,0,0,0,0"/>
                    <v:fill on="t" focussize="0,0"/>
                    <v:stroke weight="0pt" color="#000000" joinstyle="round"/>
                    <v:imagedata o:title=""/>
                    <o:lock v:ext="edit" aspectratio="f"/>
                  </v:shape>
                  <v:shape id="Freeform 3142" o:spid="_x0000_s1026" o:spt="100" style="position:absolute;left:2445;top:1690;height:1684;width:241;" filled="f" stroked="t" coordsize="1350,9433" o:gfxdata="UEsDBAoAAAAAAIdO4kAAAAAAAAAAAAAAAAAEAAAAZHJzL1BLAwQUAAAACACHTuJA/VjYY74AAADd&#10;AAAADwAAAGRycy9kb3ducmV2LnhtbEWPzWrDMBCE74G+g9hAb4lsH5zGtZxDINBDL0na0uNibSxT&#10;78pYan7evioEchxm55udenPlQZ1pCr0XA/kyA0XSettLZ+DjuFu8gAoRxeLghQzcKMCmeZrVWFl/&#10;kT2dD7FTCSKhQgMuxrHSOrSOGMPSjyTJO/mJMSY5ddpOeElwHnSRZaVm7CU1OBxp66j9OfxyeqPM&#10;3/n7y7M7Dbvxc1VyW2BhzPM8z15BRbrGx/E9/WYNFOt8Df9rEgJ08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jYY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0,1684;241,1643;241,40;200,0;40,0" o:connectangles="0,0,0,0,0,0,0,0,0"/>
                    <v:fill on="f" focussize="0,0"/>
                    <v:stroke weight="0.45pt" color="#000000" joinstyle="round" endcap="round"/>
                    <v:imagedata o:title=""/>
                    <o:lock v:ext="edit" aspectratio="f"/>
                  </v:shape>
                </v:group>
                <v:group id="Group 3143" o:spid="_x0000_s1026" o:spt="203" style="position:absolute;left:5344;top:3773;height:1943;width:242;" coordorigin="3176,1687" coordsize="242,1684" o:gfxdata="UEsDBAoAAAAAAIdO4kAAAAAAAAAAAAAAAAAEAAAAZHJzL1BLAwQUAAAACACHTuJAxtqUzrwAAADd&#10;AAAADwAAAGRycy9kb3ducmV2LnhtbEVPTYvCMBC9C/6HMII3TVtR1mqURXaXPYhgXRBvQzO2xWZS&#10;mmyr/94cBI+P973e3k0tOmpdZVlBPI1AEOdWV1wo+Dt9Tz5AOI+ssbZMCh7kYLsZDtaYatvzkbrM&#10;FyKEsEtRQel9k0rp8pIMuqltiAN3ta1BH2BbSN1iH8JNLZMoWkiDFYeGEhvalZTfsn+j4KfH/nMW&#10;f3X723X3uJzmh/M+JqXGozhagfB092/xy/2rFSTLJOwPb8IT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G2pTOvAAAAN0AAAAPAAAAAAAAAAEAIAAAACIAAABkcnMvZG93bnJldi54bWxQ&#10;SwECFAAUAAAACACHTuJAMy8FnjsAAAA5AAAAFQAAAAAAAAABACAAAAALAQAAZHJzL2dyb3Vwc2hh&#10;cGV4bWwueG1sUEsFBgAAAAAGAAYAYAEAAMgDAAAAAA==&#10;">
                  <o:lock v:ext="edit" aspectratio="f"/>
                  <v:shape id="Freeform 3144" o:spid="_x0000_s1026" o:spt="100" style="position:absolute;left:3176;top:1687;height:1684;width:242;" fillcolor="#BBE0E3" filled="t" stroked="t" coordsize="1350,9433" o:gfxdata="UEsDBAoAAAAAAIdO4kAAAAAAAAAAAAAAAAAEAAAAZHJzL1BLAwQUAAAACACHTuJA9l1OTcIAAADd&#10;AAAADwAAAGRycy9kb3ducmV2LnhtbEWPT2sCMRTE74LfITzBi2iyC5V2a5SiiFIE0Xqwt8fmubt2&#10;87Js4p/20zcFocdhZn7DTGZ3W4srtb5yrCEZKRDEuTMVFxoOH8vhMwgfkA3WjknDN3mYTbudCWbG&#10;3XhH130oRISwz1BDGUKTSenzkiz6kWuIo3dyrcUQZVtI0+Itwm0tU6XG0mLFcaHEhuYl5V/7i9Vw&#10;fv+sFuroBj9Pu/FltSnWq7ftUet+L1GvIALdw3/40V4bDelLmsDfm/gE5PQ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Zd&#10;Tk3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45" o:spid="_x0000_s1026" o:spt="100" style="position:absolute;left:3176;top:1687;height:1684;width:242;" filled="f" stroked="t" coordsize="1350,9433" o:gfxdata="UEsDBAoAAAAAAIdO4kAAAAAAAAAAAAAAAAAEAAAAZHJzL1BLAwQUAAAACACHTuJAPZCAr74AAADd&#10;AAAADwAAAGRycy9kb3ducmV2LnhtbEWPwW7CMBBE70j9B2uReiNOfEjbFMMBCYkDl9IW9biKlzhq&#10;dh3FLtC/ryshcRzNzpud5frKgzrTFPsgFqqiBEXSBtdLZ+Hjfbt4BhUTisMhCFn4pQjr1cNsiY0L&#10;F3mj8yF1KkMkNmjBpzQ2WsfWE2MswkiSvVOYGFOWU6fdhJcM50Gbsqw1Yy+5weNIG0/t9+GH8xt1&#10;teevY2B/Grbj51PNrUFj7eO8Kl9BJbqm+/EtvXMWzIsx8L8mI0Cv/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CAr7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46" o:spid="_x0000_s1026" o:spt="203" style="position:absolute;left:6075;top:3773;height:1943;width:242;" coordorigin="3907,1687" coordsize="242,1684" o:gfxdata="UEsDBAoAAAAAAIdO4kAAAAAAAAAAAAAAAAAEAAAAZHJzL1BLAwQUAAAACACHTuJANggKub8AAADd&#10;AAAADwAAAGRycy9kb3ducmV2LnhtbEWPT4vCMBTE7wt+h/AEb2vaiovbNYqIigcR/APL3h7Nsy02&#10;L6WJrX57Iwh7HGbmN8x0fjeVaKlxpWUF8TACQZxZXXKu4Hxaf05AOI+ssbJMCh7kYD7rfUwx1bbj&#10;A7VHn4sAYZeigsL7OpXSZQUZdENbEwfvYhuDPsgml7rBLsBNJZMo+pIGSw4LBda0LCi7Hm9GwabD&#10;bjGKV+3uelk+/k7j/e8uJqUG/Tj6AeHp7v/D7/ZWK0i+kxG83oQnIGd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2CAq5vwAAAN0AAAAPAAAAAAAAAAEAIAAAACIAAABkcnMvZG93bnJldi54&#10;bWxQSwECFAAUAAAACACHTuJAMy8FnjsAAAA5AAAAFQAAAAAAAAABACAAAAAOAQAAZHJzL2dyb3Vw&#10;c2hhcGV4bWwueG1sUEsFBgAAAAAGAAYAYAEAAMsDAAAAAA==&#10;">
                  <o:lock v:ext="edit" aspectratio="f"/>
                  <v:shape id="Freeform 3147" o:spid="_x0000_s1026" o:spt="100" style="position:absolute;left:3907;top:1687;height:1684;width:242;" fillcolor="#EAEAEA" filled="t" stroked="t" coordsize="1350,9433" o:gfxdata="UEsDBAoAAAAAAIdO4kAAAAAAAAAAAAAAAAAEAAAAZHJzL1BLAwQUAAAACACHTuJA8txuGL0AAADd&#10;AAAADwAAAGRycy9kb3ducmV2LnhtbEWPwWrDMBBE74X8g9hCb41spxTXtRxIIKGnQJ2Q82JtLFNr&#10;ZSTFSf++KhR6HGbmDVOv73YUM/kwOFaQLzMQxJ3TA/cKTsfdcwkiRGSNo2NS8E0B1s3iocZKuxt/&#10;0tzGXiQIhwoVmBinSsrQGbIYlm4iTt7FeYsxSd9L7fGW4HaURZa9SosDpwWDE20NdV/t1SpYtfF8&#10;MOWG8l3nt/Nls/d4sEo9PebZO4hI9/gf/mt/aAXFW/ECv2/SE5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3G4YvQAA&#10;AN0AAAAPAAAAAAAAAAEAIAAAACIAAABkcnMvZG93bnJldi54bWxQSwECFAAUAAAACACHTuJAMy8F&#10;njsAAAA5AAAAEAAAAAAAAAABACAAAAAMAQAAZHJzL3NoYXBleG1sLnhtbFBLBQYAAAAABgAGAFsB&#10;AAC2AwAAAAA=&#10;" path="m225,0c101,0,0,101,0,225l0,9208c0,9333,101,9433,225,9433l1125,9433c1250,9433,1350,9333,1350,9208l1350,225c1350,101,1250,0,1125,0l225,0xe">
                    <v:path o:connectlocs="40,0;0,40;0,1643;40,1684;201,1684;242,1643;242,40;201,0;40,0" o:connectangles="0,0,0,0,0,0,0,0,0"/>
                    <v:fill on="t" focussize="0,0"/>
                    <v:stroke weight="0pt" color="#000000" joinstyle="round"/>
                    <v:imagedata o:title=""/>
                    <o:lock v:ext="edit" aspectratio="f"/>
                  </v:shape>
                  <v:shape id="Freeform 3148" o:spid="_x0000_s1026" o:spt="100" style="position:absolute;left:3907;top:1687;height:1684;width:242;" filled="f" stroked="t" coordsize="1350,9433" o:gfxdata="UEsDBAoAAAAAAIdO4kAAAAAAAAAAAAAAAAAEAAAAZHJzL1BLAwQUAAAACACHTuJAsnkY274AAADd&#10;AAAADwAAAGRycy9kb3ducmV2LnhtbEWPQWsCMRCF70L/Qxiht5rdgNt2a/RQEHrwUlulx2EzbhZ3&#10;JssmVfvvG0Hw+Hjzvjdvsbpwr040xi6IhXJWgCJpguuktfD9tX56ARUTisM+CFn4owir5cNkgbUL&#10;Z/mk0za1KkMk1mjBpzTUWsfGE2OchYEke4cwMqYsx1a7Ec8Zzr02RVFpxk5yg8eB3j01x+0v5zeq&#10;csM/+8D+0K+H3XPFjUFj7eO0LN5AJbqk+/Et/eEsmFczh+uajAC9/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kY274A&#10;AADdAAAADwAAAAAAAAABACAAAAAiAAAAZHJzL2Rvd25yZXYueG1sUEsBAhQAFAAAAAgAh07iQDMv&#10;BZ47AAAAOQAAABAAAAAAAAAAAQAgAAAADQEAAGRycy9zaGFwZXhtbC54bWxQSwUGAAAAAAYABgBb&#10;AQAAtwMAAAAA&#10;" path="m225,0c101,0,0,101,0,225l0,9208c0,9333,101,9433,225,9433l1125,9433c1250,9433,1350,9333,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149" o:spid="_x0000_s1026" o:spt="203" style="position:absolute;left:6808;top:3773;height:1943;width:242;" coordorigin="4640,1687" coordsize="242,1684" o:gfxdata="UEsDBAoAAAAAAIdO4kAAAAAAAAAAAAAAAAAEAAAAZHJzL1BLAwQUAAAACACHTuJAJn+pIb8AAADd&#10;AAAADwAAAGRycy9kb3ducmV2LnhtbEWPT4vCMBTE74LfITzB25q2suJ2jSKi4kEW/APL3h7Nsy02&#10;L6WJrX77jSB4HGbmN8xscTeVaKlxpWUF8SgCQZxZXXKu4HzafExBOI+ssbJMCh7kYDHv92aYatvx&#10;gdqjz0WAsEtRQeF9nUrpsoIMupGtiYN3sY1BH2STS91gF+CmkkkUTaTBksNCgTWtCsqux5tRsO2w&#10;W47jdbu/XlaPv9Pnz+8+JqWGgzj6BuHp7t/hV3unFSRfyQ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mf6khvwAAAN0AAAAPAAAAAAAAAAEAIAAAACIAAABkcnMvZG93bnJldi54&#10;bWxQSwECFAAUAAAACACHTuJAMy8FnjsAAAA5AAAAFQAAAAAAAAABACAAAAAOAQAAZHJzL2dyb3Vw&#10;c2hhcGV4bWwueG1sUEsFBgAAAAAGAAYAYAEAAMsDAAAAAA==&#10;">
                  <o:lock v:ext="edit" aspectratio="f"/>
                  <v:shape id="Freeform 3150" o:spid="_x0000_s1026" o:spt="100" style="position:absolute;left:4640;top:1687;height:1684;width:242;" fillcolor="#EAEAEA" filled="t" stroked="t" coordsize="1350,9433" o:gfxdata="UEsDBAoAAAAAAIdO4kAAAAAAAAAAAAAAAAAEAAAAZHJzL1BLAwQUAAAACACHTuJAAg7wb70AAADd&#10;AAAADwAAAGRycy9kb3ducmV2LnhtbEWPwWrDMBBE74X8g9hCb41sB1rXtRxIIKGnQJ2Q82JtLFNr&#10;ZSTFSf++KhR6HGbmDVOv73YUM/kwOFaQLzMQxJ3TA/cKTsfdcwkiRGSNo2NS8E0B1s3iocZKuxt/&#10;0tzGXiQIhwoVmBinSsrQGbIYlm4iTt7FeYsxSd9L7fGW4HaURZa9SIsDpwWDE20NdV/t1SpYtfF8&#10;MOWG8l3nt/Nls/d4sEo9PebZO4hI9/gf/mt/aAXFW/EKv2/SE5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DvBvvQAA&#10;AN0AAAAPAAAAAAAAAAEAIAAAACIAAABkcnMvZG93bnJldi54bWxQSwECFAAUAAAACACHTuJAMy8F&#10;njsAAAA5AAAAEAAAAAAAAAABACAAAAAMAQAAZHJzL3NoYXBleG1sLnhtbFBLBQYAAAAABgAGAFsB&#10;AAC2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51" o:spid="_x0000_s1026" o:spt="100" style="position:absolute;left:4640;top:1687;height:1684;width:242;" filled="f" stroked="t" coordsize="1350,9433" o:gfxdata="UEsDBAoAAAAAAIdO4kAAAAAAAAAAAAAAAAAEAAAAZHJzL1BLAwQUAAAACACHTuJAXHi3Rb0AAADd&#10;AAAADwAAAGRycy9kb3ducmV2LnhtbEWPu27DMAxF9wL5B4EBujWyNbitGyVDgQAZujR9oCNhMZZR&#10;kzIs5dG/L4cCHYnLe3i43l55NGea85DEQ72qwJB0KQzSe3h/2909gMkFJeCYhDz8UIbtZnGzxjak&#10;i7zS+VB6oxDJLXqIpUyttbmLxJhXaSLR7JhmxqLj3Nsw40XhPFpXVY1lHEQvRJzoOVL3fTixajT1&#10;C399Jo7HcTd93DfcOXTe3y7r6glMoWv5X/5r74MH9+hUV79RBN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eLdFvQAA&#10;AN0AAAAPAAAAAAAAAAEAIAAAACIAAABkcnMvZG93bnJldi54bWxQSwECFAAUAAAACACHTuJAMy8F&#10;njsAAAA5AAAAEAAAAAAAAAABACAAAAAMAQAAZHJzL3NoYXBleG1sLnhtbFBLBQYAAAAABgAGAFsB&#10;AAC2Aw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52" o:spid="_x0000_s1026" o:spt="203" style="position:absolute;left:7540;top:3773;height:1944;width:242;" coordorigin="5372,1687" coordsize="242,1685" o:gfxdata="UEsDBAoAAAAAAIdO4kAAAAAAAAAAAAAAAAAEAAAAZHJzL1BLAwQUAAAACACHTuJAV+A9U8EAAADd&#10;AAAADwAAAGRycy9kb3ducmV2LnhtbEWPT2vCQBTE7wW/w/IKvdVNIhZNXUWkFg9SMBFKb4/sMwlm&#10;34bsNn++fbdQ6HGYmd8wm91oGtFT52rLCuJ5BIK4sLrmUsE1Pz6vQDiPrLGxTAomcrDbzh42mGo7&#10;8IX6zJciQNilqKDyvk2ldEVFBt3ctsTBu9nOoA+yK6XucAhw08gkil6kwZrDQoUtHSoq7tm3UfA+&#10;4LBfxG/9+X47TF/58uPzHJNST49x9ArC0+j/w3/tk1aQrJM1/L4JT0Bufw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FfgPVPBAAAA3QAAAA8AAAAAAAAAAQAgAAAAIgAAAGRycy9kb3ducmV2&#10;LnhtbFBLAQIUABQAAAAIAIdO4kAzLwWeOwAAADkAAAAVAAAAAAAAAAEAIAAAABABAABkcnMvZ3Jv&#10;dXBzaGFwZXhtbC54bWxQSwUGAAAAAAYABgBgAQAAzQMAAAAA&#10;">
                  <o:lock v:ext="edit" aspectratio="f"/>
                  <v:shape id="Freeform 3153" o:spid="_x0000_s1026" o:spt="100" style="position:absolute;left:5372;top:1687;height:1685;width:242;" fillcolor="#EAEAEA" filled="t" stroked="t" coordsize="675,4717" o:gfxdata="UEsDBAoAAAAAAIdO4kAAAAAAAAAAAAAAAAAEAAAAZHJzL1BLAwQUAAAACACHTuJA2WIawLwAAADd&#10;AAAADwAAAGRycy9kb3ducmV2LnhtbEVPu27CMBTdK/EP1kXqVpwA4pHiMCAhVaUDpBXzbXxxIuLr&#10;yHYh/H09VOp4dN6b7WA7cSMfWscK8kkGgrh2umWj4Otz/7ICESKyxs4xKXhQgG05etpgod2dT3Sr&#10;ohEphEOBCpoY+0LKUDdkMUxcT5y4i/MWY4LeSO3xnsJtJ6dZtpAWW04NDfa0a6i+Vj9Wwez8wct3&#10;HuZHU3n/sObwveq8Us/jPHsFEWmI/+I/95tWMF3P0v70Jj0BWf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iGsC8AAAA&#10;3QAAAA8AAAAAAAAAAQAgAAAAIgAAAGRycy9kb3ducmV2LnhtbFBLAQIUABQAAAAIAIdO4kAzLwWe&#10;OwAAADkAAAAQAAAAAAAAAAEAIAAAAAsBAABkcnMvc2hhcGV4bWwueG1sUEsFBgAAAAAGAAYAWwEA&#10;ALUDA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154" o:spid="_x0000_s1026" o:spt="100" style="position:absolute;left:5372;top:1687;height:1685;width:242;" filled="f" stroked="t" coordsize="675,4717" o:gfxdata="UEsDBAoAAAAAAIdO4kAAAAAAAAAAAAAAAAAEAAAAZHJzL1BLAwQUAAAACACHTuJAl0HQgL8AAADd&#10;AAAADwAAAGRycy9kb3ducmV2LnhtbEWPS2vDMBCE74X+B7GF3BLZKXm5kUNSKBRyCHELIbeNtbWM&#10;rZWxlEf/fRUI9DjMzDfMcnWzrbhQ72vHCtJRAoK4dLrmSsH318dwDsIHZI2tY1LwSx5W+fPTEjPt&#10;rrynSxEqESHsM1RgQugyKX1pyKIfuY44ej+utxii7Cupe7xGuG3lOEmm0mLNccFgR++GyqY4WwUT&#10;ktvjgY6TDe/IrYtyxo05KTV4SZM3EIFu4T/8aH9qBePFawr3N/EJyPw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B0IC/&#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155" o:spid="_x0000_s1026" o:spt="203" style="position:absolute;left:5828;top:3776;height:1943;width:243;" coordorigin="3660,1690" coordsize="243,1684" o:gfxdata="UEsDBAoAAAAAAIdO4kAAAAAAAAAAAAAAAAAEAAAAZHJzL1BLAwQUAAAACACHTuJA3J05/78AAADd&#10;AAAADwAAAGRycy9kb3ducmV2LnhtbEWPT4vCMBTE7wt+h/AEb2vaiovbNYqIigcR/APL3h7Nsy02&#10;L6WJrX57Iwh7HGbmN8x0fjeVaKlxpWUF8TACQZxZXXKu4Hxaf05AOI+ssbJMCh7kYD7rfUwx1bbj&#10;A7VHn4sAYZeigsL7OpXSZQUZdENbEwfvYhuDPsgml7rBLsBNJZMo+pIGSw4LBda0LCi7Hm9GwabD&#10;bjGKV+3uelk+/k7j/e8uJqUG/Tj6AeHp7v/D7/ZWK0i+Rwm83oQnIGd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nTn/vwAAAN0AAAAPAAAAAAAAAAEAIAAAACIAAABkcnMvZG93bnJldi54&#10;bWxQSwECFAAUAAAACACHTuJAMy8FnjsAAAA5AAAAFQAAAAAAAAABACAAAAAOAQAAZHJzL2dyb3Vw&#10;c2hhcGV4bWwueG1sUEsFBgAAAAAGAAYAYAEAAMsDAAAAAA==&#10;">
                  <o:lock v:ext="edit" aspectratio="f"/>
                  <v:shape id="Freeform 3156" o:spid="_x0000_s1026" o:spt="100" style="position:absolute;left:3660;top:1690;height:1684;width:243;" fillcolor="#EAEAEA" filled="t" stroked="t" coordsize="1358,9433" o:gfxdata="UEsDBAoAAAAAAIdO4kAAAAAAAAAAAAAAAAAEAAAAZHJzL1BLAwQUAAAACACHTuJAq4d6tb0AAADd&#10;AAAADwAAAGRycy9kb3ducmV2LnhtbEWPQYvCMBSE74L/IbwFb5paQbRrlHVhRU+yKuLx0bxti81L&#10;SWKt/94Iwh6HmfmGWaw6U4uWnK8sKxiPEhDEudUVFwpOx5/hDIQPyBpry6TgQR5Wy35vgZm2d/6l&#10;9hAKESHsM1RQhtBkUvq8JIN+ZBvi6P1ZZzBE6QqpHd4j3NQyTZKpNFhxXCixoe+S8uvhZhScz5dQ&#10;uS7dX/Grxsu62W92s1apwcc4+QQRqAv/4Xd7qxWk88kEXm/iE5D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h3q1vQAA&#10;AN0AAAAPAAAAAAAAAAEAIAAAACIAAABkcnMvZG93bnJldi54bWxQSwECFAAUAAAACACHTuJAMy8F&#10;njsAAAA5AAAAEAAAAAAAAAABACAAAAAMAQAAZHJzL3NoYXBleG1sLnhtbFBLBQYAAAAABgAGAFsB&#10;AAC2AwA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157" o:spid="_x0000_s1026" o:spt="100" style="position:absolute;left:3660;top:1690;height:1684;width:243;" filled="f" stroked="t" coordsize="1358,9433" o:gfxdata="UEsDBAoAAAAAAIdO4kAAAAAAAAAAAAAAAAAEAAAAZHJzL1BLAwQUAAAACACHTuJA3vlgacAAAADd&#10;AAAADwAAAGRycy9kb3ducmV2LnhtbEWPQWvCQBSE74X+h+UVvNWNWopGV6GCoBdFkx68PbKvSWr2&#10;bdjdmuTfd4VCj8PMfMOsNr1pxJ2cry0rmIwTEMSF1TWXCvJs9zoH4QOyxsYyKRjIw2b9/LTCVNuO&#10;z3S/hFJECPsUFVQhtKmUvqjIoB/bljh6X9YZDFG6UmqHXYSbRk6T5F0arDkuVNjStqLidvkxCm7X&#10;47frD59usTvP+48Mt6d8Pyg1epkkSxCB+vAf/mvvtYLpYvYGjzfxCcj1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e+WBp&#10;wAAAAN0AAAAPAAAAAAAAAAEAIAAAACIAAABkcnMvZG93bnJldi54bWxQSwECFAAUAAAACACHTuJA&#10;My8FnjsAAAA5AAAAEAAAAAAAAAABACAAAAAPAQAAZHJzL3NoYXBleG1sLnhtbFBLBQYAAAAABgAG&#10;AFsBAAC5Aw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158" o:spid="_x0000_s1026" o:spt="203" style="position:absolute;left:6561;top:3776;height:1943;width:242;" coordorigin="4393,1690" coordsize="242,1684" o:gfxdata="UEsDBAoAAAAAAIdO4kAAAAAAAAAAAAAAAAAEAAAAZHJzL1BLAwQUAAAACACHTuJAU3Shi8AAAADd&#10;AAAADwAAAGRycy9kb3ducmV2LnhtbEWPQWvCQBSE7wX/w/IEb3WzBkuNriKhlh6kUBXE2yP7TILZ&#10;tyG7TfTfdwuFHoeZ+YZZbe62ET11vnasQU0TEMSFMzWXGk7H3fMrCB+QDTaOScODPGzWo6cVZsYN&#10;/EX9IZQiQthnqKEKoc2k9EVFFv3UtcTRu7rOYoiyK6XpcIhw28hZkrxIizXHhQpbyisqbodvq+F9&#10;wGGbqrd+f7vmj8tx/nneK9J6MlbJEkSge/gP/7U/jIbZIp3D75v4BOT6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3Shi8AAAADdAAAADwAAAAAAAAABACAAAAAiAAAAZHJzL2Rvd25yZXYu&#10;eG1sUEsBAhQAFAAAAAgAh07iQDMvBZ47AAAAOQAAABUAAAAAAAAAAQAgAAAADwEAAGRycy9ncm91&#10;cHNoYXBleG1sLnhtbFBLBQYAAAAABgAGAGABAADMAwAAAAA=&#10;">
                  <o:lock v:ext="edit" aspectratio="f"/>
                  <v:shape id="Freeform 3159" o:spid="_x0000_s1026" o:spt="100" style="position:absolute;left:4393;top:1690;height:1684;width:242;" fillcolor="#EAEAEA" filled="t" stroked="t" coordsize="1350,9433" o:gfxdata="UEsDBAoAAAAAAIdO4kAAAAAAAAAAAAAAAAAEAAAAZHJzL1BLAwQUAAAACACHTuJA6JvDKbsAAADd&#10;AAAADwAAAGRycy9kb3ducmV2LnhtbEWPQYvCMBSE7wv+h/AEb2taBdFqFBQUT8LWZc+P5tkUm5eS&#10;xKr/3ggLHoeZ+YZZbR62FT350DhWkI8zEMSV0w3XCn7P++85iBCRNbaOScGTAmzWg68VFtrd+Yf6&#10;MtYiQTgUqMDE2BVShsqQxTB2HXHyLs5bjEn6WmqP9wS3rZxk2UxabDgtGOxoZ6i6ljerYFrGv5OZ&#10;bynfV37XX7YHjyer1GiYZ0sQkR7xE/5vH7WCyWI6g/eb9ATk+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JvDKbsAAADd&#10;AAAADwAAAAAAAAABACAAAAAiAAAAZHJzL2Rvd25yZXYueG1sUEsBAhQAFAAAAAgAh07iQDMvBZ47&#10;AAAAOQAAABAAAAAAAAAAAQAgAAAACgEAAGRycy9zaGFwZXhtbC54bWxQSwUGAAAAAAYABgBbAQAA&#10;tAM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60" o:spid="_x0000_s1026" o:spt="100" style="position:absolute;left:4393;top:1690;height:1684;width:242;" filled="f" stroked="t" coordsize="1350,9433" o:gfxdata="UEsDBAoAAAAAAIdO4kAAAAAAAAAAAAAAAAAEAAAAZHJzL1BLAwQUAAAACACHTuJAqD616r4AAADd&#10;AAAADwAAAGRycy9kb3ducmV2LnhtbEWPS2vDMBCE74X+B7GF3BrZDjipGyWHQCCHXJoXPS7WxjL1&#10;roylPPrvq0Igx2F2vtmZL+/cqSsNofViIB9noEhqb1tpDBz26/cZqBBRLHZeyMAvBVguXl/mWFl/&#10;ky+67mKjEkRChQZcjH2ldagdMYax70mSd/YDY0xyaLQd8Jbg3Okiy0rN2EpqcNjTylH9s7tweqPM&#10;t/x98uzO3bo/TkuuCyyMGb3l2SeoSPf4PH6kN9ZA8TGZwv+ahAC9+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D616r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61" o:spid="_x0000_s1026" o:spt="203" style="position:absolute;left:7292;top:3776;height:1943;width:248;" coordorigin="5124,1690" coordsize="248,1684" o:gfxdata="UEsDBAoAAAAAAIdO4kAAAAAAAAAAAAAAAAAEAAAAZHJzL1BLAwQUAAAACACHTuJAvXUOFb4AAADd&#10;AAAADwAAAGRycy9kb3ducmV2LnhtbEVPyWrDMBC9F/oPYgK5NbJjWlonciihCTmYQpNCyG2wxgux&#10;RsZSvfx9dSj0+Hj7djeZVgzUu8aygngVgSAurG64UvB9OTy9gnAeWWNrmRTM5GCXPT5sMdV25C8a&#10;zr4SIYRdigpq77tUSlfUZNCtbEccuNL2Bn2AfSV1j2MIN61cR9GLNNhwaKixo31Nxf38YxQcRxzf&#10;k/hjyO/lfr5dnj+veUxKLRdxtAHhafL/4j/3SStYvyVhbngTnoDMf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11DhW+AAAA3QAAAA8AAAAAAAAAAQAgAAAAIgAAAGRycy9kb3ducmV2Lnht&#10;bFBLAQIUABQAAAAIAIdO4kAzLwWeOwAAADkAAAAVAAAAAAAAAAEAIAAAAA0BAABkcnMvZ3JvdXBz&#10;aGFwZXhtbC54bWxQSwUGAAAAAAYABgBgAQAAygMAAAAA&#10;">
                  <o:lock v:ext="edit" aspectratio="f"/>
                  <v:shape id="Freeform 3162" o:spid="_x0000_s1026" o:spt="100" style="position:absolute;left:5124;top:1690;height:1684;width:248;" fillcolor="#EAEAEA" filled="t" stroked="t" coordsize="1383,9433" o:gfxdata="UEsDBAoAAAAAAIdO4kAAAAAAAAAAAAAAAAAEAAAAZHJzL1BLAwQUAAAACACHTuJA++UMDb4AAADd&#10;AAAADwAAAGRycy9kb3ducmV2LnhtbEWPT4vCMBTE78J+h/AWvGlaxX/dRmFFwWPV3YO3R/NsuzYv&#10;pclW/fZGEDwOM/MbJl3dTC06al1lWUE8jEAQ51ZXXCj4OW4HcxDOI2usLZOCOzlYLT96KSbaXnlP&#10;3cEXIkDYJaig9L5JpHR5SQbd0DbEwTvb1qAPsi2kbvEa4KaWoyiaSoMVh4USG1qXlF8O/0bBX4bd&#10;LMu+N7/eXU7HsT65zXqiVP8zjr5AeLr5d/jV3mkFo8V4Ac834QnI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MDb4A&#10;AADdAAAADwAAAAAAAAABACAAAAAiAAAAZHJzL2Rvd25yZXYueG1sUEsBAhQAFAAAAAgAh07iQDMv&#10;BZ47AAAAOQAAABAAAAAAAAAAAQAgAAAADQEAAGRycy9zaGFwZXhtbC54bWxQSwUGAAAAAAYABgBb&#10;AQAAtwMAAAAA&#10;" path="m231,0c103,0,0,103,0,230l0,9203c0,9330,103,9433,231,9433l1153,9433c1280,9433,1383,9330,1383,9203l1383,230c1383,103,1280,0,1153,0l231,0xe">
                    <v:path o:connectlocs="41,0;0,41;0,1642;41,1684;206,1684;248,1642;248,41;206,0;41,0" o:connectangles="0,0,0,0,0,0,0,0,0"/>
                    <v:fill on="t" focussize="0,0"/>
                    <v:stroke weight="0pt" color="#000000" joinstyle="round"/>
                    <v:imagedata o:title=""/>
                    <o:lock v:ext="edit" aspectratio="f"/>
                  </v:shape>
                  <v:shape id="Freeform 3163" o:spid="_x0000_s1026" o:spt="100" style="position:absolute;left:5124;top:1690;height:1684;width:248;" filled="f" stroked="t" coordsize="1383,9433" o:gfxdata="UEsDBAoAAAAAAIdO4kAAAAAAAAAAAAAAAAAEAAAAZHJzL1BLAwQUAAAACACHTuJAMf/qH7oAAADd&#10;AAAADwAAAGRycy9kb3ducmV2LnhtbEVPTWvCQBC9F/wPywje6kaxkqauIoWCt1Jt8TrNTrPB7GzM&#10;rjH++85B8Ph436vN4BvVUxfrwAZm0wwUcRlszZWB78PHcw4qJmSLTWAycKMIm/XoaYWFDVf+on6f&#10;KiUhHAs04FJqC61j6chjnIaWWLi/0HlMArtK2w6vEu4bPc+ypfZYszQ4bOndUXnaX7yBuT8m/r39&#10;NC8nd8zPOPQ6334aMxnPsjdQiYb0EN/dOyu+14XslzfyBPT6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ofugAAAN0A&#10;AAAPAAAAAAAAAAEAIAAAACIAAABkcnMvZG93bnJldi54bWxQSwECFAAUAAAACACHTuJAMy8FnjsA&#10;AAA5AAAAEAAAAAAAAAABACAAAAAJAQAAZHJzL3NoYXBleG1sLnhtbFBLBQYAAAAABgAGAFsBAACz&#10;AwAAAAA=&#10;" path="m231,0c103,0,0,103,0,230l0,9203c0,9330,103,9433,231,9433l1153,9433c1280,9433,1383,9330,1383,9203l1383,230c1383,103,1280,0,1153,0l231,0xe">
                    <v:path o:connectlocs="41,0;0,41;0,1642;41,1684;206,1684;248,1642;248,41;206,0;41,0" o:connectangles="0,0,0,0,0,0,0,0,0"/>
                    <v:fill on="f" focussize="0,0"/>
                    <v:stroke weight="0.45pt" color="#000000" joinstyle="round" endcap="round"/>
                    <v:imagedata o:title=""/>
                    <o:lock v:ext="edit" aspectratio="f"/>
                  </v:shape>
                </v:group>
                <v:group id="Group 3164" o:spid="_x0000_s1026" o:spt="203" style="position:absolute;left:5586;top:3776;height:1943;width:242;" coordorigin="3418,1690" coordsize="242,1684" o:gfxdata="UEsDBAoAAAAAAIdO4kAAAAAAAAAAAAAAAAAEAAAAZHJzL1BLAwQUAAAACACHTuJAdEnU9cAAAADd&#10;AAAADwAAAGRycy9kb3ducmV2LnhtbEWPQWvCQBSE70L/w/IK3upm1ZYaXUXEigcRqgXx9sg+k2D2&#10;bchuE/33bqHgcZiZb5jZ4mYr0VLjS8ca1CABQZw5U3Ku4ef49fYJwgdkg5Vj0nAnD4v5S2+GqXEd&#10;f1N7CLmIEPYpaihCqFMpfVaQRT9wNXH0Lq6xGKJscmka7CLcVnKYJB/SYslxocCaVgVl18Ov1bDp&#10;sFuO1LrdXS+r+/n4vj/tFGndf1XJFESgW3iG/9tbo2E4GSv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EnU9cAAAADdAAAADwAAAAAAAAABACAAAAAiAAAAZHJzL2Rvd25yZXYu&#10;eG1sUEsBAhQAFAAAAAgAh07iQDMvBZ47AAAAOQAAABUAAAAAAAAAAQAgAAAADwEAAGRycy9ncm91&#10;cHNoYXBleG1sLnhtbFBLBQYAAAAABgAGAGABAADMAwAAAAA=&#10;">
                  <o:lock v:ext="edit" aspectratio="f"/>
                  <v:shape id="Freeform 3165" o:spid="_x0000_s1026" o:spt="100" style="position:absolute;left:3418;top:1690;height:1684;width:242;" fillcolor="#BBE0E3" filled="t" stroked="t" coordsize="1350,9433" o:gfxdata="UEsDBAoAAAAAAIdO4kAAAAAAAAAAAAAAAAAEAAAAZHJzL1BLAwQUAAAACACHTuJA21A1msMAAADd&#10;AAAADwAAAGRycy9kb3ducmV2LnhtbEWPT2sCMRTE74LfITyhF6mJSyt1NUppKUopiNse9PbYPHdX&#10;Ny/LJv6pn74RCh6HmfkNM51fbC1O1PrKsYbhQIEgzp2puNDw8/3x+ALCB2SDtWPS8Ese5rNuZ4qp&#10;cWde0ykLhYgQ9ilqKENoUil9XpJFP3ANcfR2rrUYomwLaVo8R7itZaLUSFqsOC6U2NBbSfkhO1oN&#10;+89t9a42rn99Xo+Oi69iuXhdbbR+6A3VBESgS7iH/9tLoyEZPyVwexOfgJz9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b&#10;UDWawwAAAN0AAAAPAAAAAAAAAAEAIAAAACIAAABkcnMvZG93bnJldi54bWxQSwECFAAUAAAACACH&#10;TuJAMy8FnjsAAAA5AAAAEAAAAAAAAAABACAAAAASAQAAZHJzL3NoYXBleG1sLnhtbFBLBQYAAAAA&#10;BgAGAFsBAAC8Aw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66" o:spid="_x0000_s1026" o:spt="100" style="position:absolute;left:3418;top:1690;height:1684;width:242;" filled="f" stroked="t" coordsize="1350,9433" o:gfxdata="UEsDBAoAAAAAAIdO4kAAAAAAAAAAAAAAAAAEAAAAZHJzL1BLAwQUAAAACACHTuJAjwPAlL4AAADd&#10;AAAADwAAAGRycy9kb3ducmV2LnhtbEWPT2vCQBDF7wW/wzKCt7pJWqKmrh4EoYdearX0OGTHbGhm&#10;NmTXf9++Kwg9Pt6835u3XF+5U2caQuvFQD7NQJHU3rbSGNh/bZ/noEJEsdh5IQM3CrBejZ6WWFl/&#10;kU8672KjEkRChQZcjH2ldagdMYap70mSd/QDY0xyaLQd8JLg3Okiy0rN2EpqcNjTxlH9uztxeqPM&#10;P/jn27M7dtv+MCu5LrAwZjLOszdQka7x//iRfrcGisXrC9zXJATo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wPAlL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67" o:spid="_x0000_s1026" o:spt="203" style="position:absolute;left:6317;top:3776;height:1943;width:244;" coordorigin="4149,1690" coordsize="244,1684" o:gfxdata="UEsDBAoAAAAAAIdO4kAAAAAAAAAAAAAAAAAEAAAAZHJzL1BLAwQUAAAACACHTuJAZD53bcAAAADd&#10;AAAADwAAAGRycy9kb3ducmV2LnhtbEWPS4vCQBCE78L+h6EX9rZO4gvNOsoiKh5E8AHircm0STDT&#10;EzKzif57R1jwWFTVV9R0fjelaKh2hWUFcTcCQZxaXXCm4HRcfY9BOI+ssbRMCh7kYD776Ewx0bbl&#10;PTUHn4kAYZeggtz7KpHSpTkZdF1bEQfvamuDPsg6k7rGNsBNKXtRNJIGCw4LOVa0yCm9Hf6MgnWL&#10;7W8/Xjbb23XxuByHu/M2JqW+PuPoB4Snu3+H/9sbraA3GQzg9SY8ATl7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D53bcAAAADdAAAADwAAAAAAAAABACAAAAAiAAAAZHJzL2Rvd25yZXYu&#10;eG1sUEsBAhQAFAAAAAgAh07iQDMvBZ47AAAAOQAAABUAAAAAAAAAAQAgAAAADwEAAGRycy9ncm91&#10;cHNoYXBleG1sLnhtbFBLBQYAAAAABgAGAGABAADMAwAAAAA=&#10;">
                  <o:lock v:ext="edit" aspectratio="f"/>
                  <v:shape id="Freeform 3168" o:spid="_x0000_s1026" o:spt="100" style="position:absolute;left:4149;top:1690;height:1684;width:244;" fillcolor="#EAEAEA" filled="t" stroked="t" coordsize="1359,9433" o:gfxdata="UEsDBAoAAAAAAIdO4kAAAAAAAAAAAAAAAAAEAAAAZHJzL1BLAwQUAAAACACHTuJAOGtIDr0AAADd&#10;AAAADwAAAGRycy9kb3ducmV2LnhtbEWP3YrCMBSE7xd8h3AE79a0olKrUXRF9E6sPsChObbF5qQ0&#10;2frz9EZY2MthZr5hFquHqUVHrassK4iHEQji3OqKCwWX8+47AeE8ssbaMil4koPVsve1wFTbO5+o&#10;y3whAoRdigpK75tUSpeXZNANbUMcvKttDfog20LqFu8Bbmo5iqKpNFhxWCixoZ+S8lv2axS4eL2P&#10;66nZHNd5Yl7Zs0ua7VGpQT+O5iA8Pfx/+K990ApGs/EEPm/CE5DL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a0gOvQAA&#10;AN0AAAAPAAAAAAAAAAEAIAAAACIAAABkcnMvZG93bnJldi54bWxQSwECFAAUAAAACACHTuJAMy8F&#10;njsAAAA5AAAAEAAAAAAAAAABACAAAAAMAQAAZHJzL3NoYXBleG1sLnhtbFBLBQYAAAAABgAGAFsB&#10;AAC2AwAAAAA=&#10;" path="m227,0c102,0,0,101,0,226l0,9207c0,9332,102,9433,227,9433l1132,9433c1257,9433,1359,9332,1359,9207l1359,226c1359,101,1257,0,1132,0l227,0xe">
                    <v:path o:connectlocs="40,0;0,40;0,1643;40,1684;203,1684;244,1643;244,40;203,0;40,0" o:connectangles="0,0,0,0,0,0,0,0,0"/>
                    <v:fill on="t" focussize="0,0"/>
                    <v:stroke weight="0pt" color="#000000" joinstyle="round"/>
                    <v:imagedata o:title=""/>
                    <o:lock v:ext="edit" aspectratio="f"/>
                  </v:shape>
                  <v:shape id="Freeform 3169" o:spid="_x0000_s1026" o:spt="100" style="position:absolute;left:4149;top:1690;height:1684;width:244;" filled="f" stroked="t" coordsize="1359,9433" o:gfxdata="UEsDBAoAAAAAAIdO4kAAAAAAAAAAAAAAAAAEAAAAZHJzL1BLAwQUAAAACACHTuJAUb7MFL4AAADd&#10;AAAADwAAAGRycy9kb3ducmV2LnhtbEWPS4vCQBCE78L+h6EX9qYTwxI06yg+ULyuBt1jk2mTaKYn&#10;ZMbnr98RBI9FVX1FjSY3U4sLta6yrKDfi0AQ51ZXXCjItsvuAITzyBpry6TgTg4m44/OCFNtr/xL&#10;l40vRICwS1FB6X2TSunykgy6nm2Ig3ewrUEfZFtI3eI1wE0t4yhKpMGKw0KJDc1Lyk+bs1GwOw0X&#10;M5nlR9zH02Sw/3ssV8lRqa/PfvQDwtPNv8Ov9loriIffCTzfhCcg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b7MFL4A&#10;AADdAAAADwAAAAAAAAABACAAAAAiAAAAZHJzL2Rvd25yZXYueG1sUEsBAhQAFAAAAAgAh07iQDMv&#10;BZ47AAAAOQAAABAAAAAAAAAAAQAgAAAADQEAAGRycy9zaGFwZXhtbC54bWxQSwUGAAAAAAYABgBb&#10;AQAAtwMAAAAA&#10;" path="m227,0c102,0,0,101,0,226l0,9207c0,9332,102,9433,227,9433l1132,9433c1257,9433,1359,9332,1359,9207l1359,226c1359,101,1257,0,1132,0l227,0xe">
                    <v:path o:connectlocs="40,0;0,40;0,1643;40,1684;203,1684;244,1643;244,40;203,0;40,0" o:connectangles="0,0,0,0,0,0,0,0,0"/>
                    <v:fill on="f" focussize="0,0"/>
                    <v:stroke weight="0.45pt" color="#000000" joinstyle="round" endcap="round"/>
                    <v:imagedata o:title=""/>
                    <o:lock v:ext="edit" aspectratio="f"/>
                  </v:shape>
                </v:group>
                <v:group id="Group 3170" o:spid="_x0000_s1026" o:spt="203" style="position:absolute;left:7050;top:3776;height:1943;width:242;" coordorigin="4882,1690" coordsize="242,1684" o:gfxdata="UEsDBAoAAAAAAIdO4kAAAAAAAAAAAAAAAAAEAAAAZHJzL1BLAwQUAAAACACHTuJAlOzpGsEAAADd&#10;AAAADwAAAGRycy9kb3ducmV2LnhtbEWPT2vCQBTE70K/w/IK3ppN1LY2zSpFtPQgQrUgvT2yL38w&#10;+zZk10S/fbcgeBxm5jdMtryYRvTUudqygiSKQRDnVtdcKvg5bJ7mIJxH1thYJgVXcrBcPIwyTLUd&#10;+Jv6vS9FgLBLUUHlfZtK6fKKDLrItsTBK2xn0AfZlVJ3OAS4aeQkjl+kwZrDQoUtrSrKT/uzUfA5&#10;4PAxTdb99lSsrr+H591xm5BS48ckfgfh6eLv4Vv7SyuYvM1e4f9NeAJy8Qd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JTs6RrBAAAA3QAAAA8AAAAAAAAAAQAgAAAAIgAAAGRycy9kb3ducmV2&#10;LnhtbFBLAQIUABQAAAAIAIdO4kAzLwWeOwAAADkAAAAVAAAAAAAAAAEAIAAAABABAABkcnMvZ3Jv&#10;dXBzaGFwZXhtbC54bWxQSwUGAAAAAAYABgBgAQAAzQMAAAAA&#10;">
                  <o:lock v:ext="edit" aspectratio="f"/>
                  <v:shape id="Freeform 3171" o:spid="_x0000_s1026" o:spt="100" style="position:absolute;left:4882;top:1690;height:1684;width:242;" fillcolor="#EAEAEA" filled="t" stroked="t" coordsize="1350,9433" o:gfxdata="UEsDBAoAAAAAAIdO4kAAAAAAAAAAAAAAAAAEAAAAZHJzL1BLAwQUAAAACACHTuJArk6BvbkAAADd&#10;AAAADwAAAGRycy9kb3ducmV2LnhtbEVPTYvCMBC9C/sfwix407Qq0q1GQcHFk2B32fPQjE2xmZQk&#10;W/Xfm4Pg8fG+19u77cRAPrSOFeTTDARx7XTLjYLfn8OkABEissbOMSl4UIDt5mO0xlK7G59pqGIj&#10;UgiHEhWYGPtSylAbshimridO3MV5izFB30jt8ZbCbSdnWbaUFltODQZ72huqr9W/VTCv4t/JFDvK&#10;D7XfD5fdt8eTVWr8mWcrEJHu8S1+uY9awexrkeamN+kJyM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5Ogb25AAAA3QAA&#10;AA8AAAAAAAAAAQAgAAAAIgAAAGRycy9kb3ducmV2LnhtbFBLAQIUABQAAAAIAIdO4kAzLwWeOwAA&#10;ADkAAAAQAAAAAAAAAAEAIAAAAAgBAABkcnMvc2hhcGV4bWwueG1sUEsFBgAAAAAGAAYAWwEAALID&#10;A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72" o:spid="_x0000_s1026" o:spt="100" style="position:absolute;left:4882;top:1690;height:1684;width:242;" filled="f" stroked="t" coordsize="1350,9433" o:gfxdata="UEsDBAoAAAAAAIdO4kAAAAAAAAAAAAAAAAAEAAAAZHJzL1BLAwQUAAAACACHTuJA7uv3fr4AAADd&#10;AAAADwAAAGRycy9kb3ducmV2LnhtbEWPS2vDMBCE74X8B7GF3BrZpriNayWHQKCHXvIqPS7W2jL1&#10;royl5vHvo0Khx2F2vtmp11ce1Jmm0HsxkC8yUCSNt710Bo6H7dMrqBBRLA5eyMCNAqxXs4caK+sv&#10;sqPzPnYqQSRUaMDFOFZah8YRY1j4kSR5rZ8YY5JTp+2ElwTnQRdZVmrGXlKDw5E2jprv/Q+nN8r8&#10;g78+Pbt22I6nl5KbAgtj5o959gYq0jX+H/+l362BYvm8hN81CQF6d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uv3fr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73" o:spid="_x0000_s1026" o:spt="203" style="position:absolute;left:7782;top:3773;height:1944;width:242;" coordorigin="5614,1687" coordsize="242,1685" o:gfxdata="UEsDBAoAAAAAAIdO4kAAAAAAAAAAAAAAAAAEAAAAZHJzL1BLAwQUAAAACACHTuJAntzns70AAADd&#10;AAAADwAAAGRycy9kb3ducmV2LnhtbEVPTWvCQBC9F/oflhG81U2UFBtdQxGVHkJBLYi3ITsmIdnZ&#10;kF0T/ffdQ6HHx/teZw/TioF6V1tWEM8iEMSF1TWXCn7O+7clCOeRNbaWScGTHGSb15c1ptqOfKTh&#10;5EsRQtilqKDyvkuldEVFBt3MdsSBu9neoA+wL6XucQzhppXzKHqXBmsODRV2tK2oaE53o+Aw4vi5&#10;iHdD3ty2z+s5+b7kMSk1ncTRCoSnh/8X/7m/tIL5RxL2hzfhCcjN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tzns70AAADdAAAADwAAAAAAAAABACAAAAAiAAAAZHJzL2Rvd25yZXYueG1s&#10;UEsBAhQAFAAAAAgAh07iQDMvBZ47AAAAOQAAABUAAAAAAAAAAQAgAAAADAEAAGRycy9ncm91cHNo&#10;YXBleG1sLnhtbFBLBQYAAAAABgAGAGABAADJAwAAAAA=&#10;">
                  <o:lock v:ext="edit" aspectratio="f"/>
                  <v:shape id="Freeform 3174" o:spid="_x0000_s1026" o:spt="100" style="position:absolute;left:5614;top:1687;height:1685;width:242;" fillcolor="#EAEAEA" filled="t" stroked="t" coordsize="675,4717" o:gfxdata="UEsDBAoAAAAAAIdO4kAAAAAAAAAAAAAAAAAEAAAAZHJzL1BLAwQUAAAACACHTuJAa/Fa+78AAADd&#10;AAAADwAAAGRycy9kb3ducmV2LnhtbEWPT2sCMRTE74V+h/AEbzW7tvXP1uihUBDbg67i+bl5zS5u&#10;XpYk6vrtm0Khx2FmfsMsVr1txZV8aBwryEcZCOLK6YaNgsP+42kGIkRkja1jUnCnAKvl48MCC+1u&#10;vKNrGY1IEA4FKqhj7AopQ1WTxTByHXHyvp23GJP0RmqPtwS3rRxn2URabDgt1NjRe03VubxYBc/H&#10;L55uuH/ZmtL7uzWfp1nrlRoO8uwNRKQ+/of/2mutYDx/zeH3TXoCcv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vxWvu/&#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175" o:spid="_x0000_s1026" o:spt="100" style="position:absolute;left:5614;top:1687;height:1685;width:242;" filled="f" stroked="t" coordsize="675,4717" o:gfxdata="UEsDBAoAAAAAAIdO4kAAAAAAAAAAAAAAAAAEAAAAZHJzL1BLAwQUAAAACACHTuJAukyrV78AAADd&#10;AAAADwAAAGRycy9kb3ducmV2LnhtbEWPzWrDMBCE74G+g9hCb7Ecg5vGjRzaQiHQQ4hbKLltrK1l&#10;bK2Mpebn7aNAIMdhZr5hlquT7cWBRt86VjBLUhDEtdMtNwp+vj+nLyB8QNbYOyYFZ/KwKh8mSyy0&#10;O/KWDlVoRISwL1CBCWEopPS1IYs+cQNx9P7caDFEOTZSj3iMcNvLLE2fpcWW44LBgT4M1V31bxXk&#10;JL92v7TL33lD7q2q59yZvVJPj7P0FUSgU7iHb+21VpAt8gyub+ITkO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pMq1e/&#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176" o:spid="_x0000_s1026" o:spt="203" style="position:absolute;left:8513;top:3773;height:1944;width:242;" coordorigin="6345,1687" coordsize="242,1685" o:gfxdata="UEsDBAoAAAAAAIdO4kAAAAAAAAAAAAAAAAAEAAAAZHJzL1BLAwQUAAAACACHTuJAbg55xMAAAADd&#10;AAAADwAAAGRycy9kb3ducmV2LnhtbEWPQWvCQBSE7wX/w/IEb3WzBkuNriKhlh6kUBXE2yP7TILZ&#10;tyG7TfTfdwuFHoeZ+YZZbe62ET11vnasQU0TEMSFMzWXGk7H3fMrCB+QDTaOScODPGzWo6cVZsYN&#10;/EX9IZQiQthnqKEKoc2k9EVFFv3UtcTRu7rOYoiyK6XpcIhw28hZkrxIizXHhQpbyisqbodvq+F9&#10;wGGbqrd+f7vmj8tx/nneK9J6MlbJEkSge/gP/7U/jIbZYp7C75v4BOT6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bg55xMAAAADdAAAADwAAAAAAAAABACAAAAAiAAAAZHJzL2Rvd25yZXYu&#10;eG1sUEsBAhQAFAAAAAgAh07iQDMvBZ47AAAAOQAAABUAAAAAAAAAAQAgAAAADwEAAGRycy9ncm91&#10;cHNoYXBleG1sLnhtbFBLBQYAAAAABgAGAGABAADMAwAAAAA=&#10;">
                  <o:lock v:ext="edit" aspectratio="f"/>
                  <v:shape id="Freeform 3177" o:spid="_x0000_s1026" o:spt="100" style="position:absolute;left:6345;top:1687;height:1685;width:242;" fillcolor="#EAEAEA" filled="t" stroked="t" coordsize="675,4717" o:gfxdata="UEsDBAoAAAAAAIdO4kAAAAAAAAAAAAAAAAAEAAAAZHJzL1BLAwQUAAAACACHTuJAe4b5Y78AAADd&#10;AAAADwAAAGRycy9kb3ducmV2LnhtbEWPT2sCMRTE74LfITzBWzfrv9ZujR4EQayHdlt6ft28Zpdu&#10;XpYk6vrtTaHgcZiZ3zCrTW9bcSYfGscKJlkOgrhyumGj4PNj97AEESKyxtYxKbhSgM16OFhhod2F&#10;3+lcRiMShEOBCuoYu0LKUNVkMWSuI07ej/MWY5LeSO3xkuC2ldM8f5QWG04LNXa0ran6LU9Wwezr&#10;yE8H7udvpvT+as3r97L1So1Hk/wFRKQ+3sP/7b1WMH1ezOHvTXoCcn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uG+WO/&#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178" o:spid="_x0000_s1026" o:spt="100" style="position:absolute;left:6345;top:1687;height:1685;width:242;" filled="f" stroked="t" coordsize="675,4717" o:gfxdata="UEsDBAoAAAAAAIdO4kAAAAAAAAAAAAAAAAAEAAAAZHJzL1BLAwQUAAAACACHTuJANaUzI78AAADd&#10;AAAADwAAAGRycy9kb3ducmV2LnhtbEWPQWvCQBSE70L/w/IKvZmNQqpG16CFQqGHYiyU3J7ZZzYk&#10;+zZkt2r/fbdQ8DjMzDfMprjZXlxo9K1jBbMkBUFcO91yo+Dz+DpdgvABWWPvmBT8kIdi+zDZYK7d&#10;lQ90KUMjIoR9jgpMCEMupa8NWfSJG4ijd3ajxRDl2Eg94jXCbS/nafosLbYcFwwO9GKo7spvqyAj&#10;+V59UZXt+YPcrqwX3JmTUk+Ps3QNItAt3MP/7TetYL7KMvh7E5+A3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WlMyO/&#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179" o:spid="_x0000_s1026" o:spt="203" style="position:absolute;left:8265;top:3776;height:1943;width:244;" coordorigin="6097,1690" coordsize="244,1684" o:gfxdata="UEsDBAoAAAAAAIdO4kAAAAAAAAAAAAAAAAAEAAAAZHJzL1BLAwQUAAAACACHTuJAfnnaXMAAAADd&#10;AAAADwAAAGRycy9kb3ducmV2LnhtbEWPQWvCQBSE70L/w/IKvekmKRGbuoYibelBBLUg3h7ZZxLM&#10;vg3ZbWL+fVcQPA4z8w2zzK+mET11rrasIJ5FIIgLq2suFfwevqYLEM4ja2wsk4KRHOSrp8kSM20H&#10;3lG/96UIEHYZKqi8bzMpXVGRQTezLXHwzrYz6IPsSqk7HALcNDKJork0WHNYqLCldUXFZf9nFHwP&#10;OHy8xp/95nJej6dDuj1uYlLq5TmO3kF4uvpH+N7+0QqSt3QOtzfhCcjV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fnnaXMAAAADdAAAADwAAAAAAAAABACAAAAAiAAAAZHJzL2Rvd25yZXYu&#10;eG1sUEsBAhQAFAAAAAgAh07iQDMvBZ47AAAAOQAAABUAAAAAAAAAAQAgAAAADwEAAGRycy9ncm91&#10;cHNoYXBleG1sLnhtbFBLBQYAAAAABgAGAGABAADMAwAAAAA=&#10;">
                  <o:lock v:ext="edit" aspectratio="f"/>
                  <v:shape id="Freeform 3180" o:spid="_x0000_s1026" o:spt="100" style="position:absolute;left:6097;top:1690;height:1684;width:244;" fillcolor="#EAEAEA" filled="t" stroked="t" coordsize="680,4716" o:gfxdata="UEsDBAoAAAAAAIdO4kAAAAAAAAAAAAAAAAAEAAAAZHJzL1BLAwQUAAAACACHTuJAnH+l9b8AAADd&#10;AAAADwAAAGRycy9kb3ducmV2LnhtbEWPQWvCQBSE7wX/w/KEXopuFGo1ZiMqCIK9aKteH9nXbGj2&#10;bchuY/z3XaHQ4zAz3zDZqre16Kj1lWMFk3ECgrhwuuJSwefHbjQH4QOyxtoxKbiTh1U+eMow1e7G&#10;R+pOoRQRwj5FBSaEJpXSF4Ys+rFriKP35VqLIcq2lLrFW4TbWk6TZCYtVhwXDDa0NVR8n36sgos2&#10;1ZHf3ey+7l76y2Fjzptrr9TzcJIsQQTqw3/4r73XCqaL1zd4vIlPQ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x/pfW/&#10;AAAA3QAAAA8AAAAAAAAAAQAgAAAAIgAAAGRycy9kb3ducmV2LnhtbFBLAQIUABQAAAAIAIdO4kAz&#10;LwWeOwAAADkAAAAQAAAAAAAAAAEAIAAAAA4BAABkcnMvc2hhcGV4bWwueG1sUEsFBgAAAAAGAAYA&#10;WwEAALgDAAAAAA==&#10;" path="m114,0c51,0,0,50,0,113l0,4603c0,4666,51,4716,114,4716l566,4716c629,4716,680,4666,680,4603l680,113c680,50,629,0,566,0l114,0xe">
                    <v:path o:connectlocs="40,0;0,40;0,1643;40,1684;203,1684;244,1643;244,40;203,0;40,0" o:connectangles="0,0,0,0,0,0,0,0,0"/>
                    <v:fill on="t" focussize="0,0"/>
                    <v:stroke weight="0pt" color="#000000" joinstyle="round"/>
                    <v:imagedata o:title=""/>
                    <o:lock v:ext="edit" aspectratio="f"/>
                  </v:shape>
                  <v:shape id="Freeform 3181" o:spid="_x0000_s1026" o:spt="100" style="position:absolute;left:6097;top:1690;height:1684;width:244;" filled="f" stroked="t" coordsize="680,4716" o:gfxdata="UEsDBAoAAAAAAIdO4kAAAAAAAAAAAAAAAAAEAAAAZHJzL1BLAwQUAAAACACHTuJAIweLPbkAAADd&#10;AAAADwAAAGRycy9kb3ducmV2LnhtbEVPS27CMBDdV+IO1iCxKw6R0kLAsOAjUHcFDjCKByciHke2&#10;SeD2eFGpy6f3X22ethU9+dA4VjCbZiCIK6cbNgqul8PnHESIyBpbx6TgRQE269HHCkvtBv6l/hyN&#10;SCEcSlRQx9iVUoaqJoth6jrixN2ctxgT9EZqj0MKt63Ms+xLWmw4NdTY0bam6n5+WAWhOh0LTcXe&#10;2EVvvv3umg8/e6Um41m2BBHpGf/Ff+6TVpAvijQ3vUlPQK7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MHiz25AAAA3QAA&#10;AA8AAAAAAAAAAQAgAAAAIgAAAGRycy9kb3ducmV2LnhtbFBLAQIUABQAAAAIAIdO4kAzLwWeOwAA&#10;ADkAAAAQAAAAAAAAAAEAIAAAAAgBAABkcnMvc2hhcGV4bWwueG1sUEsFBgAAAAAGAAYAWwEAALID&#10;AAAAAA==&#10;" path="m114,0c51,0,0,50,0,113l0,4603c0,4666,51,4716,114,4716l566,4716c629,4716,680,4666,680,4603l680,113c680,50,629,0,566,0l114,0xe">
                    <v:path o:connectlocs="40,0;0,40;0,1643;40,1684;203,1684;244,1643;244,40;203,0;40,0" o:connectangles="0,0,0,0,0,0,0,0,0"/>
                    <v:fill on="f" focussize="0,0"/>
                    <v:stroke weight="0.45pt" color="#000000" joinstyle="round" endcap="round"/>
                    <v:imagedata o:title=""/>
                    <o:lock v:ext="edit" aspectratio="f"/>
                  </v:shape>
                </v:group>
                <v:group id="Group 3182" o:spid="_x0000_s1026" o:spt="203" style="position:absolute;left:8024;top:3776;height:1943;width:241;" coordorigin="5856,1690" coordsize="241,1684" o:gfxdata="UEsDBAoAAAAAAIdO4kAAAAAAAAAAAAAAAAAEAAAAZHJzL1BLAwQUAAAACACHTuJAD+ZOLsEAAADd&#10;AAAADwAAAGRycy9kb3ducmV2LnhtbEWPQWvCQBSE70L/w/IKvZlNLJEas0qRtvQQCo2F4u2RfSbB&#10;7NuQ3Sb6712h4HGYmW+YfHs2nRhpcK1lBUkUgyCurG65VvCzf5+/gHAeWWNnmRRcyMF28zDLMdN2&#10;4m8aS1+LAGGXoYLG+z6T0lUNGXSR7YmDd7SDQR/kUEs94BTgppOLOF5Kgy2HhQZ72jVUnco/o+Bj&#10;wun1OXkbi9Nxdzns06/fIiGlnh6TeA3C09nfw//tT61gsUpXcHsTnoDcXA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mTi7BAAAA3QAAAA8AAAAAAAAAAQAgAAAAIgAAAGRycy9kb3ducmV2&#10;LnhtbFBLAQIUABQAAAAIAIdO4kAzLwWeOwAAADkAAAAVAAAAAAAAAAEAIAAAABABAABkcnMvZ3Jv&#10;dXBzaGFwZXhtbC54bWxQSwUGAAAAAAYABgBgAQAAzQMAAAAA&#10;">
                  <o:lock v:ext="edit" aspectratio="f"/>
                  <v:shape id="Freeform 3183" o:spid="_x0000_s1026" o:spt="100" style="position:absolute;left:5856;top:1690;height:1684;width:241;" fillcolor="#EAEAEA" filled="t" stroked="t" coordsize="675,4716" o:gfxdata="UEsDBAoAAAAAAIdO4kAAAAAAAAAAAAAAAAAEAAAAZHJzL1BLAwQUAAAACACHTuJAmHYTyLoAAADd&#10;AAAADwAAAGRycy9kb3ducmV2LnhtbEVPz2vCMBS+D/wfwhO8zcQeyqxGkYLgZbB1Q/D2aJ5tsHkp&#10;Taz2vzeHwY4f3+/t/uk6MdIQrGcNq6UCQVx7Y7nR8PtzfP8AESKywc4zaZgowH43e9tiYfyDv2ms&#10;YiNSCIcCNbQx9oWUoW7JYVj6njhxVz84jAkOjTQDPlK462SmVC4dWk4NLfZUtlTfqrvTUF7KT/U1&#10;2X59iyc8G1mpA1qtF/OV2oCI9Iz/4j/3yWjI1nnan96kJyB3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dhPIugAAAN0A&#10;AAAPAAAAAAAAAAEAIAAAACIAAABkcnMvZG93bnJldi54bWxQSwECFAAUAAAACACHTuJAMy8FnjsA&#10;AAA5AAAAEAAAAAAAAAABACAAAAAJAQAAZHJzL3NoYXBleG1sLnhtbFBLBQYAAAAABgAGAFsBAACz&#10;AwAAAAA=&#10;" path="m113,0c51,0,0,50,0,112l0,4604c0,4666,51,4716,113,4716l563,4716c625,4716,675,4666,675,4604l675,112c675,50,625,0,563,0l113,0xe">
                    <v:path o:connectlocs="40,0;0,39;0,1644;40,1684;201,1684;241,1644;241,39;201,0;40,0" o:connectangles="0,0,0,0,0,0,0,0,0"/>
                    <v:fill on="t" focussize="0,0"/>
                    <v:stroke weight="0pt" color="#000000" joinstyle="round"/>
                    <v:imagedata o:title=""/>
                    <o:lock v:ext="edit" aspectratio="f"/>
                  </v:shape>
                  <v:shape id="Freeform 3184" o:spid="_x0000_s1026" o:spt="100" style="position:absolute;left:5856;top:1690;height:1684;width:241;" filled="f" stroked="t" coordsize="675,4716" o:gfxdata="UEsDBAoAAAAAAIdO4kAAAAAAAAAAAAAAAAAEAAAAZHJzL1BLAwQUAAAACACHTuJAK9hUWb4AAADd&#10;AAAADwAAAGRycy9kb3ducmV2LnhtbEWPUUvDMBSF3wX/Q7gD31zSgkPrssEGQhUGs/oDLs1dW9bc&#10;lCRm019vBoM9Hs453+Es12c7ikQ+DI41FHMFgrh1ZuBOw/fX2+MziBCRDY6OScMvBViv7u+WWBl3&#10;4k9KTexEhnCoUEMf41RJGdqeLIa5m4izd3DeYszSd9J4PGW4HWWp1EJaHDgv9DjRtqf22PxYDe+b&#10;+kl9lPVfk/Zbr3ap9rvktH6YFeoVRKRzvIWv7dpoKF8WBVze5CcgV/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9hUWb4A&#10;AADdAAAADwAAAAAAAAABACAAAAAiAAAAZHJzL2Rvd25yZXYueG1sUEsBAhQAFAAAAAgAh07iQDMv&#10;BZ47AAAAOQAAABAAAAAAAAAAAQAgAAAADQEAAGRycy9zaGFwZXhtbC54bWxQSwUGAAAAAAYABgBb&#10;AQAAtwMAAAAA&#10;" path="m113,0c51,0,0,50,0,112l0,4604c0,4666,51,4716,113,4716l563,4716c625,4716,675,4666,675,4604l675,112c675,50,625,0,563,0l113,0xe">
                    <v:path o:connectlocs="40,0;0,39;0,1644;40,1684;201,1684;241,1644;241,39;201,0;40,0" o:connectangles="0,0,0,0,0,0,0,0,0"/>
                    <v:fill on="f" focussize="0,0"/>
                    <v:stroke weight="0.45pt" color="#000000" joinstyle="round" endcap="round"/>
                    <v:imagedata o:title=""/>
                    <o:lock v:ext="edit" aspectratio="f"/>
                  </v:shape>
                </v:group>
                <v:group id="Group 3185" o:spid="_x0000_s1026" o:spt="203" style="position:absolute;left:8755;top:3776;height:1943;width:243;" coordorigin="6587,1690" coordsize="243,1684" o:gfxdata="UEsDBAoAAAAAAIdO4kAAAAAAAAAAAAAAAAAEAAAAZHJzL1BLAwQUAAAACACHTuJAzy4W4r8AAADd&#10;AAAADwAAAGRycy9kb3ducmV2LnhtbEWPT4vCMBTE74LfITzB25q2suJ2jSKi4kEW/APL3h7Nsy02&#10;L6WJrX77jSB4HGbmN8xscTeVaKlxpWUF8SgCQZxZXXKu4HzafExBOI+ssbJMCh7kYDHv92aYatvx&#10;gdqjz0WAsEtRQeF9nUrpsoIMupGtiYN3sY1BH2STS91gF+CmkkkUTaTBksNCgTWtCsqux5tRsO2w&#10;W47jdbu/XlaPv9Pnz+8+JqWGgzj6BuHp7t/hV3unFSRfkw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PLhbivwAAAN0AAAAPAAAAAAAAAAEAIAAAACIAAABkcnMvZG93bnJldi54&#10;bWxQSwECFAAUAAAACACHTuJAMy8FnjsAAAA5AAAAFQAAAAAAAAABACAAAAAOAQAAZHJzL2dyb3Vw&#10;c2hhcGV4bWwueG1sUEsFBgAAAAAGAAYAYAEAAMsDAAAAAA==&#10;">
                  <o:lock v:ext="edit" aspectratio="f"/>
                  <v:shape id="Freeform 3186" o:spid="_x0000_s1026" o:spt="100" style="position:absolute;left:6587;top:1690;height:1684;width:243;" fillcolor="#EAEAEA" filled="t" stroked="t" coordsize="679,4716" o:gfxdata="UEsDBAoAAAAAAIdO4kAAAAAAAAAAAAAAAAAEAAAAZHJzL1BLAwQUAAAACACHTuJAm59kob8AAADd&#10;AAAADwAAAGRycy9kb3ducmV2LnhtbEWP3WoCMRSE7wu+QziCdzXrT5d2NYoIglAouO0DHDfHzeLm&#10;ZE3iz759IxR6OczMN8xy/bCtuJEPjWMFk3EGgrhyuuFawc/37vUdRIjIGlvHpKCnAOvV4GWJhXZ3&#10;PtCtjLVIEA4FKjAxdoWUoTJkMYxdR5y8k/MWY5K+ltrjPcFtK6dZlkuLDacFgx1tDVXn8moVlCdz&#10;cHY29/nR92+Xr/6z3ZyPSo2Gk2wBItIj/of/2nutYPqRz+D5Jj0Buf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ufZKG/&#10;AAAA3QAAAA8AAAAAAAAAAQAgAAAAIgAAAGRycy9kb3ducmV2LnhtbFBLAQIUABQAAAAIAIdO4kAz&#10;LwWeOwAAADkAAAAQAAAAAAAAAAEAIAAAAA4BAABkcnMvc2hhcGV4bWwueG1sUEsFBgAAAAAGAAYA&#10;WwEAALgDAAAAAA==&#10;" path="m113,0c51,0,0,50,0,113l0,4603c0,4666,51,4716,113,4716l566,4716c629,4716,679,4666,679,4603l679,113c679,50,629,0,566,0l113,0xe">
                    <v:path o:connectlocs="40,0;0,40;0,1643;40,1684;202,1684;243,1643;243,40;202,0;40,0" o:connectangles="0,0,0,0,0,0,0,0,0"/>
                    <v:fill on="t" focussize="0,0"/>
                    <v:stroke weight="0pt" color="#000000" joinstyle="round"/>
                    <v:imagedata o:title=""/>
                    <o:lock v:ext="edit" aspectratio="f"/>
                  </v:shape>
                  <v:shape id="Freeform 3187" o:spid="_x0000_s1026" o:spt="100" style="position:absolute;left:6587;top:1690;height:1684;width:243;" filled="f" stroked="t" coordsize="679,4716" o:gfxdata="UEsDBAoAAAAAAIdO4kAAAAAAAAAAAAAAAAAEAAAAZHJzL1BLAwQUAAAACACHTuJAE4kgh8AAAADd&#10;AAAADwAAAGRycy9kb3ducmV2LnhtbEWPSYsCMRSE7wPzH8ITvIimFWm0x+jBBUSEwQW9vum8XpzO&#10;S9OJ27+fCAMei6r6iprMHqYSN2pcaVlBvxeBIE6tLjlXcDysuiMQziNrrCyTgic5mE0/PyaYaHvn&#10;Hd32PhcBwi5BBYX3dSKlSwsy6Hq2Jg5eZhuDPsgml7rBe4CbSg6iKJYGSw4LBdY0Lyj93V+Ngs75&#10;tPzpfMvtZptVuMiX8SU7xUq1W/3oC4Snh3+H/9trrWAwjofwehOegJz+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TiSCH&#10;wAAAAN0AAAAPAAAAAAAAAAEAIAAAACIAAABkcnMvZG93bnJldi54bWxQSwECFAAUAAAACACHTuJA&#10;My8FnjsAAAA5AAAAEAAAAAAAAAABACAAAAAPAQAAZHJzL3NoYXBleG1sLnhtbFBLBQYAAAAABgAG&#10;AFsBAAC5AwAAAAA=&#10;" path="m113,0c51,0,0,50,0,113l0,4603c0,4666,51,4716,113,4716l566,4716c629,4716,679,4666,679,4603l679,113c679,50,629,0,566,0l113,0xe">
                    <v:path o:connectlocs="40,0;0,40;0,1643;40,1684;202,1684;243,1643;243,40;202,0;40,0" o:connectangles="0,0,0,0,0,0,0,0,0"/>
                    <v:fill on="f" focussize="0,0"/>
                    <v:stroke weight="0.45pt" color="#000000" joinstyle="round" endcap="round"/>
                    <v:imagedata o:title=""/>
                    <o:lock v:ext="edit" aspectratio="f"/>
                  </v:shape>
                </v:group>
                <v:group id="Group 3188" o:spid="_x0000_s1026" o:spt="203" style="position:absolute;left:2906;top:3773;height:1943;width:242;" coordorigin="738,1687" coordsize="242,1684" o:gfxdata="UEsDBAoAAAAAAIdO4kAAAAAAAAAAAAAAAAAEAAAAZHJzL1BLAwQUAAAACACHTuJAQMeOlsAAAADd&#10;AAAADwAAAGRycy9kb3ducmV2LnhtbEWPQWvCQBSE70L/w/IKvekmKRGbuoYibelBBLUg3h7ZZxLM&#10;vg3ZbWL+fVcQPA4z8w2zzK+mET11rrasIJ5FIIgLq2suFfwevqYLEM4ja2wsk4KRHOSrp8kSM20H&#10;3lG/96UIEHYZKqi8bzMpXVGRQTezLXHwzrYz6IPsSqk7HALcNDKJork0WHNYqLCldUXFZf9nFHwP&#10;OHy8xp/95nJej6dDuj1uYlLq5TmO3kF4uvpH+N7+0QqSt3kKtzfhCcjV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MeOlsAAAADdAAAADwAAAAAAAAABACAAAAAiAAAAZHJzL2Rvd25yZXYu&#10;eG1sUEsBAhQAFAAAAAgAh07iQDMvBZ47AAAAOQAAABUAAAAAAAAAAQAgAAAADwEAAGRycy9ncm91&#10;cHNoYXBleG1sLnhtbFBLBQYAAAAABgAGAGABAADMAwAAAAA=&#10;">
                  <o:lock v:ext="edit" aspectratio="f"/>
                  <v:shape id="Freeform 3189" o:spid="_x0000_s1026" o:spt="100" style="position:absolute;left:738;top:1687;height:1684;width:242;" fillcolor="#EAEAEA" filled="t" stroked="t" coordsize="1350,9433" o:gfxdata="UEsDBAoAAAAAAIdO4kAAAAAAAAAAAAAAAAAEAAAAZHJzL1BLAwQUAAAACACHTuJA+yjsNLsAAADd&#10;AAAADwAAAGRycy9kb3ducmV2LnhtbEWPQYvCMBSE78L+h/AWvGlahaJdo6CgeBK2iudH82zKNi8l&#10;iVX//WZhweMwM98wq83TdmIgH1rHCvJpBoK4drrlRsHlvJ8sQISIrLFzTApeFGCz/hitsNTuwd80&#10;VLERCcKhRAUmxr6UMtSGLIap64mTd3PeYkzSN1J7fCS47eQsywppseW0YLCnnaH6p7pbBfMqXk9m&#10;saV8X/vdcNsePJ6sUuPPPPsCEekZ3+H/9lErmC2LAv7epCcg1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jsNLsAAADd&#10;AAAADwAAAAAAAAABACAAAAAiAAAAZHJzL2Rvd25yZXYueG1sUEsBAhQAFAAAAAgAh07iQDMvBZ47&#10;AAAAOQAAABAAAAAAAAAAAQAgAAAACgEAAGRycy9zaGFwZXhtbC54bWxQSwUGAAAAAAYABgBbAQAA&#10;tAM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0" o:spid="_x0000_s1026" o:spt="100" style="position:absolute;left:738;top:1687;height:1684;width:242;" filled="f" stroked="t" coordsize="1350,9433" o:gfxdata="UEsDBAoAAAAAAIdO4kAAAAAAAAAAAAAAAAAEAAAAZHJzL1BLAwQUAAAACACHTuJAu42a974AAADd&#10;AAAADwAAAGRycy9kb3ducmV2LnhtbEWPzWrDMBCE74W8g9hAb7VsH5zWjexDIJBDL03bkONibSwT&#10;78pYyk/fvioUehxm55uddXvnUV1pDoMXA0WWgyLpvB2kN/D5sX16BhUiisXRCxn4pgBts3hYY239&#10;Td7puo+9ShAJNRpwMU611qFzxBgyP5Ek7+Rnxpjk3Gs74y3BedRlnleacZDU4HCijaPuvL9weqMq&#10;3vh48OxO43b6WlXclVga87gs8ldQke7x//gvvbMGypdqBb9rEgJ0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2a97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91" o:spid="_x0000_s1026" o:spt="203" style="position:absolute;left:3638;top:3773;height:1943;width:242;" coordorigin="1470,1687" coordsize="242,1684" o:gfxdata="UEsDBAoAAAAAAIdO4kAAAAAAAAAAAAAAAAAEAAAAZHJzL1BLAwQUAAAACACHTuJArsYhCLwAAADd&#10;AAAADwAAAGRycy9kb3ducmV2LnhtbEVPy4rCMBTdD/gP4QqzG9MqilZTERkHFzLgA8Tdpbl9YHNT&#10;mkyrf28WwiwP571aP0wtOmpdZVlBPIpAEGdWV1wouJx3X3MQziNrrC2Tgic5WKeDjxUm2vZ8pO7k&#10;CxFC2CWooPS+SaR0WUkG3cg2xIHLbWvQB9gWUrfYh3BTy3EUzaTBikNDiQ1tS8rupz+j4KfHfjOJ&#10;v7vDPd8+b+fp7/UQk1KfwzhagvD08P/it3uvFYwXszA3vAlPQKYv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uxiEIvAAAAN0AAAAPAAAAAAAAAAEAIAAAACIAAABkcnMvZG93bnJldi54bWxQ&#10;SwECFAAUAAAACACHTuJAMy8FnjsAAAA5AAAAFQAAAAAAAAABACAAAAALAQAAZHJzL2dyb3Vwc2hh&#10;cGV4bWwueG1sUEsFBgAAAAAGAAYAYAEAAMgDAAAAAA==&#10;">
                  <o:lock v:ext="edit" aspectratio="f"/>
                  <v:shape id="Freeform 3192" o:spid="_x0000_s1026" o:spt="100" style="position:absolute;left:1470;top:1687;height:1684;width:242;" fillcolor="#BBE0E3" filled="t" stroked="t" coordsize="1350,9433" o:gfxdata="UEsDBAoAAAAAAIdO4kAAAAAAAAAAAAAAAAAEAAAAZHJzL1BLAwQUAAAACACHTuJAnkH7i8IAAADd&#10;AAAADwAAAGRycy9kb3ducmV2LnhtbEWPT2sCMRTE74LfITzBi9REoYtujSItokhB1B7s7bF57q5u&#10;XpZN/FM/fVMoeBxm5jfMZHa3lbhS40vHGgZ9BYI4c6bkXMPXfvEyAuEDssHKMWn4IQ+zabs1wdS4&#10;G2/pugu5iBD2KWooQqhTKX1WkEXfdzVx9I6usRiibHJpGrxFuK3kUKlEWiw5LhRY03tB2Xl3sRpO&#10;6+/yQx1c7/G6TS7Lz3y1nG8OWnc7A/UGItA9PMP/7ZXRMBwnY/h7E5+AnP4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5B&#10;+4v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3" o:spid="_x0000_s1026" o:spt="100" style="position:absolute;left:1470;top:1687;height:1684;width:242;" filled="f" stroked="t" coordsize="1350,9433" o:gfxdata="UEsDBAoAAAAAAIdO4kAAAAAAAAAAAAAAAAAEAAAAZHJzL1BLAwQUAAAACACHTuJAsb2UXr4AAADd&#10;AAAADwAAAGRycy9kb3ducmV2LnhtbEWPPU/DQAyGdyT+w8mV2OglGVIaeu1QqRIDSwtUHa2cm4uI&#10;fVHu6Me/xwMSo/X6ffx4tbnxYC40pT6Kg3JegCFpo++lc/D5sXt+AZMyischCjm4U4LN+vFhhY2P&#10;V9nT5ZA7oxBJDToIOY+NtakNxJjmcSTR7Bwnxqzj1Fk/4VXhPNiqKGrL2IteCDjSNlD7ffhh1ajL&#10;dz4dI4fzsBu/FjW3FVbOPc3K4hVMplv+X/5rv3kH1XKh/vqNIs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b2UXr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94" o:spid="_x0000_s1026" o:spt="203" style="position:absolute;left:4371;top:3773;height:1943;width:242;" coordorigin="2203,1687" coordsize="242,1684" o:gfxdata="UEsDBAoAAAAAAIdO4kAAAAAAAAAAAAAAAAAEAAAAZHJzL1BLAwQUAAAACACHTuJAuiUeSMAAAADd&#10;AAAADwAAAGRycy9kb3ducmV2LnhtbEWPQWvCQBSE70L/w/IK3upmFdsaXUXEigcRqgXx9sg+k2D2&#10;bchuE/33bqHgcZiZb5jZ4mYr0VLjS8ca1CABQZw5U3Ku4ef49fYJwgdkg5Vj0nAnD4v5S2+GqXEd&#10;f1N7CLmIEPYpaihCqFMpfVaQRT9wNXH0Lq6xGKJscmka7CLcVnKYJO/SYslxocCaVgVl18Ov1bDp&#10;sFuO1LrdXS+r+/k43p92irTuv6pkCiLQLTzD/+2t0TCcfCj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iUeSMAAAADdAAAADwAAAAAAAAABACAAAAAiAAAAZHJzL2Rvd25yZXYu&#10;eG1sUEsBAhQAFAAAAAgAh07iQDMvBZ47AAAAOQAAABUAAAAAAAAAAQAgAAAADwEAAGRycy9ncm91&#10;cHNoYXBleG1sLnhtbFBLBQYAAAAABgAGAGABAADMAwAAAAA=&#10;">
                  <o:lock v:ext="edit" aspectratio="f"/>
                  <v:shape id="Freeform 3195" o:spid="_x0000_s1026" o:spt="100" style="position:absolute;left:2203;top:1687;height:1684;width:242;" fillcolor="#BBE0E3" filled="t" stroked="t" coordsize="1350,9433" o:gfxdata="UEsDBAoAAAAAAIdO4kAAAAAAAAAAAAAAAAAEAAAAZHJzL1BLAwQUAAAACACHTuJAFTz/J8MAAADd&#10;AAAADwAAAGRycy9kb3ducmV2LnhtbEWPT2sCMRTE74LfITzBi9TEhdp2axRRiiKCuO3B3h6b193V&#10;zcuyiX/aT98UhB6HmfkNM5ndbC0u1PrKsYbRUIEgzp2puNDw8f728AzCB2SDtWPS8E0eZtNuZ4Kp&#10;cVfe0yULhYgQ9ilqKENoUil9XpJFP3QNcfS+XGsxRNkW0rR4jXBby0SpsbRYcVwosaFFSfkpO1sN&#10;x81ntVQHN/h53I/Pq22xXs13B637vZF6BRHoFv7D9/baaEhenhL4exOfgJ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V&#10;PP8nwwAAAN0AAAAPAAAAAAAAAAEAIAAAACIAAABkcnMvZG93bnJldi54bWxQSwECFAAUAAAACACH&#10;TuJAMy8FnjsAAAA5AAAAEAAAAAAAAAABACAAAAASAQAAZHJzL3NoYXBleG1sLnhtbFBLBQYAAAAA&#10;BgAGAFsBAAC8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6" o:spid="_x0000_s1026" o:spt="100" style="position:absolute;left:2203;top:1687;height:1684;width:242;" filled="f" stroked="t" coordsize="1350,9433" o:gfxdata="UEsDBAoAAAAAAIdO4kAAAAAAAAAAAAAAAAAEAAAAZHJzL1BLAwQUAAAACACHTuJAQW8KKb4AAADd&#10;AAAADwAAAGRycy9kb3ducmV2LnhtbEWPS2vDMBCE74X+B7GF3BrZDjipGyWHQCCHXJoXPS7WxjL1&#10;roylPPrvq0Igx2F2vtmZL+/cqSsNofViIB9noEhqb1tpDBz26/cZqBBRLHZeyMAvBVguXl/mWFl/&#10;ky+67mKjEkRChQZcjH2ldagdMYax70mSd/YDY0xyaLQd8Jbg3Okiy0rN2EpqcNjTylH9s7tweqPM&#10;t/x98uzO3bo/TkuuCyyMGb3l2SeoSPf4PH6kN9ZA8TGdwP+ahAC9+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W8KKb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97" o:spid="_x0000_s1026" o:spt="203" style="position:absolute;left:5102;top:3773;height:1943;width:242;" coordorigin="2934,1687" coordsize="242,1684" o:gfxdata="UEsDBAoAAAAAAIdO4kAAAAAAAAAAAAAAAAAEAAAAZHJzL1BLAwQUAAAACACHTuJAqlK90MEAAADd&#10;AAAADwAAAGRycy9kb3ducmV2LnhtbEWPT2vCQBTE70K/w/IK3ppN1LY2zSpFtPQgQrUgvT2yL38w&#10;+zZk10S/fbcgeBxm5jdMtryYRvTUudqygiSKQRDnVtdcKvg5bJ7mIJxH1thYJgVXcrBcPIwyTLUd&#10;+Jv6vS9FgLBLUUHlfZtK6fKKDLrItsTBK2xn0AfZlVJ3OAS4aeQkjl+kwZrDQoUtrSrKT/uzUfA5&#10;4PAxTdb99lSsrr+H591xm5BS48ckfgfh6eLv4Vv7SyuYvL3O4P9NeAJy8Qd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KpSvdDBAAAA3QAAAA8AAAAAAAAAAQAgAAAAIgAAAGRycy9kb3ducmV2&#10;LnhtbFBLAQIUABQAAAAIAIdO4kAzLwWeOwAAADkAAAAVAAAAAAAAAAEAIAAAABABAABkcnMvZ3Jv&#10;dXBzaGFwZXhtbC54bWxQSwUGAAAAAAYABgBgAQAAzQMAAAAA&#10;">
                  <o:lock v:ext="edit" aspectratio="f"/>
                  <v:shape id="Freeform 3198" o:spid="_x0000_s1026" o:spt="100" style="position:absolute;left:2934;top:1687;height:1684;width:242;" fillcolor="#BBE0E3" filled="t" stroked="t" coordsize="1350,9433" o:gfxdata="UEsDBAoAAAAAAIdO4kAAAAAAAAAAAAAAAAAEAAAAZHJzL1BLAwQUAAAACACHTuJAmtVnU8IAAADd&#10;AAAADwAAAGRycy9kb3ducmV2LnhtbEWPQWsCMRSE74L/ITzBi9REQVu3xqUoRSlC0Xqwt8fmubt2&#10;87Jsomv7602h0OMwM98w8/RmK3GlxpeONYyGCgRx5kzJuYbDx+vDEwgfkA1WjknDN3lIF93OHBPj&#10;Wt7RdR9yESHsE9RQhFAnUvqsIIt+6Gri6J1cYzFE2eTSNNhGuK3kWKmptFhyXCiwpmVB2df+YjWc&#10;3z7LlTq6wc9kN72st/lm/fJ+1LrfG6lnEIFu4T/8194YDePZ4wR+38QnIBd3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rV&#10;Z1P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9" o:spid="_x0000_s1026" o:spt="100" style="position:absolute;left:2934;top:1687;height:1684;width:242;" filled="f" stroked="t" coordsize="1350,9433" o:gfxdata="UEsDBAoAAAAAAIdO4kAAAAAAAAAAAAAAAAAEAAAAZHJzL1BLAwQUAAAACACHTuJAURipsb4AAADd&#10;AAAADwAAAGRycy9kb3ducmV2LnhtbEWPzWrDMBCE74W8g9hAb7VsH5zWjexDIJBDL03bkONibSwT&#10;78pYyk/fvioUehxm55uddXvnUV1pDoMXA0WWgyLpvB2kN/D5sX16BhUiisXRCxn4pgBts3hYY239&#10;Td7puo+9ShAJNRpwMU611qFzxBgyP5Ek7+Rnxpjk3Gs74y3BedRlnleacZDU4HCijaPuvL9weqMq&#10;3vh48OxO43b6WlXclVga87gs8ldQke7x//gvvbMGypdVBb9rEgJ0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Ripsb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00" o:spid="_x0000_s1026" o:spt="203" style="position:absolute;left:3390;top:3776;height:1943;width:243;" coordorigin="1222,1690" coordsize="243,1684" o:gfxdata="UEsDBAoAAAAAAIdO4kAAAAAAAAAAAAAAAAAEAAAAZHJzL1BLAwQUAAAACACHTuJAWoAjp8EAAADd&#10;AAAADwAAAGRycy9kb3ducmV2LnhtbEWPQWvCQBSE74X+h+UVequbpFRrdA0StPQghWpBvD2yzySY&#10;fRuyaxL/fVco9DjMzDfMMhtNI3rqXG1ZQTyJQBAXVtdcKvg5bF/eQTiPrLGxTApu5CBbPT4sMdV2&#10;4G/q974UAcIuRQWV920qpSsqMugmtiUO3tl2Bn2QXSl1h0OAm0YmUTSVBmsOCxW2lFdUXPZXo+Bj&#10;wGH9Gm/63eWc306Ht6/jLialnp/iaAHC0+j/w3/tT60gmc9mcH8TnoBc/Q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FqAI6fBAAAA3QAAAA8AAAAAAAAAAQAgAAAAIgAAAGRycy9kb3ducmV2&#10;LnhtbFBLAQIUABQAAAAIAIdO4kAzLwWeOwAAADkAAAAVAAAAAAAAAAEAIAAAABABAABkcnMvZ3Jv&#10;dXBzaGFwZXhtbC54bWxQSwUGAAAAAAYABgBgAQAAzQMAAAAA&#10;">
                  <o:lock v:ext="edit" aspectratio="f"/>
                  <v:shape id="Freeform 3201" o:spid="_x0000_s1026" o:spt="100" style="position:absolute;left:1222;top:1690;height:1684;width:243;" fillcolor="#EAEAEA" filled="t" stroked="t" coordsize="1358,9433" o:gfxdata="UEsDBAoAAAAAAIdO4kAAAAAAAAAAAAAAAAAEAAAAZHJzL1BLAwQUAAAACACHTuJAM0lRBLwAAADd&#10;AAAADwAAAGRycy9kb3ducmV2LnhtbEVPPWvDMBDdA/0P4gLdYtke2tSNYtJASjOFOsVkPKyrbWKd&#10;jKQ67r+PhkLHx/velLMZxETO95YVZEkKgrixuudWwdf5sFqD8AFZ42CZFPySh3L7sNhgoe2NP2mq&#10;QitiCPsCFXQhjIWUvunIoE/sSBy5b+sMhghdK7XDWww3g8zT9Eka7Dk2dDjSvqPmWv0YBXV9Cb2b&#10;89MVdwNe3sbT+3E9KfW4zNJXEIHm8C/+c39oBfnLc5wb38QnIL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JUQS8AAAA&#10;3QAAAA8AAAAAAAAAAQAgAAAAIgAAAGRycy9kb3ducmV2LnhtbFBLAQIUABQAAAAIAIdO4kAzLwWe&#10;OwAAADkAAAAQAAAAAAAAAAEAIAAAAAsBAABkcnMvc2hhcGV4bWwueG1sUEsFBgAAAAAGAAYAWwEA&#10;ALUDAAAAAA==&#10;" path="m226,0c101,0,0,101,0,226l0,9207c0,9332,101,9433,226,9433l1132,9433c1257,9433,1358,9332,1358,9207l1358,226c1358,101,1257,0,1132,0l226,0xe">
                    <v:path o:connectlocs="40,0;0,40;0,1643;40,1684;202,1684;243,1643;243,40;202,0;40,0" o:connectangles="0,0,0,0,0,0,0,0,0"/>
                    <v:fill on="t" focussize="0,0"/>
                    <v:stroke weight="0pt" color="#000000" joinstyle="round"/>
                    <v:imagedata o:title=""/>
                    <o:lock v:ext="edit" aspectratio="f"/>
                  </v:shape>
                  <v:shape id="Freeform 3202" o:spid="_x0000_s1026" o:spt="100" style="position:absolute;left:1222;top:1690;height:1684;width:243;" filled="f" stroked="t" coordsize="1358,9433" o:gfxdata="UEsDBAoAAAAAAIdO4kAAAAAAAAAAAAAAAAAEAAAAZHJzL1BLAwQUAAAACACHTuJAppJ2N74AAADd&#10;AAAADwAAAGRycy9kb3ducmV2LnhtbEWPT4vCMBTE74LfITxhb5rqYddWo6AguJcV/x28PZpnW21e&#10;ShK1fnuzIHgcZuY3zHTemlrcyfnKsoLhIAFBnFtdcaHgsF/1xyB8QNZYWyYFT/Iwn3U7U8y0ffCW&#10;7rtQiAhhn6GCMoQmk9LnJRn0A9sQR+9sncEQpSukdviIcFPLUZJ8S4MVx4USG1qWlF93N6Pgevq7&#10;uPb36NLVdtwu9rjcHNZPpb56w2QCIlAbPuF3e60VjNKfFP7fxCcgZ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pJ2N74A&#10;AADdAAAADwAAAAAAAAABACAAAAAiAAAAZHJzL2Rvd25yZXYueG1sUEsBAhQAFAAAAAgAh07iQDMv&#10;BZ47AAAAOQAAABAAAAAAAAAAAQAgAAAADQEAAGRycy9zaGFwZXhtbC54bWxQSwUGAAAAAAYABgBb&#10;AQAAtwMAAAAA&#10;" path="m226,0c101,0,0,101,0,226l0,9207c0,9332,101,9433,226,9433l1132,9433c1257,9433,1358,9332,1358,9207l1358,226c1358,101,1257,0,1132,0l226,0xe">
                    <v:path o:connectlocs="40,0;0,40;0,1643;40,1684;202,1684;243,1643;243,40;202,0;40,0" o:connectangles="0,0,0,0,0,0,0,0,0"/>
                    <v:fill on="f" focussize="0,0"/>
                    <v:stroke weight="0.45pt" color="#000000" joinstyle="round" endcap="round"/>
                    <v:imagedata o:title=""/>
                    <o:lock v:ext="edit" aspectratio="f"/>
                  </v:shape>
                </v:group>
                <v:group id="Group 3203" o:spid="_x0000_s1026" o:spt="203" style="position:absolute;left:4123;top:3776;height:1943;width:242;" coordorigin="1955,1690" coordsize="242,1684" o:gfxdata="UEsDBAoAAAAAAIdO4kAAAAAAAAAAAAAAAAAEAAAAZHJzL1BLAwQUAAAACACHTuJA4LzL9L0AAADd&#10;AAAADwAAAGRycy9kb3ducmV2LnhtbEVPy2rCQBTdF/yH4Qrd1UlSKhodg4gtXQTBB4i7S+aaBDN3&#10;QmaamL/vLApdHs57nT1NI3rqXG1ZQTyLQBAXVtdcKricP98WIJxH1thYJgUjOcg2k5c1ptoOfKT+&#10;5EsRQtilqKDyvk2ldEVFBt3MtsSBu9vOoA+wK6XucAjhppFJFM2lwZpDQ4Ut7SoqHqcfo+BrwGH7&#10;Hu/7/HHfjbfzx+Gax6TU6zSOViA8Pf2/+M/9rRUky0XYH96EJy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LzL9L0AAADdAAAADwAAAAAAAAABACAAAAAiAAAAZHJzL2Rvd25yZXYueG1s&#10;UEsBAhQAFAAAAAgAh07iQDMvBZ47AAAAOQAAABUAAAAAAAAAAQAgAAAADAEAAGRycy9ncm91cHNo&#10;YXBleG1sLnhtbFBLBQYAAAAABgAGAGABAADJAwAAAAA=&#10;">
                  <o:lock v:ext="edit" aspectratio="f"/>
                  <v:shape id="Freeform 3204" o:spid="_x0000_s1026" o:spt="100" style="position:absolute;left:1955;top:1690;height:1684;width:242;" fillcolor="#BBE0E3" filled="t" stroked="t" coordsize="1350,9433" o:gfxdata="UEsDBAoAAAAAAIdO4kAAAAAAAAAAAAAAAAAEAAAAZHJzL1BLAwQUAAAACACHTuJA0DsRd8IAAADd&#10;AAAADwAAAGRycy9kb3ducmV2LnhtbEWPQWvCQBSE7wX/w/IEL6XuRlBszCqlIkopFLUHe3tkn0k0&#10;+zZk12j767uFgsdhZr5hssXN1qKj1leONSRDBYI4d6biQsPnfvU0BeEDssHaMWn4Jg+Lee8hw9S4&#10;K2+p24VCRAj7FDWUITSplD4vyaIfuoY4ekfXWgxRtoU0LV4j3NZypNREWqw4LpTY0GtJ+Xl3sRpO&#10;b1/VUh3c4894O7ms34vN+uXjoPWgn6gZiEC3cA//tzdGw+h5msDfm/gE5Pw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A7&#10;EXfCAAAA3QAAAA8AAAAAAAAAAQAgAAAAIgAAAGRycy9kb3ducmV2LnhtbFBLAQIUABQAAAAIAIdO&#10;4kAzLwWeOwAAADkAAAAQAAAAAAAAAAEAIAAAABEBAABkcnMvc2hhcGV4bWwueG1sUEsFBgAAAAAG&#10;AAYAWwEAALsDAAAAAA==&#10;" path="m225,0c101,0,0,101,0,225l0,9208c0,9332,101,9433,225,9433l1125,9433c1250,9433,1350,9332,1350,9208l1350,225c1350,101,1250,0,1125,0l225,0xe">
                    <v:path o:connectlocs="40,0;0,40;0,1643;40,1684;201,1684;242,1643;242,40;201,0;40,0" o:connectangles="0,0,0,0,0,0,0,0,0"/>
                    <v:fill on="t" focussize="0,0"/>
                    <v:stroke weight="0pt" color="#000000" joinstyle="round"/>
                    <v:imagedata o:title=""/>
                    <o:lock v:ext="edit" aspectratio="f"/>
                  </v:shape>
                  <v:shape id="Freeform 3205" o:spid="_x0000_s1026" o:spt="100" style="position:absolute;left:1955;top:1690;height:1684;width:242;" filled="f" stroked="t" coordsize="1350,9433" o:gfxdata="UEsDBAoAAAAAAIdO4kAAAAAAAAAAAAAAAAAEAAAAZHJzL1BLAwQUAAAACACHTuJAG/bflb4AAADd&#10;AAAADwAAAGRycy9kb3ducmV2LnhtbEWPzWrDMBCE74W8g9hAbo1sHdzUjZJDIJBDL0nT0uNibSwT&#10;78pYyk/fvioUchxm55ud5frOvbrSGLsgFsp5AYqkCa6T1sLxY/u8ABUTisM+CFn4oQjr1eRpibUL&#10;N9nT9ZBalSESa7TgUxpqrWPjiTHOw0CSvVMYGVOWY6vdiLcM516boqg0Yye5weNAG0/N+XDh/EZV&#10;vvP3V2B/6rfD50vFjUFj7WxaFm+gEt3T4/g/vXMWzOvCwN+ajAC9+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flb4A&#10;AADdAAAADwAAAAAAAAABACAAAAAiAAAAZHJzL2Rvd25yZXYueG1sUEsBAhQAFAAAAAgAh07iQDMv&#10;BZ47AAAAOQAAABAAAAAAAAAAAQAgAAAADQEAAGRycy9zaGFwZXhtbC54bWxQSwUGAAAAAAYABgBb&#10;AQAAtwMAAAAA&#10;" path="m225,0c101,0,0,101,0,225l0,9208c0,9332,101,9433,225,9433l1125,9433c1250,9433,1350,9332,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206" o:spid="_x0000_s1026" o:spt="203" style="position:absolute;left:4854;top:3776;height:1943;width:248;" coordorigin="2686,1690" coordsize="248,1684" o:gfxdata="UEsDBAoAAAAAAIdO4kAAAAAAAAAAAAAAAAAEAAAAZHJzL1BLAwQUAAAACACHTuJAEG5Vg78AAADd&#10;AAAADwAAAGRycy9kb3ducmV2LnhtbEWPQYvCMBSE78L+h/AW9qZpFcXtGmURVzyIYF0Qb4/m2Rab&#10;l9LEVv+9EQSPw8x8w8wWN1OJlhpXWlYQDyIQxJnVJecK/g9//SkI55E1VpZJwZ0cLOYfvRkm2na8&#10;pzb1uQgQdgkqKLyvEyldVpBBN7A1cfDOtjHog2xyqRvsAtxUchhFE2mw5LBQYE3LgrJLejUK1h12&#10;v6N41W4v5+X9dBjvjtuYlPr6jKMfEJ5u/h1+tTdawfB7OoLnm/AE5Pw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blWDvwAAAN0AAAAPAAAAAAAAAAEAIAAAACIAAABkcnMvZG93bnJldi54&#10;bWxQSwECFAAUAAAACACHTuJAMy8FnjsAAAA5AAAAFQAAAAAAAAABACAAAAAOAQAAZHJzL2dyb3Vw&#10;c2hhcGV4bWwueG1sUEsFBgAAAAAGAAYAYAEAAMsDAAAAAA==&#10;">
                  <o:lock v:ext="edit" aspectratio="f"/>
                  <v:shape id="Freeform 3207" o:spid="_x0000_s1026" o:spt="100" style="position:absolute;left:2686;top:1690;height:1684;width:248;" fillcolor="#BBE0E3" filled="t" stroked="t" coordsize="1383,9433" o:gfxdata="UEsDBAoAAAAAAIdO4kAAAAAAAAAAAAAAAAAEAAAAZHJzL1BLAwQUAAAACACHTuJAD91yoMAAAADd&#10;AAAADwAAAGRycy9kb3ducmV2LnhtbEWPT4vCMBTE7wv7HcJb8LamiopWoyyCUC8u/gE9PppnW7d5&#10;KU2s1U+/EQSPw8z8hpktWlOKhmpXWFbQ60YgiFOrC84UHPar7zEI55E1lpZJwZ0cLOafHzOMtb3x&#10;lpqdz0SAsItRQe59FUvp0pwMuq6tiIN3trVBH2SdSV3jLcBNKftRNJIGCw4LOVa0zCn9212NgvUj&#10;OV1G12Pzex5uf6rN3SVF65TqfPWiKQhPrX+HX+1EK+hPxgN4vglPQM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P3XKg&#10;wAAAAN0AAAAPAAAAAAAAAAEAIAAAACIAAABkcnMvZG93bnJldi54bWxQSwECFAAUAAAACACHTuJA&#10;My8FnjsAAAA5AAAAEAAAAAAAAAABACAAAAAPAQAAZHJzL3NoYXBleG1sLnhtbFBLBQYAAAAABgAG&#10;AFsBAAC5AwAAAAA=&#10;" path="m230,0c103,0,0,103,0,230l0,9203c0,9330,103,9433,230,9433l1153,9433c1280,9433,1383,9330,1383,9203l1383,230c1383,103,1280,0,1153,0l230,0xe">
                    <v:path o:connectlocs="41,0;0,41;0,1642;41,1684;206,1684;248,1642;248,41;206,0;41,0" o:connectangles="0,0,0,0,0,0,0,0,0"/>
                    <v:fill on="t" focussize="0,0"/>
                    <v:stroke weight="0pt" color="#000000" joinstyle="round"/>
                    <v:imagedata o:title=""/>
                    <o:lock v:ext="edit" aspectratio="f"/>
                  </v:shape>
                  <v:shape id="Freeform 3208" o:spid="_x0000_s1026" o:spt="100" style="position:absolute;left:2686;top:1690;height:1684;width:248;" filled="f" stroked="t" coordsize="1383,9433" o:gfxdata="UEsDBAoAAAAAAIdO4kAAAAAAAAAAAAAAAAAEAAAAZHJzL1BLAwQUAAAACACHTuJA2jHzHbwAAADd&#10;AAAADwAAAGRycy9kb3ducmV2LnhtbEWPT4vCMBTE78J+h/CEvWmqoHS7RhFB8Lb4j17fNm+bYvPS&#10;bWKt394Igsdh5jfDLFa9rUVHra8cK5iMExDEhdMVlwpOx+0oBeEDssbaMSm4k4fV8mOwwEy7G++p&#10;O4RSxBL2GSowITSZlL4wZNGPXUMcvT/XWgxRtqXULd5iua3lNEnm0mLFccFgQxtDxeVwtQqmNg/8&#10;ez/Xs4vJ03/sO5muf5T6HE6SbxCB+vAOv+idjtxXOoPnm/gE5P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ox8x28AAAA&#10;3QAAAA8AAAAAAAAAAQAgAAAAIgAAAGRycy9kb3ducmV2LnhtbFBLAQIUABQAAAAIAIdO4kAzLwWe&#10;OwAAADkAAAAQAAAAAAAAAAEAIAAAAAsBAABkcnMvc2hhcGV4bWwueG1sUEsFBgAAAAAGAAYAWwEA&#10;ALUDAAAAAA==&#10;" path="m230,0c103,0,0,103,0,230l0,9203c0,9330,103,9433,230,9433l1153,9433c1280,9433,1383,9330,1383,9203l1383,230c1383,103,1280,0,1153,0l230,0xe">
                    <v:path o:connectlocs="41,0;0,41;0,1642;41,1684;206,1684;248,1642;248,41;206,0;41,0" o:connectangles="0,0,0,0,0,0,0,0,0"/>
                    <v:fill on="f" focussize="0,0"/>
                    <v:stroke weight="0.45pt" color="#000000" joinstyle="round" endcap="round"/>
                    <v:imagedata o:title=""/>
                    <o:lock v:ext="edit" aspectratio="f"/>
                  </v:shape>
                </v:group>
                <v:group id="Group 3209" o:spid="_x0000_s1026" o:spt="203" style="position:absolute;left:3148;top:3776;height:1943;width:242;" coordorigin="980,1690" coordsize="242,1684" o:gfxdata="UEsDBAoAAAAAAIdO4kAAAAAAAAAAAAAAAAAEAAAAZHJzL1BLAwQUAAAACACHTuJAABn2G8EAAADd&#10;AAAADwAAAGRycy9kb3ducmV2LnhtbEWPQWvCQBSE70L/w/IK3nSTFMWmrqFIKx5CwVgovT2yzySY&#10;fRuy28T8+26h4HGYmW+YbXYzrRiod41lBfEyAkFcWt1wpeDz/L7YgHAeWWNrmRRM5CDbPcy2mGo7&#10;8omGwlciQNilqKD2vkuldGVNBt3SdsTBu9jeoA+yr6TucQxw08okitbSYMNhocaO9jWV1+LHKDiM&#10;OL4+xW9Dfr3sp+/z6uMrj0mp+WMcvYDwdPP38H/7qBUkz5s1/L0JT0Dufg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AZ9hvBAAAA3QAAAA8AAAAAAAAAAQAgAAAAIgAAAGRycy9kb3ducmV2&#10;LnhtbFBLAQIUABQAAAAIAIdO4kAzLwWeOwAAADkAAAAVAAAAAAAAAAEAIAAAABABAABkcnMvZ3Jv&#10;dXBzaGFwZXhtbC54bWxQSwUGAAAAAAYABgBgAQAAzQMAAAAA&#10;">
                  <o:lock v:ext="edit" aspectratio="f"/>
                  <v:shape id="Freeform 3210" o:spid="_x0000_s1026" o:spt="100" style="position:absolute;left:980;top:1690;height:1684;width:242;" fillcolor="#EAEAEA" filled="t" stroked="t" coordsize="1350,9433" o:gfxdata="UEsDBAoAAAAAAIdO4kAAAAAAAAAAAAAAAAAEAAAAZHJzL1BLAwQUAAAACACHTuJAJGivVb0AAADd&#10;AAAADwAAAGRycy9kb3ducmV2LnhtbEWPwWrDMBBE74X8g9hCb7XsBFrXjWxIIKGnQJ2Q82JtLFNr&#10;ZSTFSf++KhR6HGbmDbNu7nYUM/kwOFZQZDkI4s7pgXsFp+PuuQQRIrLG0TEp+KYATb14WGOl3Y0/&#10;aW5jLxKEQ4UKTIxTJWXoDFkMmZuIk3dx3mJM0vdSe7wluB3lMs9fpMWB04LBibaGuq/2ahWs2ng+&#10;mHJDxa7z2/my2Xs8WKWeHov8HUSke/wP/7U/tILlW/kKv2/SE5D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aK9VvQAA&#10;AN0AAAAPAAAAAAAAAAEAIAAAACIAAABkcnMvZG93bnJldi54bWxQSwECFAAUAAAACACHTuJAMy8F&#10;njsAAAA5AAAAEAAAAAAAAAABACAAAAAMAQAAZHJzL3NoYXBleG1sLnhtbFBLBQYAAAAABgAGAFsB&#10;AAC2Aw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11" o:spid="_x0000_s1026" o:spt="100" style="position:absolute;left:980;top:1690;height:1684;width:242;" filled="f" stroked="t" coordsize="1350,9433" o:gfxdata="UEsDBAoAAAAAAIdO4kAAAAAAAAAAAAAAAAAEAAAAZHJzL1BLAwQUAAAACACHTuJAeh7of74AAADd&#10;AAAADwAAAGRycy9kb3ducmV2LnhtbEWPPU/DQAyGdyT+w8mV2OglGUIbeu1QqRIDSwtUHa2cm4uI&#10;fVHu6Me/xwMSo/X6ffx4tbnxYC40pT6Kg3JegCFpo++lc/D5sXtegEkZxeMQhRzcKcFm/fiwwsbH&#10;q+zpcsidUYikBh2EnMfG2tQGYkzzOJJodo4TY9Zx6qyf8KpwHmxVFLVl7EUvBBxpG6j9PvywatTl&#10;O5+OkcN52I1fLzW3FVbOPc3K4hVMplv+X/5rv3kH1XKhuvqNIs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h7of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12" o:spid="_x0000_s1026" o:spt="203" style="position:absolute;left:3880;top:3776;height:1943;width:243;" coordorigin="1712,1690" coordsize="243,1684" o:gfxdata="UEsDBAoAAAAAAIdO4kAAAAAAAAAAAAAAAAAEAAAAZHJzL1BLAwQUAAAACACHTuJAcYZiab8AAADd&#10;AAAADwAAAGRycy9kb3ducmV2LnhtbEWPT4vCMBTE7wt+h/AEb2taxUWrUUR02YMs+AfE26N5tsXm&#10;pTSx1W9vBMHjMDO/YWaLuylFQ7UrLCuI+xEI4tTqgjMFx8PmewzCeWSNpWVS8CAHi3nna4aJti3v&#10;qNn7TAQIuwQV5N5XiZQuzcmg69uKOHgXWxv0QdaZ1DW2AW5KOYiiH2mw4LCQY0WrnNLr/mYU/LbY&#10;LofxutleL6vH+TD6P21jUqrXjaMpCE93/wm/239awWAynsDrTXgCcv4E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xhmJpvwAAAN0AAAAPAAAAAAAAAAEAIAAAACIAAABkcnMvZG93bnJldi54&#10;bWxQSwECFAAUAAAACACHTuJAMy8FnjsAAAA5AAAAFQAAAAAAAAABACAAAAAOAQAAZHJzL2dyb3Vw&#10;c2hhcGV4bWwueG1sUEsFBgAAAAAGAAYAYAEAAMsDAAAAAA==&#10;">
                  <o:lock v:ext="edit" aspectratio="f"/>
                  <v:shape id="Freeform 3213" o:spid="_x0000_s1026" o:spt="100" style="position:absolute;left:1712;top:1690;height:1684;width:243;" fillcolor="#BBE0E3" filled="t" stroked="t" coordsize="1358,9433" o:gfxdata="UEsDBAoAAAAAAIdO4kAAAAAAAAAAAAAAAAAEAAAAZHJzL1BLAwQUAAAACACHTuJACZ2aNbgAAADd&#10;AAAADwAAAGRycy9kb3ducmV2LnhtbEVPy4rCMBTdD/gP4QruxqTiiFajoCLO1tf+0lzbanNTkvj8&#10;+sliwOXhvGeLp23EnXyoHWvI+goEceFMzaWG42HzPQYRIrLBxjFpeFGAxbzzNcPcuAfv6L6PpUgh&#10;HHLUUMXY5lKGoiKLoe9a4sSdnbcYE/SlNB4fKdw2cqDUSFqsOTVU2NKqouK6v1kN0VOxfF1UGLpT&#10;82PtaJ0Nt2+te91MTUFEesaP+N/9azQMJpO0P71JT0DO/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Z2aNbgAAADdAAAA&#10;DwAAAAAAAAABACAAAAAiAAAAZHJzL2Rvd25yZXYueG1sUEsBAhQAFAAAAAgAh07iQDMvBZ47AAAA&#10;OQAAABAAAAAAAAAAAQAgAAAABwEAAGRycy9zaGFwZXhtbC54bWxQSwUGAAAAAAYABgBbAQAAsQMA&#10;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214" o:spid="_x0000_s1026" o:spt="100" style="position:absolute;left:1712;top:1690;height:1684;width:243;" filled="f" stroked="t" coordsize="1358,9433" o:gfxdata="UEsDBAoAAAAAAIdO4kAAAAAAAAAAAAAAAAAEAAAAZHJzL1BLAwQUAAAACACHTuJA6Oicy74AAADd&#10;AAAADwAAAGRycy9kb3ducmV2LnhtbEWPQYvCMBSE74L/ITxhb5rWg9hqFBQE9+Ki1oO3R/Nsq81L&#10;SbJa//1mYWGPw8x8wyzXvWnFk5xvLCtIJwkI4tLqhisFxXk3noPwAVlja5kUvMnDejUcLDHX9sVH&#10;ep5CJSKEfY4K6hC6XEpf1mTQT2xHHL2bdQZDlK6S2uErwk0rp0kykwYbjgs1drStqXycvo2Cx/Vw&#10;d/3nxWW747zfnHH7VezfSn2M0mQBIlAf/sN/7b1WMM2yFH7fxCcgV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Oicy74A&#10;AADdAAAADwAAAAAAAAABACAAAAAiAAAAZHJzL2Rvd25yZXYueG1sUEsBAhQAFAAAAAgAh07iQDMv&#10;BZ47AAAAOQAAABAAAAAAAAAAAQAgAAAADQEAAGRycy9zaGFwZXhtbC54bWxQSwUGAAAAAAYABgBb&#10;AQAAtwM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215" o:spid="_x0000_s1026" o:spt="203" style="position:absolute;left:4613;top:3776;height:1943;width:241;" coordorigin="2445,1690" coordsize="241,1684" o:gfxdata="UEsDBAoAAAAAAIdO4kAAAAAAAAAAAAAAAAAEAAAAZHJzL1BLAwQUAAAACACHTuJA+vtmxcEAAADd&#10;AAAADwAAAGRycy9kb3ducmV2LnhtbEWPT2vCQBTE7wW/w/IKvdVNIhZNXUWkFg9SMBFKb4/sMwlm&#10;34bsNn++fbdQ6HGYmd8wm91oGtFT52rLCuJ5BIK4sLrmUsE1Pz6vQDiPrLGxTAomcrDbzh42mGo7&#10;8IX6zJciQNilqKDyvk2ldEVFBt3ctsTBu9nOoA+yK6XucAhw08gkil6kwZrDQoUtHSoq7tm3UfA+&#10;4LBfxG/9+X47TF/58uPzHJNST49x9ArC0+j/w3/tk1aQrNcJ/L4JT0Bufw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Pr7ZsXBAAAA3QAAAA8AAAAAAAAAAQAgAAAAIgAAAGRycy9kb3ducmV2&#10;LnhtbFBLAQIUABQAAAAIAIdO4kAzLwWeOwAAADkAAAAVAAAAAAAAAAEAIAAAABABAABkcnMvZ3Jv&#10;dXBzaGFwZXhtbC54bWxQSwUGAAAAAAYABgBgAQAAzQMAAAAA&#10;">
                  <o:lock v:ext="edit" aspectratio="f"/>
                  <v:shape id="Freeform 3216" o:spid="_x0000_s1026" o:spt="100" style="position:absolute;left:2445;top:1690;height:1684;width:241;" fillcolor="#BBE0E3" filled="t" stroked="t" coordsize="1350,9433" o:gfxdata="UEsDBAoAAAAAAIdO4kAAAAAAAAAAAAAAAAAEAAAAZHJzL1BLAwQUAAAACACHTuJAyny8RsMAAADd&#10;AAAADwAAAGRycy9kb3ducmV2LnhtbEWPT2sCMRTE7wW/Q3hCL6WbaKnUdaOUlqIUQbQe9PbYPHdX&#10;Ny/LJv6pn74RhB6HmfkNk00uthYnan3lWEMvUSCIc2cqLjSsf76e30D4gGywdkwafsnDZNx5yDA1&#10;7sxLOq1CISKEfYoayhCaVEqfl2TRJ64hjt7OtRZDlG0hTYvnCLe17Cs1kBYrjgslNvRRUn5YHa2G&#10;/fe2+lQb93R9XQ6O03kxm74vNlo/dntqBCLQJfyH7+2Z0dAfDl/g9iY+ATn+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fLxGwwAAAN0AAAAPAAAAAAAAAAEAIAAAACIAAABkcnMvZG93bnJldi54bWxQSwECFAAUAAAACACH&#10;TuJAMy8FnjsAAAA5AAAAEAAAAAAAAAABACAAAAASAQAAZHJzL3NoYXBleG1sLnhtbFBLBQYAAAAA&#10;BgAGAFsBAAC8AwAAAAA=&#10;" path="m225,0c101,0,0,101,0,225l0,9208c0,9332,101,9433,225,9433l1125,9433c1249,9433,1350,9332,1350,9208l1350,225c1350,101,1249,0,1125,0l225,0xe">
                    <v:path o:connectlocs="40,0;0,40;0,1643;40,1684;200,1684;241,1643;241,40;200,0;40,0" o:connectangles="0,0,0,0,0,0,0,0,0"/>
                    <v:fill on="t" focussize="0,0"/>
                    <v:stroke weight="0pt" color="#000000" joinstyle="round"/>
                    <v:imagedata o:title=""/>
                    <o:lock v:ext="edit" aspectratio="f"/>
                  </v:shape>
                  <v:shape id="Freeform 3217" o:spid="_x0000_s1026" o:spt="100" style="position:absolute;left:2445;top:1690;height:1684;width:241;" filled="f" stroked="t" coordsize="1350,9433" o:gfxdata="UEsDBAoAAAAAAIdO4kAAAAAAAAAAAAAAAAAEAAAAZHJzL1BLAwQUAAAACACHTuJAfop0p74AAADd&#10;AAAADwAAAGRycy9kb3ducmV2LnhtbEWPS2vDMBCE74X8B7GF3BrZpriNayWHQKCHXvIqPS7W2jL1&#10;royl5vHvo0Khx2F2vtmp11ce1Jmm0HsxkC8yUCSNt710Bo6H7dMrqBBRLA5eyMCNAqxXs4caK+sv&#10;sqPzPnYqQSRUaMDFOFZah8YRY1j4kSR5rZ8YY5JTp+2ElwTnQRdZVmrGXlKDw5E2jprv/Q+nN8r8&#10;g78+Pbt22I6nl5KbAgtj5o959gYq0jX+H/+l362BYrl8ht81CQF6d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op0p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0,1684;241,1643;241,40;200,0;40,0" o:connectangles="0,0,0,0,0,0,0,0,0"/>
                    <v:fill on="f" focussize="0,0"/>
                    <v:stroke weight="0.45pt" color="#000000" joinstyle="round" endcap="round"/>
                    <v:imagedata o:title=""/>
                    <o:lock v:ext="edit" aspectratio="f"/>
                  </v:shape>
                </v:group>
                <v:group id="Group 3218" o:spid="_x0000_s1026" o:spt="203" style="position:absolute;left:5344;top:3773;height:1943;width:242;" coordorigin="3176,1687" coordsize="242,1684" o:gfxdata="UEsDBAoAAAAAAIdO4kAAAAAAAAAAAAAAAAAEAAAAZHJzL1BLAwQUAAAACACHTuJAdRL+scEAAADd&#10;AAAADwAAAGRycy9kb3ducmV2LnhtbEWPQWvCQBSE70L/w/IKvZlNLJEas0qRtvQQCo2F4u2RfSbB&#10;7NuQ3Sb6712h4HGYmW+YfHs2nRhpcK1lBUkUgyCurG65VvCzf5+/gHAeWWNnmRRcyMF28zDLMdN2&#10;4m8aS1+LAGGXoYLG+z6T0lUNGXSR7YmDd7SDQR/kUEs94BTgppOLOF5Kgy2HhQZ72jVUnco/o+Bj&#10;wun1OXkbi9Nxdzns06/fIiGlnh6TeA3C09nfw//tT61gsVqlcHsTnoDcXA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HUS/rHBAAAA3QAAAA8AAAAAAAAAAQAgAAAAIgAAAGRycy9kb3ducmV2&#10;LnhtbFBLAQIUABQAAAAIAIdO4kAzLwWeOwAAADkAAAAVAAAAAAAAAAEAIAAAABABAABkcnMvZ3Jv&#10;dXBzaGFwZXhtbC54bWxQSwUGAAAAAAYABgBgAQAAzQMAAAAA&#10;">
                  <o:lock v:ext="edit" aspectratio="f"/>
                  <v:shape id="Freeform 3219" o:spid="_x0000_s1026" o:spt="100" style="position:absolute;left:3176;top:1687;height:1684;width:242;" fillcolor="#BBE0E3" filled="t" stroked="t" coordsize="1350,9433" o:gfxdata="UEsDBAoAAAAAAIdO4kAAAAAAAAAAAAAAAAAEAAAAZHJzL1BLAwQUAAAACACHTuJA2gsf3sIAAADd&#10;AAAADwAAAGRycy9kb3ducmV2LnhtbEWPT2sCMRTE74LfITzBi9REoYtujSItokhB1B7s7bF57q5u&#10;XpZN/FM/fVMoeBxm5jfMZHa3lbhS40vHGgZ9BYI4c6bkXMPXfvEyAuEDssHKMWn4IQ+zabs1wdS4&#10;G2/pugu5iBD2KWooQqhTKX1WkEXfdzVx9I6usRiibHJpGrxFuK3kUKlEWiw5LhRY03tB2Xl3sRpO&#10;6+/yQx1c7/G6TS7Lz3y1nG8OWnc7A/UGItA9PMP/7ZXRMByPE/h7E5+AnP4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oL&#10;H97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220" o:spid="_x0000_s1026" o:spt="100" style="position:absolute;left:3176;top:1687;height:1684;width:242;" filled="f" stroked="t" coordsize="1350,9433" o:gfxdata="UEsDBAoAAAAAAIdO4kAAAAAAAAAAAAAAAAAEAAAAZHJzL1BLAwQUAAAACACHTuJAjljq0L4AAADd&#10;AAAADwAAAGRycy9kb3ducmV2LnhtbEWPzWrDMBCE74G+g9hCb41sH5zGsZxDIZBDL03bkONibSxT&#10;78pYyk/fPgoUchxm55uden3lQZ1pCr0XA/k8A0XSettLZ+D7a/P6BipEFIuDFzLwRwHWzdOsxsr6&#10;i3zSeRc7lSASKjTgYhwrrUPriDHM/UiSvKOfGGOSU6fthJcE50EXWVZqxl5Sg8OR3h21v7sTpzfK&#10;/IMPe8/uOGzGn0XJbYGFMS/PebYCFekaH8f/6a01UCyXC7ivSQjQz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ljq0L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21" o:spid="_x0000_s1026" o:spt="203" style="position:absolute;left:6075;top:3773;height:1943;width:242;" coordorigin="3907,1687" coordsize="242,1684" o:gfxdata="UEsDBAoAAAAAAIdO4kAAAAAAAAAAAAAAAAAEAAAAZHJzL1BLAwQUAAAACACHTuJAmxNRL7wAAADd&#10;AAAADwAAAGRycy9kb3ducmV2LnhtbEVPy4rCMBTdC/5DuII7Tas4jJ1GEVFxIQOjA8PsLs3tA5ub&#10;0sRW/94sBJeH807Xd1OLjlpXWVYQTyMQxJnVFRcKfi/7yScI55E11pZJwYMcrFfDQYqJtj3/UHf2&#10;hQgh7BJUUHrfJFK6rCSDbmob4sDltjXoA2wLqVvsQ7ip5SyKPqTBikNDiQ1tS8qu55tRcOix38zj&#10;XXe65tvH/2Xx/XeKSanxKI6+QHi6+7f45T5qBbPlMswNb8ITkK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bE1EvvAAAAN0AAAAPAAAAAAAAAAEAIAAAACIAAABkcnMvZG93bnJldi54bWxQ&#10;SwECFAAUAAAACACHTuJAMy8FnjsAAAA5AAAAFQAAAAAAAAABACAAAAALAQAAZHJzL2dyb3Vwc2hh&#10;cGV4bWwueG1sUEsFBgAAAAAGAAYAYAEAAMgDAAAAAA==&#10;">
                  <o:lock v:ext="edit" aspectratio="f"/>
                  <v:shape id="Freeform 3222" o:spid="_x0000_s1026" o:spt="100" style="position:absolute;left:3907;top:1687;height:1684;width:242;" fillcolor="#EAEAEA" filled="t" stroked="t" coordsize="1350,9433" o:gfxdata="UEsDBAoAAAAAAIdO4kAAAAAAAAAAAAAAAAAEAAAAZHJzL1BLAwQUAAAACACHTuJAv2IIYbsAAADd&#10;AAAADwAAAGRycy9kb3ducmV2LnhtbEWPQYvCMBSE74L/IbwFb5rWhcVWo6Cg7EnYKp4fzbMp27yU&#10;JFb992ZhweMwM98wq83DdmIgH1rHCvJZBoK4drrlRsH5tJ8uQISIrLFzTAqeFGCzHo9WWGp35x8a&#10;qtiIBOFQogITY19KGWpDFsPM9cTJuzpvMSbpG6k93hPcdnKeZV/SYstpwWBPO0P1b3WzCj6reDma&#10;xZbyfe13w3V78Hi0Sk0+8mwJItIjvsP/7W+tYF4UBfy9SU9Ar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2IIYbsAAADd&#10;AAAADwAAAAAAAAABACAAAAAiAAAAZHJzL2Rvd25yZXYueG1sUEsBAhQAFAAAAAgAh07iQDMvBZ47&#10;AAAAOQAAABAAAAAAAAAAAQAgAAAACgEAAGRycy9zaGFwZXhtbC54bWxQSwUGAAAAAAYABgBbAQAA&#10;tAMAAAAA&#10;" path="m225,0c101,0,0,101,0,225l0,9208c0,9333,101,9433,225,9433l1125,9433c1250,9433,1350,9333,1350,9208l1350,225c1350,101,1250,0,1125,0l225,0xe">
                    <v:path o:connectlocs="40,0;0,40;0,1643;40,1684;201,1684;242,1643;242,40;201,0;40,0" o:connectangles="0,0,0,0,0,0,0,0,0"/>
                    <v:fill on="t" focussize="0,0"/>
                    <v:stroke weight="0pt" color="#000000" joinstyle="round"/>
                    <v:imagedata o:title=""/>
                    <o:lock v:ext="edit" aspectratio="f"/>
                  </v:shape>
                  <v:shape id="Freeform 3223" o:spid="_x0000_s1026" o:spt="100" style="position:absolute;left:3907;top:1687;height:1684;width:242;" filled="f" stroked="t" coordsize="1350,9433" o:gfxdata="UEsDBAoAAAAAAIdO4kAAAAAAAAAAAAAAAAAEAAAAZHJzL1BLAwQUAAAACACHTuJAQZ9KNL0AAADd&#10;AAAADwAAAGRycy9kb3ducmV2LnhtbEWPTWvDMAyG74P+B6PCbqudDLKR1e1hUOhhl3Uf7ChiNQ6L&#10;5BC7H/v302Gwo3j1Pnq03l55NGea85DEQ7VyYEi6FAbpPby/7e4eweSCEnBMQh5+KMN2s7hZYxvS&#10;RV7pfCi9UYjkFj3EUqbW2txFYsyrNJFodkwzY9Fx7m2Y8aJwHm3tXGMZB9ELESd6jtR9H06sGk31&#10;wl+fieNx3E0fDw13Ndbe3y4r9wSm0LX8L/+198HDvXPqr98oAuz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n0o0vQAA&#10;AN0AAAAPAAAAAAAAAAEAIAAAACIAAABkcnMvZG93bnJldi54bWxQSwECFAAUAAAACACHTuJAMy8F&#10;njsAAAA5AAAAEAAAAAAAAAABACAAAAAMAQAAZHJzL3NoYXBleG1sLnhtbFBLBQYAAAAABgAGAFsB&#10;AAC2AwAAAAA=&#10;" path="m225,0c101,0,0,101,0,225l0,9208c0,9333,101,9433,225,9433l1125,9433c1250,9433,1350,9333,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224" o:spid="_x0000_s1026" o:spt="203" style="position:absolute;left:6808;top:3773;height:1943;width:242;" coordorigin="4640,1687" coordsize="242,1684" o:gfxdata="UEsDBAoAAAAAAIdO4kAAAAAAAAAAAAAAAAAEAAAAZHJzL1BLAwQUAAAACACHTuJASgfAIr8AAADd&#10;AAAADwAAAGRycy9kb3ducmV2LnhtbEWPQWsCMRSE7wX/Q3gFbzVJxSJboxSx4kGEqiC9PTbP3cXN&#10;y7KJu/rvjVDocZiZb5jZ4uZq0VEbKs8G9EiBIM69rbgwcDx8v01BhIhssfZMBu4UYDEfvMwws77n&#10;H+r2sRAJwiFDA2WMTSZlyEtyGEa+IU7e2bcOY5JtIW2LfYK7Wr4r9SEdVpwWSmxoWVJ+2V+dgXWP&#10;/ddYr7rt5by8/x4mu9NWkzHDV60+QUS6xf/wX3tjDYyV0vB8k56AnD8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B8AivwAAAN0AAAAPAAAAAAAAAAEAIAAAACIAAABkcnMvZG93bnJldi54&#10;bWxQSwECFAAUAAAACACHTuJAMy8FnjsAAAA5AAAAFQAAAAAAAAABACAAAAAOAQAAZHJzL2dyb3Vw&#10;c2hhcGV4bWwueG1sUEsFBgAAAAAGAAYAYAEAAMsDAAAAAA==&#10;">
                  <o:lock v:ext="edit" aspectratio="f"/>
                  <v:shape id="Freeform 3225" o:spid="_x0000_s1026" o:spt="100" style="position:absolute;left:4640;top:1687;height:1684;width:242;" fillcolor="#EAEAEA" filled="t" stroked="t" coordsize="1350,9433" o:gfxdata="UEsDBAoAAAAAAIdO4kAAAAAAAAAAAAAAAAAEAAAAZHJzL1BLAwQUAAAACACHTuJA8eiigLoAAADd&#10;AAAADwAAAGRycy9kb3ducmV2LnhtbEWPQYvCMBSE7wv+h/CEva1JFUSqUVBQPAnbXTw/mmdTbF5K&#10;Eqv+e7Ow4HGY+WaY1ebhOjFQiK1nDcVEgSCuvWm50fD7s/9agIgJ2WDnmTQ8KcJmPfpYYWn8nb9p&#10;qFIjcgnHEjXYlPpSylhbchgnvifO3sUHhynL0EgT8J7LXSenSs2lw5bzgsWedpbqa3VzGmZVOp/s&#10;YkvFvg674bI9BDw5rT/HhVqCSPRI7/A/fTSZU2oKf2/yE5Dr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6KKAugAAAN0A&#10;AAAPAAAAAAAAAAEAIAAAACIAAABkcnMvZG93bnJldi54bWxQSwECFAAUAAAACACHTuJAMy8FnjsA&#10;AAA5AAAAEAAAAAAAAAABACAAAAAJAQAAZHJzL3NoYXBleG1sLnhtbFBLBQYAAAAABgAGAFsBAACz&#10;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226" o:spid="_x0000_s1026" o:spt="100" style="position:absolute;left:4640;top:1687;height:1684;width:242;" filled="f" stroked="t" coordsize="1350,9433" o:gfxdata="UEsDBAoAAAAAAIdO4kAAAAAAAAAAAAAAAAAEAAAAZHJzL1BLAwQUAAAACACHTuJAsU3UQ74AAADd&#10;AAAADwAAAGRycy9kb3ducmV2LnhtbEWPzWrDMBCE74G+g9hCb41kB9ziRskhEOghlyZtyHGxNpaJ&#10;d2UsNT9vXxUCOQ6z883OfHnlXp1pjF0QC8XUgCJpguuktfC9W7++g4oJxWEfhCzcKMJy8TSZY+3C&#10;Rb7ovE2tyhCJNVrwKQ211rHxxBinYSDJ3jGMjCnLsdVuxEuGc69LYyrN2Elu8DjQylNz2v5yfqMq&#10;NnzYB/bHfj38vFXclFha+/JcmA9Qia7pcXxPfzoLM2Nm8L8mI0Av/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U3UQ7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27" o:spid="_x0000_s1026" o:spt="203" style="position:absolute;left:7540;top:3773;height:1944;width:242;" coordorigin="5372,1687" coordsize="242,1685" o:gfxdata="UEsDBAoAAAAAAIdO4kAAAAAAAAAAAAAAAAAEAAAAZHJzL1BLAwQUAAAACACHTuJAWnBjusAAAADd&#10;AAAADwAAAGRycy9kb3ducmV2LnhtbEWPT2sCMRTE74V+h/AEbzVZtaWsG6WIFQ8iVAvi7bF5+wc3&#10;L8sm3dVv3xSEHoeZ+Q2TrW62ET11vnasIZkoEMS5MzWXGr5Pny/vIHxANtg4Jg138rBaPj9lmBo3&#10;8Bf1x1CKCGGfooYqhDaV0ucVWfQT1xJHr3CdxRBlV0rT4RDhtpFTpd6kxZrjQoUtrSvKr8cfq2E7&#10;4PAxSzb9/lqs75fT6+G8T0jr8ShRCxCBbuE//GjvjIaZUnP4exOfgFz+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WnBjusAAAADdAAAADwAAAAAAAAABACAAAAAiAAAAZHJzL2Rvd25yZXYu&#10;eG1sUEsBAhQAFAAAAAgAh07iQDMvBZ47AAAAOQAAABUAAAAAAAAAAQAgAAAADwEAAGRycy9ncm91&#10;cHNoYXBleG1sLnhtbFBLBQYAAAAABgAGAGABAADMAwAAAAA=&#10;">
                  <o:lock v:ext="edit" aspectratio="f"/>
                  <v:shape id="Freeform 3228" o:spid="_x0000_s1026" o:spt="100" style="position:absolute;left:5372;top:1687;height:1685;width:242;" fillcolor="#EAEAEA" filled="t" stroked="t" coordsize="675,4717" o:gfxdata="UEsDBAoAAAAAAIdO4kAAAAAAAAAAAAAAAAAEAAAAZHJzL1BLAwQUAAAACACHTuJAr13e8r0AAADd&#10;AAAADwAAAGRycy9kb3ducmV2LnhtbEWPQWsCMRSE74L/ITyht5rY2la2Rg9CobQedFs8Pzev2cXN&#10;y5Kkuv57Iwgeh5lvhpkve9eKI4XYeNYwGSsQxJU3DVsNvz8fjzMQMSEbbD2ThjNFWC6GgzkWxp94&#10;S8cyWZFLOBaooU6pK6SMVU0O49h3xNn788FhyjJYaQKecrlr5ZNSr9Jhw3mhxo5WNVWH8t9peN6t&#10;+e2L++nGliGcnf3ez9qg9cNoot5BJOrTPXyjP03mlHqB65v8BOTi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Xd7yvQAA&#10;AN0AAAAPAAAAAAAAAAEAIAAAACIAAABkcnMvZG93bnJldi54bWxQSwECFAAUAAAACACHTuJAMy8F&#10;njsAAAA5AAAAEAAAAAAAAAABACAAAAAMAQAAZHJzL3NoYXBleG1sLnhtbFBLBQYAAAAABgAGAFsB&#10;AAC2Aw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229" o:spid="_x0000_s1026" o:spt="100" style="position:absolute;left:5372;top:1687;height:1685;width:242;" filled="f" stroked="t" coordsize="675,4717" o:gfxdata="UEsDBAoAAAAAAIdO4kAAAAAAAAAAAAAAAAAEAAAAZHJzL1BLAwQUAAAACACHTuJAfuAvXrwAAADd&#10;AAAADwAAAGRycy9kb3ducmV2LnhtbEWPS4sCMRCE7wv+h9DC3taMig9Go+iCsOBBHAXx1k7ayeCk&#10;M0yyPv69EQSPRVV9RU3nd1uJKzW+dKyg20lAEOdOl1wo2O9WP2MQPiBrrByTggd5mM9aX1NMtbvx&#10;lq5ZKESEsE9RgQmhTqX0uSGLvuNq4uidXWMxRNkUUjd4i3BbyV6SDKXFkuOCwZp+DeWX7N8qGJBc&#10;Hw90HCx5Q26R5SO+mJNS3+1uMgER6B4+4Xf7TyvoRyK83sQnIG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7gL168AAAA&#10;3QAAAA8AAAAAAAAAAQAgAAAAIgAAAGRycy9kb3ducmV2LnhtbFBLAQIUABQAAAAIAIdO4kAzLwWe&#10;OwAAADkAAAAQAAAAAAAAAAEAIAAAAAsBAABkcnMvc2hhcGV4bWwueG1sUEsFBgAAAAAGAAYAWwEA&#10;ALU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230" o:spid="_x0000_s1026" o:spt="203" style="position:absolute;left:5828;top:3776;height:1943;width:243;" coordorigin="3660,1690" coordsize="243,1684" o:gfxdata="UEsDBAoAAAAAAIdO4kAAAAAAAAAAAAAAAAAEAAAAZHJzL1BLAwQUAAAACACHTuJAqqL9zcAAAADd&#10;AAAADwAAAGRycy9kb3ducmV2LnhtbEWPT2sCMRTE74V+h/AEbzVZxbasG6WIFQ8iVAvi7bF5+wc3&#10;L8sm3dVv3xSEHoeZ+Q2TrW62ET11vnasIZkoEMS5MzWXGr5Pny/vIHxANtg4Jg138rBaPj9lmBo3&#10;8Bf1x1CKCGGfooYqhDaV0ucVWfQT1xJHr3CdxRBlV0rT4RDhtpFTpV6lxZrjQoUtrSvKr8cfq2E7&#10;4PAxSzb9/lqs75fT/HDeJ6T1eJSoBYhAt/AffrR3RsNMqTf4exOfgFz+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qL9zcAAAADdAAAADwAAAAAAAAABACAAAAAiAAAAZHJzL2Rvd25yZXYu&#10;eG1sUEsBAhQAFAAAAAgAh07iQDMvBZ47AAAAOQAAABUAAAAAAAAAAQAgAAAADwEAAGRycy9ncm91&#10;cHNoYXBleG1sLnhtbFBLBQYAAAAABgAGAGABAADMAwAAAAA=&#10;">
                  <o:lock v:ext="edit" aspectratio="f"/>
                  <v:shape id="Freeform 3231" o:spid="_x0000_s1026" o:spt="100" style="position:absolute;left:3660;top:1690;height:1684;width:243;" fillcolor="#EAEAEA" filled="t" stroked="t" coordsize="1358,9433" o:gfxdata="UEsDBAoAAAAAAIdO4kAAAAAAAAAAAAAAAAAEAAAAZHJzL1BLAwQUAAAACACHTuJAw2uPbrsAAADd&#10;AAAADwAAAGRycy9kb3ducmV2LnhtbEVPz2vCMBS+C/sfwht4s4kORumMooONeZJ1o/T4aN7aYvNS&#10;kqzW/94cBjt+fL+3+9kOYiIfesca1pkCQdw403Or4fvrbZWDCBHZ4OCYNNwowH73sNhiYdyVP2kq&#10;YytSCIcCNXQxjoWUoenIYsjcSJy4H+ctxgR9K43Hawq3g9wo9Swt9pwaOhzptaPmUv5aDVVVx97P&#10;m/MFDwPWx/H8fsonrZePa/UCItIc/8V/7g+j4UmpNDe9SU9A7u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2uPbrsAAADd&#10;AAAADwAAAAAAAAABACAAAAAiAAAAZHJzL2Rvd25yZXYueG1sUEsBAhQAFAAAAAgAh07iQDMvBZ47&#10;AAAAOQAAABAAAAAAAAAAAQAgAAAACgEAAGRycy9zaGFwZXhtbC54bWxQSwUGAAAAAAYABgBbAQAA&#10;tAMA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232" o:spid="_x0000_s1026" o:spt="100" style="position:absolute;left:3660;top:1690;height:1684;width:243;" filled="f" stroked="t" coordsize="1358,9433" o:gfxdata="UEsDBAoAAAAAAIdO4kAAAAAAAAAAAAAAAAAEAAAAZHJzL1BLAwQUAAAACACHTuJAVrCoXb4AAADd&#10;AAAADwAAAGRycy9kb3ducmV2LnhtbEWPzYoCMRCE74LvEFrYmya6sOhoFBQE97Lizx721kzamdFJ&#10;Z0iijm9vFgSPRVV9Rc0Wra3FjXyoHGsYDhQI4tyZigsNx8O6PwYRIrLB2jFpeFCAxbzbmWFm3J13&#10;dNvHQiQIhww1lDE2mZQhL8liGLiGOHkn5y3GJH0hjcd7gttajpT6khYrTgslNrQqKb/sr1bD5e/n&#10;7NvvXz9Z78bt8oCr7XHz0PqjN1RTEJHa+A6/2huj4VOpCfy/SU9Azp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rCoXb4A&#10;AADdAAAADwAAAAAAAAABACAAAAAiAAAAZHJzL2Rvd25yZXYueG1sUEsBAhQAFAAAAAgAh07iQDMv&#10;BZ47AAAAOQAAABAAAAAAAAAAAQAgAAAADQEAAGRycy9zaGFwZXhtbC54bWxQSwUGAAAAAAYABgBb&#10;AQAAtwM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233" o:spid="_x0000_s1026" o:spt="203" style="position:absolute;left:6561;top:3776;height:1943;width:242;" coordorigin="4393,1690" coordsize="242,1684" o:gfxdata="UEsDBAoAAAAAAIdO4kAAAAAAAAAAAAAAAAAEAAAAZHJzL1BLAwQUAAAACACHTuJAoJLzZLwAAADd&#10;AAAADwAAAGRycy9kb3ducmV2LnhtbEVPz2vCMBS+C/sfwht40yTKRKpRRJzsIAOrMHZ7NM+22LyU&#10;Jmv1v18Ogx0/vt/r7cM1oqcu1J4N6KkCQVx4W3Np4Hp5nyxBhIhssfFMBp4UYLt5Ga0xs37gM/V5&#10;LEUK4ZChgSrGNpMyFBU5DFPfEifu5juHMcGulLbDIYW7Rs6UWkiHNaeGClvaV1Tc8x9n4DjgsJvr&#10;Q3+63/bP78vb59dJkzHjV61WICI94r/4z/1hDcyVTvvTm/QE5OYX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gkvNkvAAAAN0AAAAPAAAAAAAAAAEAIAAAACIAAABkcnMvZG93bnJldi54bWxQ&#10;SwECFAAUAAAACACHTuJAMy8FnjsAAAA5AAAAFQAAAAAAAAABACAAAAALAQAAZHJzL2dyb3Vwc2hh&#10;cGV4bWwueG1sUEsFBgAAAAAGAAYAYAEAAMgDAAAAAA==&#10;">
                  <o:lock v:ext="edit" aspectratio="f"/>
                  <v:shape id="Freeform 3234" o:spid="_x0000_s1026" o:spt="100" style="position:absolute;left:4393;top:1690;height:1684;width:242;" fillcolor="#EAEAEA" filled="t" stroked="t" coordsize="1350,9433" o:gfxdata="UEsDBAoAAAAAAIdO4kAAAAAAAAAAAAAAAAAEAAAAZHJzL1BLAwQUAAAACACHTuJAhOOqKrsAAADd&#10;AAAADwAAAGRycy9kb3ducmV2LnhtbEWPQWsCMRSE70L/Q3iF3jRJhSKrUVCw9CS4iufH5rlZunlZ&#10;knS1/94UhB6HmW+GWW3uvhcjxdQFNqBnCgRxE2zHrYHzaT9dgEgZ2WIfmAz8UoLN+mWywsqGGx9p&#10;rHMrSgmnCg24nIdKytQ48phmYSAu3jVEj7nI2Eob8VbKfS/flfqQHjsuCw4H2jlqvusfb2Be58vB&#10;Lbak903cjdftZ8SDN+btVasliEz3/B9+0l+2cEpr+HtTnoBcP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OOqKrsAAADd&#10;AAAADwAAAAAAAAABACAAAAAiAAAAZHJzL2Rvd25yZXYueG1sUEsBAhQAFAAAAAgAh07iQDMvBZ47&#10;AAAAOQAAABAAAAAAAAAAAQAgAAAACgEAAGRycy9zaGFwZXhtbC54bWxQSwUGAAAAAAYABgBbAQAA&#10;tAM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35" o:spid="_x0000_s1026" o:spt="100" style="position:absolute;left:4393;top:1690;height:1684;width:242;" filled="f" stroked="t" coordsize="1350,9433" o:gfxdata="UEsDBAoAAAAAAIdO4kAAAAAAAAAAAAAAAAAEAAAAZHJzL1BLAwQUAAAACACHTuJAW9jnBb4AAADd&#10;AAAADwAAAGRycy9kb3ducmV2LnhtbEWPwWrDMBBE74X+g9hAb7FkF5ziRskhEMghl6ZJ6HGxNpap&#10;d2UsNUn/vioUehxm583Ocn3nQV1pin0QC2VhQJG0wfXSWTi+b+cvoGJCcTgEIQvfFGG9enxYYuPC&#10;Td7oekidyhCJDVrwKY2N1rH1xBiLMJJk7xImxpTl1Gk34S3DedCVMbVm7CU3eBxp46n9PHxxfqMu&#10;9/xxDuwvw3Y8LWpuK6ysfZqV5hVUonv6P/5L75yFZ1NW8LsmI0Cv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9jnBb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36" o:spid="_x0000_s1026" o:spt="203" style="position:absolute;left:7292;top:3776;height:1943;width:248;" coordorigin="5124,1690" coordsize="248,1684" o:gfxdata="UEsDBAoAAAAAAIdO4kAAAAAAAAAAAAAAAAAEAAAAZHJzL1BLAwQUAAAACACHTuJAUEBtE78AAADd&#10;AAAADwAAAGRycy9kb3ducmV2LnhtbEWPQWsCMRSE74X+h/AEbzWJS0W2RhGpxYMU1ELp7bF57i5u&#10;XpZNuqv/vikIHoeZ+YZZrK6uET11ofZsQE8UCOLC25pLA1+n7cscRIjIFhvPZOBGAVbL56cF5tYP&#10;fKD+GEuRIBxyNFDF2OZShqIih2HiW+LknX3nMCbZldJ2OCS4a+RUqZl0WHNaqLClTUXF5fjrDHwM&#10;OKwz/d7vL+fN7ef0+vm912TMeKTVG4hI1/gI39s7ayBTOoP/N+kJyOU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QQG0TvwAAAN0AAAAPAAAAAAAAAAEAIAAAACIAAABkcnMvZG93bnJldi54&#10;bWxQSwECFAAUAAAACACHTuJAMy8FnjsAAAA5AAAAFQAAAAAAAAABACAAAAAOAQAAZHJzL2dyb3Vw&#10;c2hhcGV4bWwueG1sUEsFBgAAAAAGAAYAYAEAAMsDAAAAAA==&#10;">
                  <o:lock v:ext="edit" aspectratio="f"/>
                  <v:shape id="Freeform 3237" o:spid="_x0000_s1026" o:spt="100" style="position:absolute;left:5124;top:1690;height:1684;width:248;" fillcolor="#EAEAEA" filled="t" stroked="t" coordsize="1383,9433" o:gfxdata="UEsDBAoAAAAAAIdO4kAAAAAAAAAAAAAAAAAEAAAAZHJzL1BLAwQUAAAACACHTuJA9nVS5L8AAADd&#10;AAAADwAAAGRycy9kb3ducmV2LnhtbEWPQWvCQBSE70L/w/IK3nQ31aqkbgIVBY+ptgdvj+xrkpp9&#10;G7LbqP/eLRQ8DjPzDbPOr7YVA/W+cawhmSoQxKUzDVcaPo+7yQqED8gGW8ek4UYe8uxptMbUuAt/&#10;0HAIlYgQ9ilqqEPoUil9WZNFP3UdcfS+XW8xRNlX0vR4iXDbyhelFtJiw3Ghxo42NZXnw6/V8FPg&#10;sCyK9+1X8OfTcWZOfrt51Xr8nKg3EIGu4RH+b++NhplK5vD3Jj4Bmd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Z1UuS/&#10;AAAA3QAAAA8AAAAAAAAAAQAgAAAAIgAAAGRycy9kb3ducmV2LnhtbFBLAQIUABQAAAAIAIdO4kAz&#10;LwWeOwAAADkAAAAQAAAAAAAAAAEAIAAAAA4BAABkcnMvc2hhcGV4bWwueG1sUEsFBgAAAAAGAAYA&#10;WwEAALgDAAAAAA==&#10;" path="m231,0c103,0,0,103,0,230l0,9203c0,9330,103,9433,231,9433l1153,9433c1280,9433,1383,9330,1383,9203l1383,230c1383,103,1280,0,1153,0l231,0xe">
                    <v:path o:connectlocs="41,0;0,41;0,1642;41,1684;206,1684;248,1642;248,41;206,0;41,0" o:connectangles="0,0,0,0,0,0,0,0,0"/>
                    <v:fill on="t" focussize="0,0"/>
                    <v:stroke weight="0pt" color="#000000" joinstyle="round"/>
                    <v:imagedata o:title=""/>
                    <o:lock v:ext="edit" aspectratio="f"/>
                  </v:shape>
                  <v:shape id="Freeform 3238" o:spid="_x0000_s1026" o:spt="100" style="position:absolute;left:5124;top:1690;height:1684;width:248;" filled="f" stroked="t" coordsize="1383,9433" o:gfxdata="UEsDBAoAAAAAAIdO4kAAAAAAAAAAAAAAAAAEAAAAZHJzL1BLAwQUAAAACACHTuJAmh/Ljb0AAADd&#10;AAAADwAAAGRycy9kb3ducmV2LnhtbEWPQWsCMRSE74X+h/AKvdVkLZZlNUoRBG+irXh9bl43i5uX&#10;dRPX9d8bQehxmJlvmNlicI3oqQu1Zw3ZSIEgLr2pudLw+7P6yEGEiGyw8UwabhRgMX99mWFh/JW3&#10;1O9iJRKEQ4EabIxtIWUoLTkMI98SJ+/Pdw5jkl0lTYfXBHeNHCv1JR3WnBYstrS0VJ52F6dh7A6R&#10;j7d9MznZQ37GoZf590br97dMTUFEGuJ/+NleGw2fKpvA4016AnJ+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H8uNvQAA&#10;AN0AAAAPAAAAAAAAAAEAIAAAACIAAABkcnMvZG93bnJldi54bWxQSwECFAAUAAAACACHTuJAMy8F&#10;njsAAAA5AAAAEAAAAAAAAAABACAAAAAMAQAAZHJzL3NoYXBleG1sLnhtbFBLBQYAAAAABgAGAFsB&#10;AAC2AwAAAAA=&#10;" path="m231,0c103,0,0,103,0,230l0,9203c0,9330,103,9433,231,9433l1153,9433c1280,9433,1383,9330,1383,9203l1383,230c1383,103,1280,0,1153,0l231,0xe">
                    <v:path o:connectlocs="41,0;0,41;0,1642;41,1684;206,1684;248,1642;248,41;206,0;41,0" o:connectangles="0,0,0,0,0,0,0,0,0"/>
                    <v:fill on="f" focussize="0,0"/>
                    <v:stroke weight="0.45pt" color="#000000" joinstyle="round" endcap="round"/>
                    <v:imagedata o:title=""/>
                    <o:lock v:ext="edit" aspectratio="f"/>
                  </v:shape>
                </v:group>
                <v:group id="Group 3239" o:spid="_x0000_s1026" o:spt="203" style="position:absolute;left:5586;top:3776;height:1943;width:242;" coordorigin="3418,1690" coordsize="242,1684" o:gfxdata="UEsDBAoAAAAAAIdO4kAAAAAAAAAAAAAAAAAEAAAAZHJzL1BLAwQUAAAACACHTuJAQDfOi8AAAADd&#10;AAAADwAAAGRycy9kb3ducmV2LnhtbEWPT2sCMRTE74V+h/AK3moSpVK2ZqWIlR5EqBbE22Pz9g9u&#10;XpZNuqvfvikIPQ4z8xtmubq6VgzUh8azAT1VIIgLbxuuDHwfP55fQYSIbLH1TAZuFGCVPz4sMbN+&#10;5C8aDrESCcIhQwN1jF0mZShqchimviNOXul7hzHJvpK2xzHBXStnSi2kw4bTQo0drWsqLocfZ2A7&#10;4vg+15thdynXt/PxZX/aaTJm8qTVG4hI1/gfvrc/rYG50gv4e5Oe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DfOi8AAAADdAAAADwAAAAAAAAABACAAAAAiAAAAZHJzL2Rvd25yZXYu&#10;eG1sUEsBAhQAFAAAAAgAh07iQDMvBZ47AAAAOQAAABUAAAAAAAAAAQAgAAAADwEAAGRycy9ncm91&#10;cHNoYXBleG1sLnhtbFBLBQYAAAAABgAGAGABAADMAwAAAAA=&#10;">
                  <o:lock v:ext="edit" aspectratio="f"/>
                  <v:shape id="Freeform 3240" o:spid="_x0000_s1026" o:spt="100" style="position:absolute;left:3418;top:1690;height:1684;width:242;" fillcolor="#BBE0E3" filled="t" stroked="t" coordsize="1350,9433" o:gfxdata="UEsDBAoAAAAAAIdO4kAAAAAAAAAAAAAAAAAEAAAAZHJzL1BLAwQUAAAACACHTuJAcLAUCMIAAADd&#10;AAAADwAAAGRycy9kb3ducmV2LnhtbEWPT2sCMRTE74LfITyhF6nJtlTLapSiiFKE4rYHvT02z921&#10;m5dlE/+0n94UCh6HmfkNM5ldbS3O1PrKsYZkoEAQ585UXGj4+lw+voLwAdlg7Zg0/JCH2bTbmWBq&#10;3IW3dM5CISKEfYoayhCaVEqfl2TRD1xDHL2Day2GKNtCmhYvEW5r+aTUUFqsOC6U2NC8pPw7O1kN&#10;x/d9tVA71/992Q5Pq02xXr197LR+6CVqDCLQNdzD/+210fCskhH8vYlPQE5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Cw&#10;FAjCAAAA3QAAAA8AAAAAAAAAAQAgAAAAIgAAAGRycy9kb3ducmV2LnhtbFBLAQIUABQAAAAIAIdO&#10;4kAzLwWeOwAAADkAAAAQAAAAAAAAAAEAIAAAABEBAABkcnMvc2hhcGV4bWwueG1sUEsFBgAAAAAG&#10;AAYAWwEAALsDA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41" o:spid="_x0000_s1026" o:spt="100" style="position:absolute;left:3418;top:1690;height:1684;width:242;" filled="f" stroked="t" coordsize="1350,9433" o:gfxdata="UEsDBAoAAAAAAIdO4kAAAAAAAAAAAAAAAAAEAAAAZHJzL1BLAwQUAAAACACHTuJAOjDQ770AAADd&#10;AAAADwAAAGRycy9kb3ducmV2LnhtbEWPTWvDMAyG74P+B6PCbqudDLKR1e1hUOhhl3Uf7ChiNQ6L&#10;5BC7H/v302Gwo3j1Pnq03l55NGea85DEQ7VyYEi6FAbpPby/7e4eweSCEnBMQh5+KMN2s7hZYxvS&#10;RV7pfCi9UYjkFj3EUqbW2txFYsyrNJFodkwzY9Fx7m2Y8aJwHm3tXGMZB9ELESd6jtR9H06sGk31&#10;wl+fieNx3E0fDw13Ndbe3y4r9wSm0LX8L/+198HDvatUV79RBN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MNDvvQAA&#10;AN0AAAAPAAAAAAAAAAEAIAAAACIAAABkcnMvZG93bnJldi54bWxQSwECFAAUAAAACACHTuJAMy8F&#10;njsAAAA5AAAAEAAAAAAAAAABACAAAAAMAQAAZHJzL3NoYXBleG1sLnhtbFBLBQYAAAAABgAGAFsB&#10;AAC2Aw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42" o:spid="_x0000_s1026" o:spt="203" style="position:absolute;left:6317;top:3776;height:1943;width:244;" coordorigin="4149,1690" coordsize="244,1684" o:gfxdata="UEsDBAoAAAAAAIdO4kAAAAAAAAAAAAAAAAAEAAAAZHJzL1BLAwQUAAAACACHTuJAMaha+b8AAADd&#10;AAAADwAAAGRycy9kb3ducmV2LnhtbEWPQWsCMRSE74X+h/AKvWmSimK3RilSiwcR1ELp7bF57i5u&#10;XpZN3NV/bwShx2FmvmFmi4urRUdtqDwb0EMFgjj3tuLCwM9hNZiCCBHZYu2ZDFwpwGL+/DTDzPqe&#10;d9TtYyEShEOGBsoYm0zKkJfkMAx9Q5y8o28dxiTbQtoW+wR3tXxTaiIdVpwWSmxoWVJ+2p+dge8e&#10;+8+R/uo2p+Py+ncYb383mox5fdHqA0SkS/wPP9pra2Ck9Dvc36QnIOc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xqFr5vwAAAN0AAAAPAAAAAAAAAAEAIAAAACIAAABkcnMvZG93bnJldi54&#10;bWxQSwECFAAUAAAACACHTuJAMy8FnjsAAAA5AAAAFQAAAAAAAAABACAAAAAOAQAAZHJzL2dyb3Vw&#10;c2hhcGV4bWwueG1sUEsFBgAAAAAGAAYAYAEAAMsDAAAAAA==&#10;">
                  <o:lock v:ext="edit" aspectratio="f"/>
                  <v:shape id="Freeform 3243" o:spid="_x0000_s1026" o:spt="100" style="position:absolute;left:4149;top:1690;height:1684;width:244;" fillcolor="#EAEAEA" filled="t" stroked="t" coordsize="1359,9433" o:gfxdata="UEsDBAoAAAAAAIdO4kAAAAAAAAAAAAAAAAAEAAAAZHJzL1BLAwQUAAAACACHTuJAXeejIbkAAADd&#10;AAAADwAAAGRycy9kb3ducmV2LnhtbEVPy4rCMBTdC/5DuII7TaogpRrFB8O4k6l+wKW5tsXmpjSx&#10;Pr7eLIRZHs57tXnaRvTU+dqxhmSqQBAXztRcaricfyYpCB+QDTaOScOLPGzWw8EKM+Me/Ed9HkoR&#10;Q9hnqKEKoc2k9EVFFv3UtcSRu7rOYoiwK6Xp8BHDbSNnSi2kxZpjQ4Ut7SsqbvndavDJ9jdpFnZ3&#10;2hapfeevPm0PJ63Ho0QtQQR6hn/x1300GuZqFvfHN/EJyP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3noyG5AAAA3QAA&#10;AA8AAAAAAAAAAQAgAAAAIgAAAGRycy9kb3ducmV2LnhtbFBLAQIUABQAAAAIAIdO4kAzLwWeOwAA&#10;ADkAAAAQAAAAAAAAAAEAIAAAAAgBAABkcnMvc2hhcGV4bWwueG1sUEsFBgAAAAAGAAYAWwEAALID&#10;AAAAAA==&#10;" path="m227,0c102,0,0,101,0,226l0,9207c0,9332,102,9433,227,9433l1132,9433c1257,9433,1359,9332,1359,9207l1359,226c1359,101,1257,0,1132,0l227,0xe">
                    <v:path o:connectlocs="40,0;0,40;0,1643;40,1684;203,1684;244,1643;244,40;203,0;40,0" o:connectangles="0,0,0,0,0,0,0,0,0"/>
                    <v:fill on="t" focussize="0,0"/>
                    <v:stroke weight="0pt" color="#000000" joinstyle="round"/>
                    <v:imagedata o:title=""/>
                    <o:lock v:ext="edit" aspectratio="f"/>
                  </v:shape>
                  <v:shape id="Freeform 3244" o:spid="_x0000_s1026" o:spt="100" style="position:absolute;left:4149;top:1690;height:1684;width:244;" filled="f" stroked="t" coordsize="1359,9433" o:gfxdata="UEsDBAoAAAAAAIdO4kAAAAAAAAAAAAAAAAAEAAAAZHJzL1BLAwQUAAAACACHTuJAq6wc178AAADd&#10;AAAADwAAAGRycy9kb3ducmV2LnhtbEWPT2vCQBTE7wW/w/IK3nQ3KQSbukpVFK9aUY+P7GsSzb4N&#10;2a1/+um7gtDjMDO/YcbTm23EhTpfO9aQDBUI4sKZmksNu6/lYATCB2SDjWPScCcP00nvZYy5cVfe&#10;0GUbShEh7HPUUIXQ5lL6oiKLfuha4uh9u85iiLIrpenwGuG2kalSmbRYc1yosKV5RcV5+2M17M/v&#10;i5ncFSc8pJ/Z6HD8Xa6yk9b910R9gAh0C//hZ3ttNLypNIHHm/gE5OQ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usHNe/&#10;AAAA3QAAAA8AAAAAAAAAAQAgAAAAIgAAAGRycy9kb3ducmV2LnhtbFBLAQIUABQAAAAIAIdO4kAz&#10;LwWeOwAAADkAAAAQAAAAAAAAAAEAIAAAAA4BAABkcnMvc2hhcGV4bWwueG1sUEsFBgAAAAAGAAYA&#10;WwEAALgDAAAAAA==&#10;" path="m227,0c102,0,0,101,0,226l0,9207c0,9332,102,9433,227,9433l1132,9433c1257,9433,1359,9332,1359,9207l1359,226c1359,101,1257,0,1132,0l227,0xe">
                    <v:path o:connectlocs="40,0;0,40;0,1643;40,1684;203,1684;244,1643;244,40;203,0;40,0" o:connectangles="0,0,0,0,0,0,0,0,0"/>
                    <v:fill on="f" focussize="0,0"/>
                    <v:stroke weight="0.45pt" color="#000000" joinstyle="round" endcap="round"/>
                    <v:imagedata o:title=""/>
                    <o:lock v:ext="edit" aspectratio="f"/>
                  </v:shape>
                </v:group>
                <v:group id="Group 3245" o:spid="_x0000_s1026" o:spt="203" style="position:absolute;left:7050;top:3776;height:1943;width:242;" coordorigin="4882,1690" coordsize="242,1684" o:gfxdata="UEsDBAoAAAAAAIdO4kAAAAAAAAAAAAAAAAAEAAAAZHJzL1BLAwQUAAAACACHTuJA8WACNb8AAADd&#10;AAAADwAAAGRycy9kb3ducmV2LnhtbEWPT4vCMBTE7wv7HcJb2NuatLIi1SgiKnuQBf+AeHs0z7bY&#10;vJQmtvrtNwuCx2FmfsNM53dbi45aXznWkAwUCOLcmYoLDcfD+msMwgdkg7Vj0vAgD/PZ+9sUM+N6&#10;3lG3D4WIEPYZaihDaDIpfV6SRT9wDXH0Lq61GKJsC2la7CPc1jJVaiQtVhwXSmxoWVJ+3d+shk2P&#10;/WKYrLrt9bJ8nA/fv6dtQlp/fiRqAiLQPbzCz/aP0TBUaQr/b+ITkL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YAI1vwAAAN0AAAAPAAAAAAAAAAEAIAAAACIAAABkcnMvZG93bnJldi54&#10;bWxQSwECFAAUAAAACACHTuJAMy8FnjsAAAA5AAAAFQAAAAAAAAABACAAAAAOAQAAZHJzL2dyb3Vw&#10;c2hhcGV4bWwueG1sUEsFBgAAAAAGAAYAYAEAAMsDAAAAAA==&#10;">
                  <o:lock v:ext="edit" aspectratio="f"/>
                  <v:shape id="Freeform 3246" o:spid="_x0000_s1026" o:spt="100" style="position:absolute;left:4882;top:1690;height:1684;width:242;" fillcolor="#EAEAEA" filled="t" stroked="t" coordsize="1350,9433" o:gfxdata="UEsDBAoAAAAAAIdO4kAAAAAAAAAAAAAAAAAEAAAAZHJzL1BLAwQUAAAACACHTuJA1RFbe7oAAADd&#10;AAAADwAAAGRycy9kb3ducmV2LnhtbEWPQYvCMBSE74L/ITzBmyZVWKRrFBRc9iRslT0/mmdTbF5K&#10;Eqv+eyMs7HGY+WaY9fbhOjFQiK1nDcVcgSCuvWm50XA+HWYrEDEhG+w8k4YnRdhuxqM1lsbf+YeG&#10;KjUil3AsUYNNqS+ljLUlh3Hue+LsXXxwmLIMjTQB77ncdXKh1Id02HJesNjT3lJ9rW5Ow7JKv0e7&#10;2lFxqMN+uOy+Ah6d1tNJoT5BJHqk//Af/W0ypxZLeL/JT0B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VEVt7ugAAAN0A&#10;AAAPAAAAAAAAAAEAIAAAACIAAABkcnMvZG93bnJldi54bWxQSwECFAAUAAAACACHTuJAMy8FnjsA&#10;AAA5AAAAEAAAAAAAAAABACAAAAAJAQAAZHJzL3NoYXBleG1sLnhtbFBLBQYAAAAABgAGAFsBAACz&#10;Aw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47" o:spid="_x0000_s1026" o:spt="100" style="position:absolute;left:4882;top:1690;height:1684;width:242;" filled="f" stroked="t" coordsize="1350,9433" o:gfxdata="UEsDBAoAAAAAAIdO4kAAAAAAAAAAAAAAAAAEAAAAZHJzL1BLAwQUAAAACACHTuJAdREQV74AAADd&#10;AAAADwAAAGRycy9kb3ducmV2LnhtbEWPzWrDMBCE74G+g9hAb4lkt7jFjZJDIZBDL0mb0ONibSwT&#10;78pYyk/fPioUehxm55udxerGvbrQGLsgFoq5AUXSBNdJa+Hrcz17BRUTisM+CFn4oQir5cNkgbUL&#10;V9nSZZdalSESa7TgUxpqrWPjiTHOw0CSvWMYGVOWY6vdiNcM516XxlSasZPc4HGgd0/NaXfm/EZV&#10;fPD3IbA/9uth/1JxU2Jp7eO0MG+gEt3S//FfeuMsPJnyGX7XZATo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REQV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48" o:spid="_x0000_s1026" o:spt="203" style="position:absolute;left:7782;top:3773;height:1944;width:242;" coordorigin="5614,1687" coordsize="242,1685" o:gfxdata="UEsDBAoAAAAAAIdO4kAAAAAAAAAAAAAAAAAEAAAAZHJzL1BLAwQUAAAACACHTuJAfomaQb4AAADd&#10;AAAADwAAAGRycy9kb3ducmV2LnhtbEWPQYvCMBSE7wv+h/AEb2tSxUWqUURU9iALq4J4ezTPtti8&#10;lCa2+u83C4LHYWa+YebLh61ES40vHWtIhgoEceZMybmG03H7OQXhA7LByjFpeJKH5aL3McfUuI5/&#10;qT2EXEQI+xQ1FCHUqZQ+K8iiH7qaOHpX11gMUTa5NA12EW4rOVLqS1osOS4UWNO6oOx2uFsNuw67&#10;1TjZtPvbdf28HCc/531CWg/6iZqBCPQI7/Cr/W00jNVoAv9v4hOQi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6JmkG+AAAA3QAAAA8AAAAAAAAAAQAgAAAAIgAAAGRycy9kb3ducmV2Lnht&#10;bFBLAQIUABQAAAAIAIdO4kAzLwWeOwAAADkAAAAVAAAAAAAAAAEAIAAAAA0BAABkcnMvZ3JvdXBz&#10;aGFwZXhtbC54bWxQSwUGAAAAAAYABgBgAQAAygMAAAAA&#10;">
                  <o:lock v:ext="edit" aspectratio="f"/>
                  <v:shape id="Freeform 3249" o:spid="_x0000_s1026" o:spt="100" style="position:absolute;left:5614;top:1687;height:1685;width:242;" fillcolor="#EAEAEA" filled="t" stroked="t" coordsize="675,4717" o:gfxdata="UEsDBAoAAAAAAIdO4kAAAAAAAAAAAAAAAAAEAAAAZHJzL1BLAwQUAAAACACHTuJAFDoc5b0AAADd&#10;AAAADwAAAGRycy9kb3ducmV2LnhtbEWPQWsCMRSE7wX/Q3hCbzVRi5XV6EEQivXQbsXzc/PMLm5e&#10;liTV9d+bQqHHYeabYZbr3rXiSiE2njWMRwoEceVNw1bD4Xv7MgcRE7LB1jNpuFOE9WrwtMTC+Bt/&#10;0bVMVuQSjgVqqFPqCiljVZPDOPIdcfbOPjhMWQYrTcBbLnetnCg1kw4bzgs1drSpqbqUP07D9Ljn&#10;tx33r5+2DOHu7Mdp3gatn4djtQCRqE//4T/63WROTWbw+yY/Ab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OhzlvQAA&#10;AN0AAAAPAAAAAAAAAAEAIAAAACIAAABkcnMvZG93bnJldi54bWxQSwECFAAUAAAACACHTuJAMy8F&#10;njsAAAA5AAAAEAAAAAAAAAABACAAAAAMAQAAZHJzL3NoYXBleG1sLnhtbFBLBQYAAAAABgAGAFsB&#10;AAC2Aw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250" o:spid="_x0000_s1026" o:spt="100" style="position:absolute;left:5614;top:1687;height:1685;width:242;" filled="f" stroked="t" coordsize="675,4717" o:gfxdata="UEsDBAoAAAAAAIdO4kAAAAAAAAAAAAAAAAAEAAAAZHJzL1BLAwQUAAAACACHTuJAWhnWpb4AAADd&#10;AAAADwAAAGRycy9kb3ducmV2LnhtbEWPW2sCMRSE3wv9D+EUfKuJihe2RlFBEHwobgXx7bg53Sxu&#10;TpZNvP37RhD6OMzMN8x0fne1uFIbKs8ael0FgrjwpuJSw/5n/TkBESKywdozaXhQgPns/W2KmfE3&#10;3tE1j6VIEA4ZarAxNpmUobDkMHR9Q5y8X986jEm2pTQt3hLc1bKv1Eg6rDgtWGxoZak45xenYUhy&#10;ezzQcbjkb/KLvBjz2Z607nz01BeISPf4H361N0bDQPXH8HyTnoC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hnWpb4A&#10;AADdAAAADwAAAAAAAAABACAAAAAiAAAAZHJzL2Rvd25yZXYueG1sUEsBAhQAFAAAAAgAh07iQDMv&#10;BZ47AAAAOQAAABAAAAAAAAAAAQAgAAAADQEAAGRycy9zaGFwZXhtbC54bWxQSwUGAAAAAAYABgBb&#10;AQAAtwM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251" o:spid="_x0000_s1026" o:spt="203" style="position:absolute;left:8513;top:3773;height:1944;width:242;" coordorigin="6345,1687" coordsize="242,1685" o:gfxdata="UEsDBAoAAAAAAIdO4kAAAAAAAAAAAAAAAAAEAAAAZHJzL1BLAwQUAAAACACHTuJAkIg1370AAADd&#10;AAAADwAAAGRycy9kb3ducmV2LnhtbEVPz2vCMBS+D/wfwht4m0lbNqQzllGceJDBVJDdHs2zLTYv&#10;pcla/e/NYbDjx/d7VdxsJ0YafOtYQ7JQIIgrZ1quNZyOny9LED4gG+wck4Y7eSjWs6cV5sZN/E3j&#10;IdQihrDPUUMTQp9L6auGLPqF64kjd3GDxRDhUEsz4BTDbSdTpd6kxZZjQ4M9lQ1V18Ov1bCdcPrI&#10;ks24v17K+8/x9eu8T0jr+XOi3kEEuoV/8Z97ZzRkKo1z45v4BOT6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Ig1370AAADdAAAADwAAAAAAAAABACAAAAAiAAAAZHJzL2Rvd25yZXYueG1s&#10;UEsBAhQAFAAAAAgAh07iQDMvBZ47AAAAOQAAABUAAAAAAAAAAQAgAAAADAEAAGRycy9ncm91cHNo&#10;YXBleG1sLnhtbFBLBQYAAAAABgAGAGABAADJAwAAAAA=&#10;">
                  <o:lock v:ext="edit" aspectratio="f"/>
                  <v:shape id="Freeform 3252" o:spid="_x0000_s1026" o:spt="100" style="position:absolute;left:6345;top:1687;height:1685;width:242;" fillcolor="#EAEAEA" filled="t" stroked="t" coordsize="675,4717" o:gfxdata="UEsDBAoAAAAAAIdO4kAAAAAAAAAAAAAAAAAEAAAAZHJzL1BLAwQUAAAACACHTuJAZaWIl74AAADd&#10;AAAADwAAAGRycy9kb3ducmV2LnhtbEWPzWsCMRTE74X+D+EVvGniB35sjR4EQdoe6rZ4ft28Zpdu&#10;XpYk6vrfm0Khx2HmN8Ost71rxYVCbDxrGI8UCOLKm4aths+P/XAJIiZkg61n0nCjCNvN48MaC+Ov&#10;fKRLmazIJRwL1FCn1BVSxqomh3HkO+LsffvgMGUZrDQBr7nctXKi1Fw6bDgv1NjRrqbqpzw7DdPT&#10;Gy9euJ+92zKEm7OvX8s2aD14GqtnEIn69B/+ow8mc2qygt83+QnIz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aWIl74A&#10;AADdAAAADwAAAAAAAAABACAAAAAiAAAAZHJzL2Rvd25yZXYueG1sUEsBAhQAFAAAAAgAh07iQDMv&#10;BZ47AAAAOQAAABAAAAAAAAAAAQAgAAAADQEAAGRycy9zaGFwZXhtbC54bWxQSwUGAAAAAAYABgBb&#10;AQAAtwM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253" o:spid="_x0000_s1026" o:spt="100" style="position:absolute;left:6345;top:1687;height:1685;width:242;" filled="f" stroked="t" coordsize="675,4717" o:gfxdata="UEsDBAoAAAAAAIdO4kAAAAAAAAAAAAAAAAAEAAAAZHJzL1BLAwQUAAAACACHTuJAUCnYDLoAAADd&#10;AAAADwAAAGRycy9kb3ducmV2LnhtbEVPy4rCMBTdC/5DuMLsNFHRkWoUFYQBF4MdQdxdm2tTbG5K&#10;E19/P1kMzPJw3ovVy9XiQW2oPGsYDhQI4sKbiksNx59dfwYiRGSDtWfS8KYAq2W3s8DM+Ccf6JHH&#10;UqQQDhlqsDE2mZShsOQwDHxDnLirbx3GBNtSmhafKdzVcqTUVDqsODVYbGhrqbjld6dhQnJ/PtF5&#10;suFv8uu8+OSbvWj90RuqOYhIr/gv/nN/GQ1jNU7705v0BOTy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QKdgMugAAAN0A&#10;AAAPAAAAAAAAAAEAIAAAACIAAABkcnMvZG93bnJldi54bWxQSwECFAAUAAAACACHTuJAMy8FnjsA&#10;AAA5AAAAEAAAAAAAAAABACAAAAAJAQAAZHJzL3NoYXBleG1sLnhtbFBLBQYAAAAABgAGAFsBAACz&#10;Aw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254" o:spid="_x0000_s1026" o:spt="203" style="position:absolute;left:8265;top:3776;height:1943;width:244;" coordorigin="6097,1690" coordsize="244,1684" o:gfxdata="UEsDBAoAAAAAAIdO4kAAAAAAAAAAAAAAAAAEAAAAZHJzL1BLAwQUAAAACACHTuJAhGsKn78AAADd&#10;AAAADwAAAGRycy9kb3ducmV2LnhtbEWPQWsCMRSE74X+h/AEbzWJS0W2RhGpxYMU1ELp7bF57i5u&#10;XpZNuqv/vikIHoeZ+YZZrK6uET11ofZsQE8UCOLC25pLA1+n7cscRIjIFhvPZOBGAVbL56cF5tYP&#10;fKD+GEuRIBxyNFDF2OZShqIih2HiW+LknX3nMCbZldJ2OCS4a+RUqZl0WHNaqLClTUXF5fjrDHwM&#10;OKwz/d7vL+fN7ef0+vm912TMeKTVG4hI1/gI39s7ayBTmYb/N+kJyOU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EawqfvwAAAN0AAAAPAAAAAAAAAAEAIAAAACIAAABkcnMvZG93bnJldi54&#10;bWxQSwECFAAUAAAACACHTuJAMy8FnjsAAAA5AAAAFQAAAAAAAAABACAAAAAOAQAAZHJzL2dyb3Vw&#10;c2hhcGV4bWwueG1sUEsFBgAAAAAGAAYAYAEAAMsDAAAAAA==&#10;">
                  <o:lock v:ext="edit" aspectratio="f"/>
                  <v:shape id="Freeform 3255" o:spid="_x0000_s1026" o:spt="100" style="position:absolute;left:6097;top:1690;height:1684;width:244;" fillcolor="#EAEAEA" filled="t" stroked="t" coordsize="680,4716" o:gfxdata="UEsDBAoAAAAAAIdO4kAAAAAAAAAAAAAAAAAEAAAAZHJzL1BLAwQUAAAACACHTuJA+fNO2r4AAADd&#10;AAAADwAAAGRycy9kb3ducmV2LnhtbEWPT2sCMRTE7wW/Q3iCl1ITFURWo6hQEOzFP9XrY/O6Wbp5&#10;WTbpun57UxA8DjPzG2ax6lwlWmpC6VnDaKhAEOfelFxoOJ8+P2YgQkQ2WHkmDXcKsFr23haYGX/j&#10;A7XHWIgE4ZChBhtjnUkZcksOw9DXxMn78Y3DmGRTSNPgLcFdJcdKTaXDktOCxZq2lvLf45/TcDG2&#10;PPCXn97X7Xt32W/s9+baaT3oj9QcRKQuvsLP9s5omKjJGP7fpCcgl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NO2r4A&#10;AADdAAAADwAAAAAAAAABACAAAAAiAAAAZHJzL2Rvd25yZXYueG1sUEsBAhQAFAAAAAgAh07iQDMv&#10;BZ47AAAAOQAAABAAAAAAAAAAAQAgAAAADQEAAGRycy9zaGFwZXhtbC54bWxQSwUGAAAAAAYABgBb&#10;AQAAtwMAAAAA&#10;" path="m114,0c51,0,0,50,0,113l0,4603c0,4666,51,4716,114,4716l566,4716c629,4716,680,4666,680,4603l680,113c680,50,629,0,566,0l114,0xe">
                    <v:path o:connectlocs="40,0;0,40;0,1643;40,1684;203,1684;244,1643;244,40;203,0;40,0" o:connectangles="0,0,0,0,0,0,0,0,0"/>
                    <v:fill on="t" focussize="0,0"/>
                    <v:stroke weight="0pt" color="#000000" joinstyle="round"/>
                    <v:imagedata o:title=""/>
                    <o:lock v:ext="edit" aspectratio="f"/>
                  </v:shape>
                  <v:shape id="Freeform 3256" o:spid="_x0000_s1026" o:spt="100" style="position:absolute;left:6097;top:1690;height:1684;width:244;" filled="f" stroked="t" coordsize="680,4716" o:gfxdata="UEsDBAoAAAAAAIdO4kAAAAAAAAAAAAAAAAAEAAAAZHJzL1BLAwQUAAAACACHTuJAWFhR+70AAADd&#10;AAAADwAAAGRycy9kb3ducmV2LnhtbEWPwW7CMBBE75X4B2sr9VZsiKAQMBwoFYgblA9YxYsTNV5H&#10;tpvQv6+RKvU4mpk3mvX27lrRU4iNZw2TsQJBXHnTsNVw/fx4XYCICdlg65k0/FCE7Wb0tMbS+IHP&#10;1F+SFRnCsUQNdUpdKWWsanIYx74jzt7NB4cpy2ClCThkuGvlVKm5dNhwXqixo11N1dfl22mI1fEw&#10;MzTbW7fs7Vt4v06H017rl+eJWoFIdE//4b/20WgoVFHA401+AnL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WFH7vQAA&#10;AN0AAAAPAAAAAAAAAAEAIAAAACIAAABkcnMvZG93bnJldi54bWxQSwECFAAUAAAACACHTuJAMy8F&#10;njsAAAA5AAAAEAAAAAAAAAABACAAAAAMAQAAZHJzL3NoYXBleG1sLnhtbFBLBQYAAAAABgAGAFsB&#10;AAC2AwAAAAA=&#10;" path="m114,0c51,0,0,50,0,113l0,4603c0,4666,51,4716,114,4716l566,4716c629,4716,680,4666,680,4603l680,113c680,50,629,0,566,0l114,0xe">
                    <v:path o:connectlocs="40,0;0,40;0,1643;40,1684;203,1684;244,1643;244,40;203,0;40,0" o:connectangles="0,0,0,0,0,0,0,0,0"/>
                    <v:fill on="f" focussize="0,0"/>
                    <v:stroke weight="0.45pt" color="#000000" joinstyle="round" endcap="round"/>
                    <v:imagedata o:title=""/>
                    <o:lock v:ext="edit" aspectratio="f"/>
                  </v:shape>
                </v:group>
                <v:group id="Group 3257" o:spid="_x0000_s1026" o:spt="203" style="position:absolute;left:8024;top:3776;height:1943;width:241;" coordorigin="5856,1690" coordsize="241,1684" o:gfxdata="UEsDBAoAAAAAAIdO4kAAAAAAAAAAAAAAAAAEAAAAZHJzL1BLAwQUAAAACACHTuJAlBypB78AAADd&#10;AAAADwAAAGRycy9kb3ducmV2LnhtbEWPQWvCQBSE74L/YXmF3nQ3pkpJXUXElh6koBbE2yP7TILZ&#10;tyG7TfTfu0LB4zAz3zDz5dXWoqPWV441JGMFgjh3puJCw+/hc/QOwgdkg7Vj0nAjD8vFcDDHzLie&#10;d9TtQyEihH2GGsoQmkxKn5dk0Y9dQxy9s2sthijbQpoW+wi3tZwoNZMWK44LJTa0Lim/7P+shq8e&#10;+1WabLrt5by+nQ7Tn+M2Ia1fXxL1ASLQNTzD/+1voyFV6Rs83sQnIB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UHKkHvwAAAN0AAAAPAAAAAAAAAAEAIAAAACIAAABkcnMvZG93bnJldi54&#10;bWxQSwECFAAUAAAACACHTuJAMy8FnjsAAAA5AAAAFQAAAAAAAAABACAAAAAOAQAAZHJzL2dyb3Vw&#10;c2hhcGV4bWwueG1sUEsFBgAAAAAGAAYAYAEAAMsDAAAAAA==&#10;">
                  <o:lock v:ext="edit" aspectratio="f"/>
                  <v:shape id="Freeform 3258" o:spid="_x0000_s1026" o:spt="100" style="position:absolute;left:5856;top:1690;height:1684;width:241;" fillcolor="#EAEAEA" filled="t" stroked="t" coordsize="675,4716" o:gfxdata="UEsDBAoAAAAAAIdO4kAAAAAAAAAAAAAAAAAEAAAAZHJzL1BLAwQUAAAACACHTuJAM5YyWr0AAADd&#10;AAAADwAAAGRycy9kb3ducmV2LnhtbEWPT4vCMBTE74LfITzBmyauKGs1ylJY8CKsVRa8PZpnG2xe&#10;SpP1z7ffCILHYWZ+w6w2d9eIK3XBetYwGSsQxKU3lisNx8P36BNEiMgGG8+k4UEBNut+b4WZ8Tfe&#10;07WIlUgQDhlqqGNsMylDWZPDMPYtcfLOvnMYk+wqaTq8Jbhr5IdSc+nQclqosaW8pvJS/DkN+Snf&#10;qZ+HbReXuMVfIwv1hVbr4WCiliAi3eM7/GpvjYapms7g+SY9Abn+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ljJavQAA&#10;AN0AAAAPAAAAAAAAAAEAIAAAACIAAABkcnMvZG93bnJldi54bWxQSwECFAAUAAAACACHTuJAMy8F&#10;njsAAAA5AAAAEAAAAAAAAAABACAAAAAMAQAAZHJzL3NoYXBleG1sLnhtbFBLBQYAAAAABgAGAFsB&#10;AAC2AwAAAAA=&#10;" path="m113,0c51,0,0,50,0,112l0,4604c0,4666,51,4716,113,4716l563,4716c625,4716,675,4666,675,4604l675,112c675,50,625,0,563,0l113,0xe">
                    <v:path o:connectlocs="40,0;0,39;0,1644;40,1684;201,1684;241,1644;241,39;201,0;40,0" o:connectangles="0,0,0,0,0,0,0,0,0"/>
                    <v:fill on="t" focussize="0,0"/>
                    <v:stroke weight="0pt" color="#000000" joinstyle="round"/>
                    <v:imagedata o:title=""/>
                    <o:lock v:ext="edit" aspectratio="f"/>
                  </v:shape>
                  <v:shape id="Freeform 3259" o:spid="_x0000_s1026" o:spt="100" style="position:absolute;left:5856;top:1690;height:1684;width:241;" filled="f" stroked="t" coordsize="675,4716" o:gfxdata="UEsDBAoAAAAAAIdO4kAAAAAAAAAAAAAAAAAEAAAAZHJzL1BLAwQUAAAACACHTuJAH6ZOJ74AAADd&#10;AAAADwAAAGRycy9kb3ducmV2LnhtbEWP3WoCMRSE7wt9h3AKvauJiiJbo6BQ2BYEu/oAh83p7uLm&#10;ZEnS+PP0jSD0cpiZb5jl+mJ7kciHzrGG8UiBIK6d6bjRcDx8vC1AhIhssHdMGq4UYL16flpiYdyZ&#10;vylVsREZwqFADW2MQyFlqFuyGEZuIM7ej/MWY5a+kcbjOcNtLydKzaXFjvNCiwNtW6pP1a/V8Lkp&#10;Z+prUt6qtN96tUul3yWn9evLWL2DiHSJ/+FHuzQapmo6h/ub/ATk6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6ZOJ74A&#10;AADdAAAADwAAAAAAAAABACAAAAAiAAAAZHJzL2Rvd25yZXYueG1sUEsBAhQAFAAAAAgAh07iQDMv&#10;BZ47AAAAOQAAABAAAAAAAAAAAQAgAAAADQEAAGRycy9zaGFwZXhtbC54bWxQSwUGAAAAAAYABgBb&#10;AQAAtwMAAAAA&#10;" path="m113,0c51,0,0,50,0,112l0,4604c0,4666,51,4716,113,4716l563,4716c625,4716,675,4666,675,4604l675,112c675,50,625,0,563,0l113,0xe">
                    <v:path o:connectlocs="40,0;0,39;0,1644;40,1684;201,1684;241,1644;241,39;201,0;40,0" o:connectangles="0,0,0,0,0,0,0,0,0"/>
                    <v:fill on="f" focussize="0,0"/>
                    <v:stroke weight="0.45pt" color="#000000" joinstyle="round" endcap="round"/>
                    <v:imagedata o:title=""/>
                    <o:lock v:ext="edit" aspectratio="f"/>
                  </v:shape>
                </v:group>
                <v:group id="Group 3260" o:spid="_x0000_s1026" o:spt="203" style="position:absolute;left:8755;top:3776;height:1943;width:243;" coordorigin="6587,1690" coordsize="243,1684" o:gfxdata="UEsDBAoAAAAAAIdO4kAAAAAAAAAAAAAAAAAEAAAAZHJzL1BLAwQUAAAACACHTuJAZM43cL8AAADd&#10;AAAADwAAAGRycy9kb3ducmV2LnhtbEWPQWvCQBSE74L/YXmF3nQ3hmpJXUXElh6koBbE2yP7TILZ&#10;tyG7TfTfu0LB4zAz3zDz5dXWoqPWV441JGMFgjh3puJCw+/hc/QOwgdkg7Vj0nAjD8vFcDDHzLie&#10;d9TtQyEihH2GGsoQmkxKn5dk0Y9dQxy9s2sthijbQpoW+wi3tZwoNZUWK44LJTa0Lim/7P+shq8e&#10;+1WabLrt5by+nQ5vP8dtQlq/viTqA0Sga3iG/9vfRkOq0hk83sQnIB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zjdwvwAAAN0AAAAPAAAAAAAAAAEAIAAAACIAAABkcnMvZG93bnJldi54&#10;bWxQSwECFAAUAAAACACHTuJAMy8FnjsAAAA5AAAAFQAAAAAAAAABACAAAAAOAQAAZHJzL2dyb3Vw&#10;c2hhcGV4bWwueG1sUEsFBgAAAAAGAAYAYAEAAMsDAAAAAA==&#10;">
                  <o:lock v:ext="edit" aspectratio="f"/>
                  <v:shape id="Freeform 3261" o:spid="_x0000_s1026" o:spt="100" style="position:absolute;left:6587;top:1690;height:1684;width:243;" fillcolor="#EAEAEA" filled="t" stroked="t" coordsize="679,4716" o:gfxdata="UEsDBAoAAAAAAIdO4kAAAAAAAAAAAAAAAAAEAAAAZHJzL1BLAwQUAAAACACHTuJALqx02rsAAADd&#10;AAAADwAAAGRycy9kb3ducmV2LnhtbEVP3WrCMBS+H/gO4Qi7m4l2E6lGGQNBGAysPsCxOTbF5qQm&#10;8advv1wMdvnx/a82T9eJO4XYetYwnSgQxLU3LTcajoft2wJETMgGO8+kYaAIm/XoZYWl8Q/e071K&#10;jcghHEvUYFPqSyljbclhnPieOHNnHxymDEMjTcBHDnednCk1lw5bzg0We/qyVF+qm9NQne3eu+I9&#10;zE9h+Lj+DN/d5+Wk9et4qpYgEj3Tv/jPvTMaClXkuflNfgJy/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x02rsAAADd&#10;AAAADwAAAAAAAAABACAAAAAiAAAAZHJzL2Rvd25yZXYueG1sUEsBAhQAFAAAAAgAh07iQDMvBZ47&#10;AAAAOQAAABAAAAAAAAAAAQAgAAAACgEAAGRycy9zaGFwZXhtbC54bWxQSwUGAAAAAAYABgBbAQAA&#10;tAMAAAAA&#10;" path="m113,0c51,0,0,50,0,113l0,4603c0,4666,51,4716,113,4716l566,4716c629,4716,679,4666,679,4603l679,113c679,50,629,0,566,0l113,0xe">
                    <v:path o:connectlocs="40,0;0,40;0,1643;40,1684;202,1684;243,1643;243,40;202,0;40,0" o:connectangles="0,0,0,0,0,0,0,0,0"/>
                    <v:fill on="t" focussize="0,0"/>
                    <v:stroke weight="0pt" color="#000000" joinstyle="round"/>
                    <v:imagedata o:title=""/>
                    <o:lock v:ext="edit" aspectratio="f"/>
                  </v:shape>
                  <v:shape id="Freeform 3262" o:spid="_x0000_s1026" o:spt="100" style="position:absolute;left:6587;top:1690;height:1684;width:243;" filled="f" stroked="t" coordsize="679,4716" o:gfxdata="UEsDBAoAAAAAAIdO4kAAAAAAAAAAAAAAAAAEAAAAZHJzL1BLAwQUAAAACACHTuJARh8NE8AAAADd&#10;AAAADwAAAGRycy9kb3ducmV2LnhtbEWPW2sCMRSE34X+h3AKvogmKix1NfrgBUoRRCv6etycvbSb&#10;k2UTL/33TaHg4zAz3zCzxcPW4katrxxrGA4UCOLMmYoLDcfPTf8NhA/IBmvHpOGHPCzmL50Zpsbd&#10;eU+3QyhEhLBPUUMZQpNK6bOSLPqBa4ijl7vWYoiyLaRp8R7htpYjpRJpseK4UGJDy5Ky78PVauid&#10;T+tLbye3H9u8xlWxTr7yU6J193WopiACPcIz/N9+NxrGajyBvzfxCcj5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Hw0T&#10;wAAAAN0AAAAPAAAAAAAAAAEAIAAAACIAAABkcnMvZG93bnJldi54bWxQSwECFAAUAAAACACHTuJA&#10;My8FnjsAAAA5AAAAEAAAAAAAAAABACAAAAAPAQAAZHJzL3NoYXBleG1sLnhtbFBLBQYAAAAABgAG&#10;AFsBAAC5AwAAAAA=&#10;" path="m113,0c51,0,0,50,0,113l0,4603c0,4666,51,4716,113,4716l566,4716c629,4716,679,4666,679,4603l679,113c679,50,629,0,566,0l113,0xe">
                    <v:path o:connectlocs="40,0;0,40;0,1643;40,1684;202,1684;243,1643;243,40;202,0;40,0" o:connectangles="0,0,0,0,0,0,0,0,0"/>
                    <v:fill on="f" focussize="0,0"/>
                    <v:stroke weight="0.45pt" color="#000000" joinstyle="round" endcap="round"/>
                    <v:imagedata o:title=""/>
                    <o:lock v:ext="edit" aspectratio="f"/>
                  </v:shape>
                </v:group>
                <v:shape id="Freeform 3263" o:spid="_x0000_s1026" o:spt="100" style="position:absolute;left:8391;top:3688;height:2433;width:2236;" fillcolor="#000000" filled="t" stroked="t" coordsize="6242,5904" o:gfxdata="UEsDBAoAAAAAAIdO4kAAAAAAAAAAAAAAAAAEAAAAZHJzL1BLAwQUAAAACACHTuJANRn/9LoAAADd&#10;AAAADwAAAGRycy9kb3ducmV2LnhtbEVPy4rCMBTdC/5DuAPuNPHBMNMxigqi22kFt5fm2habm5Kk&#10;Vv/eLAZmeTjv9fZpW/EgHxrHGuYzBYK4dKbhSsOlOE6/QISIbLB1TBpeFGC7GY/WmBk38C898liJ&#10;FMIhQw11jF0mZShrshhmriNO3M15izFBX0njcUjhtpULpT6lxYZTQ40dHWoq73lvNfjrsIyn/tbv&#10;++9TsavuubvuGq0nH3P1AyLSM/6L/9xno2GpVml/epOegNy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1Gf/0ugAAAN0A&#10;AAAPAAAAAAAAAAEAIAAAACIAAABkcnMvZG93bnJldi54bWxQSwECFAAUAAAACACHTuJAMy8FnjsA&#10;AAA5AAAAEAAAAAAAAAABACAAAAAJAQAAZHJzL3NoYXBleG1sLnhtbFBLBQYAAAAABgAGAFsBAACz&#10;AwAAAAA=&#10;" path="m0,1l75,1,75,76,0,76,0,1xm150,1l176,1,225,1,225,76,176,76,150,76,150,1xm300,1l348,1,375,1,375,76,348,76,300,76,300,1xm450,1l516,1,525,1,525,76,516,76,450,76,450,1xm600,1l675,1,675,76,600,76,600,1xm750,1l753,1,825,1,825,76,753,76,750,76,750,1xm900,1l965,1,975,1,975,76,965,76,900,76,900,1xm1050,1l1088,1,1125,1,1125,76,1088,76,1050,76,1050,1xm1200,1l1238,1,1275,1,1275,76,1238,76,1200,76,1200,1xm1350,1l1372,1,1395,1,1416,1,1425,1,1425,76,1416,76,1395,76,1372,76,1350,76,1350,1xm1500,1l1513,1,1539,1,1552,1,1564,1,1573,0,1578,75,1566,76,1554,76,1539,76,1513,76,1500,76,1500,1xm1662,2l1668,4,1676,6,1668,5,1679,5,1689,5c1692,6,1694,6,1697,6l1706,9c1710,9,1713,11,1715,12l1720,15c1723,16,1725,17,1727,19l1731,23c1733,24,1735,26,1736,28l1741,33c1742,35,1743,37,1744,38l1748,45,1683,82,1679,75,1683,81,1678,75,1683,80,1679,77,1685,81,1681,78,1690,82,1680,80,1687,80,1676,80,1665,80c1662,80,1659,79,1656,78l1642,74,1637,72,1662,2xm1771,130l1772,134,1775,161,1778,191,1780,207,1705,214,1704,199,1701,170,1698,146,1697,142,1771,130xm1786,282l1787,294,1790,332,1792,357,1717,362,1715,337,1713,300,1712,288,1786,282xm1796,432l1797,450,1800,507,1725,512,1722,454,1721,437,1796,432xm1804,583l1805,601,1806,634,1807,658,1732,661,1732,638,1730,605,1729,586,1804,583xm1809,734l1809,744,1809,767,1807,810,1807,811,1732,808,1732,807,1734,766,1734,744,1734,734,1809,734xm1804,885l1804,893,1804,915,1804,939,1804,959,1729,959,1729,939,1729,913,1729,890,1729,883,1804,885xm1806,1032l1808,1060,1810,1099,1811,1107,1736,1111,1735,1104,1733,1064,1731,1036,1806,1032xm1816,1181l1816,1188,1820,1237,1821,1255,1747,1262,1745,1242,1742,1193,1741,1187,1816,1181xm1828,1330l1828,1340,1834,1405,1759,1411,1754,1346,1753,1336,1828,1330xm1841,1479l1848,1554,1774,1561,1766,1486,1841,1479xm1856,1628l1860,1663,1865,1702,1790,1711,1785,1671,1782,1636,1856,1628xm1874,1776l1878,1804,1884,1844,1884,1849,1810,1861,1809,1855,1803,1814,1800,1786,1874,1776xm1898,1921l1903,1945,1909,1973,1914,1993,1842,2011,1836,1991,1829,1961,1824,1937,1898,1921xm1935,2063l1938,2075,1954,2125,1957,2135,1885,2156,1882,2146,1867,2096,1863,2085,1935,2063xm1977,2208l1977,2209,1985,2241,1993,2276,1994,2284,1921,2298,1919,2292,1912,2258,1905,2228,1977,2208xm2008,2358l2015,2396,2021,2433,1947,2445,1941,2409,1934,2371,2008,2358xm2033,2507l2044,2575,2045,2581,1971,2592,1970,2587,1959,2519,2033,2507xm2056,2656l2058,2673,2066,2730,1992,2740,1984,2684,1982,2666,2056,2656xm2077,2804l2087,2879,2013,2889,2002,2815,2077,2804xm2097,2953l2102,2989,2107,3028,2032,3037,2027,2998,2023,2963,2097,2953xm2116,3102l2124,3159,2126,3177,2051,3186,2049,3168,2042,3112,2116,3102xm2135,3251l2139,3285,2144,3326,2070,3335,2065,3294,2061,3260,2135,3251xm2153,3400l2155,3419,2162,3475,2087,3483,2081,3428,2078,3409,2153,3400xm2170,3549l2178,3624,2104,3632,2096,3558,2170,3549xm2187,3699l2194,3766,2195,3773,2120,3781,2120,3774,2112,3707,2187,3699xm2203,3848l2208,3897,2211,3923,2136,3930,2134,3905,2129,3856,2203,3848xm2219,3997l2221,4018,2226,4072,2152,4079,2146,4026,2144,4005,2219,3997xm2234,4147l2236,4173,2240,4219,2241,4222,2166,4228,2166,4225,2161,4180,2159,4154,2234,4147xm2247,4297l2247,4305,2250,4345,2252,4372,2177,4377,2175,4350,2173,4311,2172,4303,2247,4297xm2257,4447l2257,4455,2259,4489,2261,4520,2261,4522,2186,4526,2186,4524,2184,4493,2183,4460,2182,4452,2257,4447xm2265,4597l2267,4631,2269,4672,2194,4676,2192,4635,2190,4601,2265,4597xm2270,4752l2269,4758,2268,4768,2266,4783,2265,4794,2264,4802,2265,4813,2266,4818,2192,4829,2191,4818,2190,4799,2190,4784,2192,4772,2194,4760,2195,4752,2195,4746,2270,4752xm2273,4898l2273,4918,2275,4946,2277,4958,2279,4964,2206,4981,2203,4970,2200,4952,2198,4919,2198,4898,2273,4898xm2305,5016l2307,5019,2320,5031,2334,5043,2352,5057,2311,5120,2308,5117,2285,5100,2265,5083,2248,5064,2246,5062,2305,5016xm2414,5094l2422,5098,2450,5113,2479,5126,2447,5194,2416,5179,2386,5164,2378,5160,2414,5094xm2546,5156l2580,5170,2615,5184,2588,5254,2552,5239,2518,5225,2546,5156xm2685,5210l2694,5213,2755,5235,2729,5306,2667,5284,2658,5280,2685,5210xm2825,5260l2860,5272,2896,5284,2872,5355,2835,5343,2800,5331,2825,5260xm2966,5308l2999,5318,3038,5330,3015,5402,2976,5389,2944,5379,2966,5308xm3109,5352l3153,5365,3181,5373,3160,5445,3132,5437,3087,5424,3109,5352xm3253,5394l3262,5397,3324,5414,3305,5486,3241,5469,3232,5466,3253,5394xm3396,5433l3469,5452,3450,5525,3377,5506,3396,5433xm3541,5471l3596,5485,3614,5489,3596,5562,3577,5557,3523,5544,3541,5471xm3687,5507l3703,5511,3759,5523,3743,5596,3685,5583,3669,5579,3687,5507xm3832,5539l3905,5555,3890,5628,3816,5613,3832,5539xm3978,5569l4052,5583,4038,5656,3964,5642,3978,5569xm4126,5597l4136,5599,4199,5610,4186,5683,4122,5672,4112,5670,4126,5597xm4272,5622l4346,5635,4334,5709,4260,5696,4272,5622xm4420,5646l4450,5651,4494,5658,4483,5732,4438,5725,4408,5720,4420,5646xm4568,5669l4592,5673,4636,5679,4642,5680,4631,5754,4625,5754,4581,5747,4557,5744,4568,5669xm4716,5691l4719,5691,4790,5701,4780,5775,4709,5765,4706,5765,4716,5691xm4864,5710l4875,5711,4939,5719,4930,5793,4866,5785,4855,5784,4864,5710xm5013,5727l5029,5728,5087,5734,5080,5809,5021,5803,5005,5801,5013,5727xm5162,5742l5199,5746,5236,5749,5229,5824,5192,5820,5154,5817,5162,5742xm5311,5757l5350,5760,5386,5764,5378,5839,5343,5835,5304,5831,5311,5757xm5460,5771l5517,5777,5535,5778,5528,5853,5509,5851,5453,5846,5460,5771xm5610,5786l5630,5788,5684,5793,5677,5867,5623,5862,5602,5860,5610,5786xm5759,5800l5792,5803,5833,5807,5827,5881,5785,5878,5752,5874,5759,5800xm5908,5813l5932,5816,5971,5819,5983,5820,5976,5895,5965,5894,5926,5890,5901,5888,5908,5813xm6057,5826l6064,5826,6089,5828,6110,5829,6129,5829,6130,5829,6128,5904,6126,5904,6107,5903,6084,5902,6059,5901,6051,5900,6057,5826xm6200,5828l6206,5827,6216,5825,6226,5823,6242,5896,6230,5899,6214,5902,6208,5902,6200,5828xe">
                  <v:path o:connectlocs="63,31;161,0;214,31;345,0;389,31;483,0;483,0;551,31;607,2;602,33;604,32;636,78;641,136;617,210;619,249;621,315;619,386;621,454;624,491;659,609;638,674;671,731;693,850;708,910;719,971;706,1068;736,1094;726,1235;764,1339;747,1435;785,1551;764,1609;800,1708;804,1774;809,1849;812,1908;811,1975;786,1958;788,2040;827,2109;888,2112;914,2158;1011,2167;1080,2226;1113,2205;1235,2276;1320,2269;1366,2313;1499,2341;1594,2328;1658,2371;1685,2375;1801,2360;1859,2398;1955,2378;2033,2417;2062,2390;2169,2400;2170,2431;2223,2432" o:connectangles="0,0,0,0,0,0,0,0,0,0,0,0,0,0,0,0,0,0,0,0,0,0,0,0,0,0,0,0,0,0,0,0,0,0,0,0,0,0,0,0,0,0,0,0,0,0,0,0,0,0,0,0,0,0,0,0,0,0,0,0"/>
                  <v:fill on="t" focussize="0,0"/>
                  <v:stroke weight="0.1pt" color="#000000" joinstyle="bevel"/>
                  <v:imagedata o:title=""/>
                  <o:lock v:ext="edit" aspectratio="f"/>
                </v:shape>
                <v:shape id="Freeform 3264" o:spid="_x0000_s1026" o:spt="100" style="position:absolute;left:3542;top:3678;height:31;width:4918;" fillcolor="#000000" filled="t" stroked="t" coordsize="4918,27" o:gfxdata="UEsDBAoAAAAAAIdO4kAAAAAAAAAAAAAAAAAEAAAAZHJzL1BLAwQUAAAACACHTuJA3NKI1MAAAADd&#10;AAAADwAAAGRycy9kb3ducmV2LnhtbEWPS2/CMBCE75X4D9ZW4lKBnT4QpBgOrVCp4FJAnDfxEofG&#10;6yg2r39fV6rU42hmvtFM51fXiDN1ofasIRsqEMSlNzVXGnbbxWAMIkRkg41n0nCjAPNZ726KufEX&#10;/qLzJlYiQTjkqMHG2OZShtKSwzD0LXHyDr5zGJPsKmk6vCS4a+SjUiPpsOa0YLGlN0vl9+bkNKiX&#10;9/V+UpwejD3syvazKOzHcaV1/z5TryAiXeN/+K+9NBqe1HMGv2/SE5Cz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c0ojU&#10;wAAAAN0AAAAPAAAAAAAAAAEAIAAAACIAAABkcnMvZG93bnJldi54bWxQSwECFAAUAAAACACHTuJA&#10;My8FnjsAAAA5AAAAEAAAAAAAAAABACAAAAAPAQAAZHJzL3NoYXBleG1sLnhtbFBLBQYAAAAABgAG&#10;AFsBAAC5AwAAAAA=&#10;" path="m4918,27l4891,27,4891,0,4918,0,4918,27xm4864,27l4837,27,4837,0,4864,0,4864,27xm4810,27l4783,27,4783,0,4810,0,4810,27xm4756,27l4729,27,4729,0,4756,0,4756,27xm4703,27l4676,27,4676,0,4703,0,4703,27xm4649,27l4622,27,4622,0,4649,0,4649,27xm4595,27l4568,27,4568,0,4595,0,4595,27xm4541,27l4514,27,4514,0,4541,0,4541,27xm4488,27l4461,27,4461,0,4488,0,4488,27xm4434,27l4407,27,4407,0,4434,0,4434,27xm4380,27l4353,27,4353,0,4380,0,4380,27xm4326,27l4300,27,4300,0,4326,0,4326,27xm4273,27l4246,27,4246,0,4273,0,4273,27xm4219,27l4192,27,4192,0,4219,0,4219,27xm4165,27l4138,27,4138,0,4165,0,4165,27xm4111,27l4085,27,4085,0,4111,0,4111,27xm4058,27l4031,27,4031,0,4058,0,4058,27xm4004,27l3977,27,3977,0,4004,0,4004,27xm3950,27l3923,27,3923,0,3950,0,3950,27xm3896,27l3870,27,3870,0,3896,0,3896,27xm3843,27l3816,27,3816,0,3843,0,3843,27xm3789,27l3762,27,3762,0,3789,0,3789,27xm3735,27l3708,27,3708,0,3735,0,3735,27xm3682,27l3655,27,3655,0,3682,0,3682,27xm3628,27l3601,27,3601,0,3628,0,3628,27xm3574,27l3547,27,3547,0,3574,0,3574,27xm3520,27l3493,27,3493,0,3520,0,3520,27xm3467,27l3440,27,3440,0,3467,0,3467,27xm3413,27l3386,27,3386,0,3413,0,3413,27xm3359,27l3332,27,3332,0,3359,0,3359,27xm3305,27l3278,27,3278,0,3305,0,3305,27xm3252,27l3225,27,3225,0,3252,0,3252,27xm3198,27l3171,27,3171,0,3198,0,3198,27xm3144,27l3117,27,3117,0,3144,0,3144,27xm3090,27l3064,27,3064,0,3090,0,3090,27xm3037,27l3010,27,3010,0,3037,0,3037,27xm2983,27l2956,27,2956,0,2983,0,2983,27xm2929,27l2902,27,2902,0,2929,0,2929,27xm2875,27l2849,27,2849,0,2875,0,2875,27xm2822,27l2795,27,2795,0,2822,0,2822,27xm2768,27l2741,27,2741,0,2768,0,2768,27xm2714,27l2687,27,2687,0,2714,0,2714,27xm2660,27l2634,27,2634,0,2660,0,2660,27xm2607,27l2580,27,2580,0,2607,0,2607,27xm2553,27l2526,27,2526,0,2553,0,2553,27xm2499,27l2472,27,2472,0,2499,0,2499,27xm2445,27l2419,27,2419,0,2445,0,2445,27xm2392,27l2365,27,2365,0,2392,0,2392,27xm2338,27l2311,27,2311,0,2338,0,2338,27xm2284,27l2257,27,2257,0,2284,0,2284,27xm2231,27l2204,27,2204,0,2231,0,2231,27xm2177,27l2150,27,2150,0,2177,0,2177,27xm2123,27l2096,27,2096,0,2123,0,2123,27xm2069,27l2042,27,2042,0,2069,0,2069,27xm2016,27l1989,27,1989,0,2016,0,2016,27xm1962,27l1935,27,1935,0,1962,0,1962,27xm1908,27l1881,27,1881,0,1908,0,1908,27xm1854,27l1827,27,1827,0,1854,0,1854,27xm1801,27l1774,27,1774,0,1801,0,1801,27xm1747,27l1720,27,1720,0,1747,0,1747,27xm1693,27l1666,27,1666,0,1693,0,1693,27xm1639,27l1613,27,1613,0,1639,0,1639,27xm1586,27l1559,27,1559,0,1586,0,1586,27xm1532,27l1505,27,1505,0,1532,0,1532,27xm1478,27l1451,27,1451,0,1478,0,1478,27xm1424,27l1398,27,1398,0,1424,0,1424,27xm1371,27l1344,27,1344,0,1371,0,1371,27xm1317,27l1290,27,1290,0,1317,0,1317,27xm1263,27l1236,27,1236,0,1263,0,1263,27xm1209,27l1183,27,1183,0,1209,0,1209,27xm1156,27l1129,27,1129,0,1156,0,1156,27xm1102,27l1075,27,1075,0,1102,0,1102,27xm1048,27l1021,27,1021,0,1048,0,1048,27xm995,27l968,27,968,0,995,0,995,27xm941,27l914,27,914,0,941,0,941,27xm887,27l860,27,860,0,887,0,887,27xm833,27l806,27,806,0,833,0,833,27xm780,27l753,27,753,0,780,0,780,27xm726,27l699,27,699,0,726,0,726,27xm672,27l645,27,645,0,672,0,672,27xm618,27l591,27,591,0,618,0,618,27xm565,27l538,27,538,0,565,0,565,27xm511,27l484,27,484,0,511,0,511,27xm457,27l430,27,430,0,457,0,457,27xm403,27l377,27,377,0,403,0,403,27xm350,27l323,27,323,0,350,0,350,27xm296,27l269,27,269,0,296,0,296,27xm242,27l215,27,215,0,242,0,242,27xm188,27l162,27,162,0,188,0,188,27xm135,27l108,27,108,0,135,0,135,27xm81,27l54,27,54,0,81,0,81,27xm27,27l0,27,0,0,27,0,27,27xe">
                  <v:path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v:fill on="t" focussize="0,0"/>
                  <v:stroke weight="0.1pt" color="#000000" joinstyle="bevel"/>
                  <v:imagedata o:title=""/>
                  <o:lock v:ext="edit" aspectratio="f"/>
                </v:shape>
                <v:shape id="Freeform 3265" o:spid="_x0000_s1026" o:spt="100" style="position:absolute;left:1279;top:3688;height:2433;width:2236;" fillcolor="#000000" filled="t" stroked="t" coordsize="12483,11808" o:gfxdata="UEsDBAoAAAAAAIdO4kAAAAAAAAAAAAAAAAAEAAAAZHJzL1BLAwQUAAAACACHTuJAm0PJOr0AAADd&#10;AAAADwAAAGRycy9kb3ducmV2LnhtbEWPT4vCMBTE74LfITzBmyZVkaUaRUVlkb2sCl4fzbMtNi+l&#10;Sf3z7TeCsMdhZn7DzJdPW4k7Nb50rCEZKhDEmTMl5xrOp93gC4QPyAYrx6ThRR6Wi25njqlxD/6l&#10;+zHkIkLYp6ihCKFOpfRZQRb90NXE0bu6xmKIssmlafAR4baSI6Wm0mLJcaHAmjYFZbdjazV4d213&#10;kzUd2p+V328vyXRP4aB1v5eoGYhAz/Af/rS/jYaxmozg/SY+Abn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Q8k6vQAA&#10;AN0AAAAPAAAAAAAAAAEAIAAAACIAAABkcnMvZG93bnJldi54bWxQSwECFAAUAAAACACHTuJAMy8F&#10;njsAAAA5AAAAEAAAAAAAAAABACAAAAAMAQAAZHJzL3NoYXBleG1sLnhtbFBLBQYAAAAABgAGAFsB&#10;AAC2AwAAAAA=&#10;" path="m12483,152l12333,152,12333,2,12483,2,12483,152xm12183,152l12132,152,12033,152,12033,2,12132,2,12183,2,12183,152xm11883,152l11787,152,11733,152,11733,2,11787,2,11883,2,11883,152xm11583,152l11452,152,11433,152,11433,2,11452,2,11583,2,11583,152xm11283,152l11133,152,11133,2,11283,2,11283,152xm10983,152l10978,152,10833,152,10833,2,10978,2,10983,2,10983,152xm10683,152l10555,152,10533,152,10533,2,10555,2,10683,2,10683,152xm10383,152l10308,152,10233,152,10233,2,10308,2,10383,2,10383,152xm10083,152l10007,152,9933,152,9933,2,10007,2,10083,2,10083,152xm9783,152l9741,152,9694,152,9652,152,9633,152,9633,2,9652,2,9694,2,9741,2,9783,2,9783,152xm9483,152l9458,152,9405,152,9377,152,9353,151,9327,150,9339,0,9356,1,9380,2,9405,2,9458,2,9483,2,9483,152xm9210,144l9200,148,9171,156c9166,158,9160,159,9154,159l9132,160,9110,160,9124,159,9104,163,9124,156,9115,161,9125,154,9116,161,9129,148,9120,159,9126,150,9119,164,8988,90,8996,76c8997,73,8999,70,9002,68l9010,57c9014,52,9018,47,9023,44l9032,36c9036,34,9039,31,9043,29l9052,24c9058,21,9065,18,9072,17l9092,12c9096,11,9101,11,9106,10l9125,10,9148,9,9131,12,9149,7,9159,3,9210,144xm9090,283l9089,292,9083,340,9077,397,9074,427,8924,413,8927,381,8934,321,8941,268,8942,259,9090,283xm9061,575l9059,599,9054,674,9051,724,8901,714,8904,663,8910,587,8911,564,9061,575xm9041,874l9039,908,9033,1023,8884,1015,8890,899,8892,865,9041,874xm9026,1172l9024,1209,9021,1275,9019,1322,8870,1315,8872,1268,8875,1201,8876,1165,9026,1172xm9016,1468l9016,1488,9016,1532,9019,1614,9019,1616,8870,1621,8870,1619,8866,1534,8866,1488,8866,1468,9016,1468xm9025,1765l9026,1779,9026,1827,9027,1877,9027,1919,8877,1918,8877,1878,8876,1829,8876,1786,8875,1771,9025,1765xm9022,2072l9019,2128,9014,2207,9013,2223,8863,2213,8864,2198,8869,2120,8872,2064,9022,2072xm9002,2373l9001,2386,8994,2484,8991,2523,8841,2511,8844,2473,8852,2375,8853,2362,9002,2373xm8978,2673l8977,2693,8965,2823,8816,2809,8827,2680,8829,2660,8978,2673xm8951,2973l8937,3122,8788,3107,8802,2958,8951,2973xm8921,3272l8914,3341,8904,3421,8755,3404,8764,3325,8772,3256,8921,3272xm8885,3572l8878,3627,8866,3710,8864,3723,8716,3698,8717,3688,8729,3607,8737,3552,8885,3572xm8836,3873l8826,3921,8811,3981,8800,4023,8655,3985,8666,3946,8679,3889,8689,3842,8836,3873xm8758,4169l8751,4192,8720,4293,8714,4313,8570,4270,8577,4248,8608,4149,8614,4126,8758,4169xm8675,4455l8674,4455,8660,4516,8645,4584,8643,4597,8496,4567,8499,4551,8514,4482,8529,4417,8530,4416,8675,4455xm8615,4742l8602,4817,8590,4889,8442,4865,8454,4791,8467,4716,8615,4742xm8566,5037l8545,5173,8543,5185,8395,5162,8396,5150,8418,5014,8566,5037xm8521,5333l8516,5367,8500,5481,8351,5460,8367,5345,8372,5311,8521,5333xm8479,5629l8459,5778,8310,5757,8330,5609,8479,5629xm8439,5926l8430,5996,8420,6075,8271,6055,8281,5977,8290,5906,8439,5926xm8400,6223l8386,6336,8382,6372,8233,6353,8237,6317,8252,6204,8400,6223xm8363,6521l8355,6588,8345,6669,8196,6651,8206,6569,8214,6502,8363,6521xm8327,6818l8323,6856,8310,6967,8161,6950,8174,6838,8178,6800,8327,6818xm8293,7116l8276,7265,8127,7248,8144,7099,8293,7116xm8260,7414l8245,7548,8243,7563,8094,7546,8096,7531,8111,7397,8260,7414xm8227,7712l8217,7810,8211,7861,8062,7845,8067,7794,8078,7696,8227,7712xm8196,8010l8192,8052,8180,8159,8031,8143,8042,8036,8047,7994,8196,8010xm8166,8307l8161,8359,8153,8450,8152,8456,8003,8444,8003,8437,8012,8345,8017,8293,8166,8307xm8140,8606l8139,8621,8133,8700,8129,8754,7980,8744,7984,8690,7989,8609,7991,8593,8140,8606xm8120,8903l8119,8919,8115,8985,8112,9048,8112,9052,7962,9045,7962,9040,7966,8977,7969,8910,7970,8894,8120,8903xm8104,9202l8101,9269,8096,9352,7947,9344,7951,9262,7954,9195,8104,9202xm8094,9492l8095,9504,8097,9521,8100,9543,8104,9565,8105,9597,8103,9636,8100,9657,7951,9637,7953,9624,7956,9604,7955,9588,7952,9565,7947,9534,7946,9515,7945,9503,8094,9492xm8089,9797l8088,9837,8084,9903,8078,9940,8073,9963,7927,9927,7930,9915,7934,9891,7938,9836,7939,9795,8089,9797xm7992,10123l7988,10128,7955,10165,7914,10200,7869,10234,7861,10239,7779,10113,7780,10113,7816,10087,7845,10062,7870,10037,7873,10032,7992,10123xm7728,10319l7712,10328,7652,10358,7590,10388,7525,10252,7584,10225,7640,10196,7655,10188,7728,10319xm7449,10450l7381,10478,7309,10507,7253,10367,7324,10339,7392,10311,7449,10450xm7167,10560l7150,10567,7025,10612,6974,10470,7097,10426,7114,10420,7167,10560xm6883,10662l6814,10686,6740,10711,6693,10568,6765,10544,6834,10520,6883,10662xm6597,10758l6533,10778,6453,10803,6409,10660,6487,10635,6551,10615,6597,10758xm6309,10847l6221,10874,6164,10890,6123,10746,6178,10730,6266,10704,6309,10847xm6020,10932l6002,10937,5875,10972,5835,10827,5960,10793,5979,10788,6020,10932xm5729,11012l5584,11050,5546,10905,5691,10866,5729,11012xm5438,11087l5330,11114,5292,11123,5257,10978,5293,10969,5401,10941,5438,11087xm5146,11159l5114,11166,4999,11192,4966,11046,5078,11021,5111,11013,5146,11159xm4851,11225l4704,11256,4673,11109,4820,11078,4851,11225xm4556,11285l4459,11304,4408,11313,4381,11165,4430,11156,4528,11137,4556,11285xm4261,11340l4239,11344,4112,11367,4086,11219,4212,11197,4233,11193,4261,11340xm3964,11392l3816,11417,3791,11269,3939,11244,3964,11392xm3667,11440l3608,11450,3519,11464,3496,11316,3584,11302,3643,11292,3667,11440xm3370,11487l3323,11494,3234,11507,3221,11509,3200,11360,3213,11358,3300,11346,3348,11339,3370,11487xm3072,11530l3066,11530,2923,11549,2903,11401,3046,11382,3052,11381,3072,11530xm2774,11568l2753,11570,2624,11586,2607,11437,2735,11422,2755,11419,2774,11568xm2474,11602l2442,11606,2325,11618,2309,11468,2425,11456,2458,11453,2474,11602xm2175,11633l2100,11640,2026,11648,2011,11498,2085,11491,2160,11483,2175,11633xm1876,11662l1799,11670,1728,11677,1713,11528,1785,11520,1862,11513,1876,11662xm1578,11691l1466,11702,1429,11706,1414,11556,1451,11553,1564,11542,1578,11691xm1279,11720l1239,11724,1130,11734,1116,11585,1225,11575,1265,11571,1279,11720xm981,11748l915,11755,831,11762,817,11613,900,11605,966,11599,981,11748xm682,11776l633,11780,554,11787,532,11789,519,11639,542,11637,620,11631,668,11626,682,11776xm381,11800l366,11801,317,11804,271,11806,232,11808,228,11808,224,11658,226,11658,265,11657,307,11655,356,11652,370,11651,381,11800xm68,11804l56,11803,24,11797,0,11791,33,11645,53,11649,72,11653,84,11655,68,11804xe">
                  <v:path o:connectlocs="2173,0;2074,31;2021,0;1890,31;1846,0;1752,31;1752,31;1684,0;1634,32;1609,18;1631,2;1625,81;1621,138;1591,209;1589,247;1588,316;1590,386;1587,452;1585,489;1603,612;1571,670;1591,735;1568,859;1553,917;1543,977;1503,1063;1526,1098;1483,1231;1498,1343;1461,1432;1476,1555;1444,1605;1462,1711;1457,1776;1453,1851;1451,1909;1451,1970;1423,1960;1421,2038;1393,2083;1359,2140;1311,2130;1232,2196;1148,2196;1130,2234;993,2246;921,2299;863,2282;759,2337;710,2347;579,2370;519,2349;496,2383;362,2400;333,2372;221,2415;161,2391;119,2395;47,2401;9,2400" o:connectangles="0,0,0,0,0,0,0,0,0,0,0,0,0,0,0,0,0,0,0,0,0,0,0,0,0,0,0,0,0,0,0,0,0,0,0,0,0,0,0,0,0,0,0,0,0,0,0,0,0,0,0,0,0,0,0,0,0,0,0,0"/>
                  <v:fill on="t" focussize="0,0"/>
                  <v:stroke weight="0.1pt" color="#000000" joinstyle="bevel"/>
                  <v:imagedata o:title=""/>
                  <o:lock v:ext="edit" aspectratio="f"/>
                </v:shape>
                <v:shape id="Freeform 3266" o:spid="_x0000_s1026" o:spt="100" style="position:absolute;left:2562;top:2136;height:3583;width:11;" fillcolor="#000000" filled="t" stroked="t" coordsize="11,3105" o:gfxdata="UEsDBAoAAAAAAIdO4kAAAAAAAAAAAAAAAAAEAAAAZHJzL1BLAwQUAAAACACHTuJAJAnnwr0AAADd&#10;AAAADwAAAGRycy9kb3ducmV2LnhtbEWPX0sDMRDE34V+h7AFX8Qm19ZSzqYFBcHX/kF8XC7by2Gy&#10;OS5rr357Iwh9HGbmN8xmd41BXWjIXWIL1cyAIm6S67i1cDq+Pa5BZUF2GBKThR/KsNtO7jZYuzTy&#10;ni4HaVWBcK7Rghfpa61z4ylinqWeuHjnNESUIodWuwHHAo9Bz41Z6YgdlwWPPb16ar4O39HCpz+N&#10;+9Wx0g/ty0d4ckHiPIm199PKPIMSusot/N9+dxYWZrmAvzflCe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CefCvQAA&#10;AN0AAAAPAAAAAAAAAAEAIAAAACIAAABkcnMvZG93bnJldi54bWxQSwECFAAUAAAACACHTuJAMy8F&#10;njsAAAA5AAAAEAAAAAAAAAABACAAAAAMAQAAZHJzL3NoYXBleG1sLnhtbFBLBQYAAAAABgAGAFsB&#10;AAC2AwAAAAA=&#10;" path="m0,3105l0,3058,11,3058,11,3105,0,3105xm0,3022l0,2974,11,2974,11,3022,0,3022xm0,2939l0,2891,11,2891,11,2939,0,2939xm0,2855l0,2808,11,2808,11,2855,0,2855xm0,2772l0,2725,11,2725,11,2772,0,2772xm0,2689l0,2641,11,2641,11,2689,0,2689xm0,2605l0,2558,11,2558,11,2605,0,2605xm0,2522l0,2475,11,2475,11,2522,0,2522xm0,2439l0,2391,11,2391,11,2439,0,2439xm0,2355l0,2308,11,2308,11,2355,0,2355xm0,2272l0,2225,11,2225,11,2272,0,2272xm0,2189l0,2141,11,2141,11,2189,0,2189xm0,2105l0,2058,11,2058,11,2105,0,2105xm0,2022l0,1975,11,1975,11,2022,0,2022xm0,1939l0,1891,11,1891,11,1939,0,1939xm0,1856l0,1808,11,1808,11,1856,0,1856xm0,1772l0,1725,11,1725,11,1772,0,1772xm0,1689l0,1641,11,1641,11,1689,0,1689xm0,1606l0,1558,11,1558,11,1606,0,1606xm0,1522l0,1475,11,1475,11,1522,0,1522xm0,1439l0,1391,11,1391,11,1439,0,1439xm0,1356l0,1308,11,1308,11,1356,0,1356xm0,1272l0,1225,11,1225,11,1272,0,1272xm0,1189l0,1141,11,1141,11,1189,0,1189xm0,1106l0,1058,11,1058,11,1106,0,1106xm0,1022l0,975,11,975,11,1022,0,1022xm0,939l0,891,11,891,11,939,0,939xm0,856l0,808,11,808,11,856,0,856xm0,772l0,725,11,725,11,772,0,772xm0,689l0,641,11,641,11,689,0,689xm0,606l0,558,11,558,11,606,0,606xm0,522l0,475,11,475,11,522,0,522xm0,439l0,391,11,391,11,439,0,439xm0,356l0,308,11,308,11,356,0,356xm0,272l0,225,11,225,11,272,0,272xm0,189l0,141,11,141,11,189,0,189xm0,106l0,58,11,58,11,106,0,106xm0,22l0,0,11,0,11,22,0,22xe">
                  <v:path o:connectlocs="11,3528;0,3487;11,3487;0,3336;0,3391;11,3240;0,3198;11,3198;0,3047;0,3102;11,2951;0,2910;11,2910;0,2759;0,2814;11,2663;0,2621;11,2621;0,2470;0,2525;11,2374;0,2333;11,2333;0,2182;0,2237;11,2086;0,2044;11,2044;0,1893;0,1949;11,1797;0,1756;11,1756;0,1605;0,1660;11,1509;0,1467;11,1467;0,1316;0,1372;11,1220;0,1179;11,1179;0,1028;0,1083;11,932;0,890;11,890;0,739;0,795;11,643;0,602;11,602;0,451;0,506;11,355;0,313;11,313;0,162;0,218;11,66;0,25;11,25" o:connectangles="0,0,0,0,0,0,0,0,0,0,0,0,0,0,0,0,0,0,0,0,0,0,0,0,0,0,0,0,0,0,0,0,0,0,0,0,0,0,0,0,0,0,0,0,0,0,0,0,0,0,0,0,0,0,0,0,0,0,0,0,0,0,0"/>
                  <v:fill on="t" focussize="0,0"/>
                  <v:stroke weight="0.1pt" color="#000000" joinstyle="bevel"/>
                  <v:imagedata o:title=""/>
                  <o:lock v:ext="edit" aspectratio="f"/>
                </v:shape>
                <v:shape id="Freeform 3267" o:spid="_x0000_s1026" o:spt="100" style="position:absolute;left:9333;top:2136;height:3583;width:12;" fillcolor="#000000" filled="t" stroked="t" coordsize="12,3105" o:gfxdata="UEsDBAoAAAAAAIdO4kAAAAAAAAAAAAAAAAAEAAAAZHJzL1BLAwQUAAAACACHTuJAxJ1LG74AAADd&#10;AAAADwAAAGRycy9kb3ducmV2LnhtbEWPT4vCMBTE74LfITzBmyZqdaVr7EEqKHjR3cveHs3bttq8&#10;lCb++/ZGWNjjMDO/YVbZwzbiRp2vHWuYjBUI4sKZmksN31/b0RKED8gGG8ek4UkesnW/t8LUuDsf&#10;6XYKpYgQ9ilqqEJoUyl9UZFFP3YtcfR+XWcxRNmV0nR4j3DbyKlSC2mx5rhQYUubiorL6Wo1yO0c&#10;Fx+Hn3y/VO7wbNidd3mi9XAwUZ8gAj3Cf/ivvTMaZipJ4P0mPgG5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J1LG74A&#10;AADdAAAADwAAAAAAAAABACAAAAAiAAAAZHJzL2Rvd25yZXYueG1sUEsBAhQAFAAAAAgAh07iQDMv&#10;BZ47AAAAOQAAABAAAAAAAAAAAQAgAAAADQEAAGRycy9zaGFwZXhtbC54bWxQSwUGAAAAAAYABgBb&#10;AQAAtwMAAAAA&#10;" path="m0,3105l0,3058,12,3058,12,3105,0,3105xm0,3022l0,2975,12,2975,12,3022,0,3022xm0,2939l0,2891,12,2891,12,2939,0,2939xm0,2855l0,2808,12,2808,12,2855,0,2855xm0,2772l0,2725,12,2725,12,2772,0,2772xm0,2689l0,2641,12,2641,12,2689,0,2689xm0,2605l0,2558,12,2558,12,2605,0,2605xm0,2522l0,2475,12,2475,12,2522,0,2522xm0,2439l0,2391,12,2391,12,2439,0,2439xm0,2355l0,2308,12,2308,12,2355,0,2355xm0,2272l0,2225,12,2225,12,2272,0,2272xm0,2189l0,2141,12,2141,12,2189,0,2189xm0,2105l0,2058,12,2058,12,2105,0,2105xm0,2022l0,1975,12,1975,12,2022,0,2022xm0,1939l0,1891,12,1891,12,1939,0,1939xm0,1856l0,1808,12,1808,12,1856,0,1856xm0,1772l0,1725,12,1725,12,1772,0,1772xm0,1689l0,1641,12,1641,12,1689,0,1689xm0,1606l0,1558,12,1558,12,1606,0,1606xm0,1522l0,1475,12,1475,12,1522,0,1522xm0,1439l0,1391,12,1391,12,1439,0,1439xm0,1356l0,1308,12,1308,12,1356,0,1356xm0,1272l0,1225,12,1225,12,1272,0,1272xm0,1189l0,1141,12,1141,12,1189,0,1189xm0,1106l0,1058,12,1058,12,1106,0,1106xm0,1022l0,975,12,975,12,1022,0,1022xm0,939l0,891,12,891,12,939,0,939xm0,856l0,808,12,808,12,856,0,856xm0,772l0,725,12,725,12,772,0,772xm0,689l0,641,12,641,12,689,0,689xm0,606l0,558,12,558,12,606,0,606xm0,522l0,475,12,475,12,522,0,522xm0,439l0,391,12,391,12,439,0,439xm0,356l0,308,12,308,12,356,0,356xm0,273l0,225,12,225,12,273,0,273xm0,189l0,141,12,141,12,189,0,189xm0,106l0,58,12,58,12,106,0,106xm0,23l0,0,12,0,12,23,0,23xe">
                  <v:path o:connectlocs="12,3528;0,3487;12,3487;0,3336;0,3391;12,3240;0,3198;12,3198;0,3047;0,3102;12,2951;0,2910;12,2910;0,2759;0,2814;12,2663;0,2621;12,2621;0,2470;0,2525;12,2374;0,2333;12,2333;0,2182;0,2237;12,2086;0,2044;12,2044;0,1893;0,1949;12,1797;0,1756;12,1756;0,1605;0,1660;12,1509;0,1467;12,1467;0,1316;0,1372;12,1220;0,1179;12,1179;0,1028;0,1083;12,932;0,890;12,890;0,739;0,795;12,643;0,602;12,602;0,451;0,506;12,355;0,315;12,315;0,162;0,218;12,66;0,26;12,26" o:connectangles="0,0,0,0,0,0,0,0,0,0,0,0,0,0,0,0,0,0,0,0,0,0,0,0,0,0,0,0,0,0,0,0,0,0,0,0,0,0,0,0,0,0,0,0,0,0,0,0,0,0,0,0,0,0,0,0,0,0,0,0,0,0,0"/>
                  <v:fill on="t" focussize="0,0"/>
                  <v:stroke weight="0.1pt" color="#000000" joinstyle="bevel"/>
                  <v:imagedata o:title=""/>
                  <o:lock v:ext="edit" aspectratio="f"/>
                </v:shape>
                <v:shape id="Freeform 3268" o:spid="_x0000_s1026" o:spt="100" style="position:absolute;left:2900;top:2604;height:3115;width:12;" fillcolor="#000000" filled="t" stroked="t" coordsize="12,2700" o:gfxdata="UEsDBAoAAAAAAIdO4kAAAAAAAAAAAAAAAAAEAAAAZHJzL1BLAwQUAAAACACHTuJAq41vu8AAAADd&#10;AAAADwAAAGRycy9kb3ducmV2LnhtbEWPMW/CMBSE90r9D9ar1KUCO7REbcAwVEJi6QBkyfYUP+KI&#10;+DnEJsC/ryshdTzd3Xe65frmOjHSEFrPGrKpAkFce9Nyo6E8bCafIEJENth5Jg13CrBePT8tsTD+&#10;yjsa97ERCcKhQA02xr6QMtSWHIap74mTd/SDw5jk0Egz4DXBXSdnSuXSYctpwWJP35bq0/7iNPx8&#10;Hc7HKnvbzCi387ysqrIde61fXzK1ABHpFv/Dj/bWaHhXH3P4e5OegFz9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rjW+7&#10;wAAAAN0AAAAPAAAAAAAAAAEAIAAAACIAAABkcnMvZG93bnJldi54bWxQSwECFAAUAAAACACHTuJA&#10;My8FnjsAAAA5AAAAEAAAAAAAAAABACAAAAAPAQAAZHJzL3NoYXBleG1sLnhtbFBLBQYAAAAABgAG&#10;AFsBAAC5AwAAAAA=&#10;" path="m0,2700l0,2653,12,2653,12,2700,0,2700xm0,2617l0,2569,12,2569,12,2617,0,2617xm0,2534l0,2486,12,2486,12,2534,0,2534xm0,2450l0,2403,12,2403,12,2450,0,2450xm0,2367l0,2320,12,2320,12,2367,0,2367xm0,2284l0,2236,12,2236,12,2284,0,2284xm0,2200l0,2153,12,2153,12,2200,0,2200xm0,2117l0,2070,12,2070,12,2117,0,2117xm0,2034l0,1986,12,1986,12,2034,0,2034xm0,1950l0,1903,12,1903,12,1950,0,1950xm0,1867l0,1820,12,1820,12,1867,0,1867xm0,1784l0,1736,12,1736,12,1784,0,1784xm0,1700l0,1653,12,1653,12,1700,0,1700xm0,1617l0,1570,12,1570,12,1617,0,1617xm0,1534l0,1486,12,1486,12,1534,0,1534xm0,1451l0,1403,12,1403,12,1451,0,1451xm0,1367l0,1320,12,1320,12,1367,0,1367xm0,1284l0,1236,12,1236,12,1284,0,1284xm0,1201l0,1153,12,1153,12,1201,0,1201xm0,1117l0,1070,12,1070,12,1117,0,1117xm0,1034l0,986,12,986,12,1034,0,1034xm0,951l0,903,12,903,12,951,0,951xm0,867l0,820,12,820,12,867,0,867xm0,784l0,736,12,736,12,784,0,784xm0,701l0,653,12,653,12,701,0,701xm0,617l0,570,12,570,12,617,0,617xm0,534l0,486,12,486,12,534,0,534xm0,451l0,403,12,403,12,451,0,451xm0,367l0,320,12,320,12,367,0,367xm0,284l0,236,12,236,12,284,0,284xm0,201l0,153,12,153,12,201,0,201xm0,117l0,70,12,70,12,117,0,117xm0,34l0,0,12,0,12,34,0,34xe">
                  <v:path o:connectlocs="12,3060;0,3019;12,3019;0,2868;0,2923;12,2772;0,2730;12,2730;0,2579;0,2635;12,2483;0,2442;12,2442;0,2291;0,2346;12,2195;0,2153;12,2153;0,2002;0,2058;12,1907;0,1865;12,1865;0,1714;0,1769;12,1618;0,1577;12,1577;0,1425;0,1481;12,1330;0,1288;12,1288;0,1137;0,1192;12,1041;0,1000;12,1000;0,849;0,904;12,753;0,711;12,711;0,560;0,616;12,464;0,423;12,423;0,272;0,327;12,176;0,134;12,134;0,0;0,39" o:connectangles="0,0,0,0,0,0,0,0,0,0,0,0,0,0,0,0,0,0,0,0,0,0,0,0,0,0,0,0,0,0,0,0,0,0,0,0,0,0,0,0,0,0,0,0,0,0,0,0,0,0,0,0,0,0,0"/>
                  <v:fill on="t" focussize="0,0"/>
                  <v:stroke weight="0.1pt" color="#000000" joinstyle="bevel"/>
                  <v:imagedata o:title=""/>
                  <o:lock v:ext="edit" aspectratio="f"/>
                </v:shape>
                <v:shape id="Freeform 3269" o:spid="_x0000_s1026" o:spt="100" style="position:absolute;left:8994;top:2526;height:3193;width:12;" fillcolor="#000000" filled="t" stroked="t" coordsize="12,2767" o:gfxdata="UEsDBAoAAAAAAIdO4kAAAAAAAAAAAAAAAAAEAAAAZHJzL1BLAwQUAAAACACHTuJA6uAJb74AAADd&#10;AAAADwAAAGRycy9kb3ducmV2LnhtbEWPzW7CMBCE75V4B2uReis2UCEIGA5QEAcO5e++ipckIl6H&#10;2CXh7TESUo+jmflGM1u0thR3qn3hWEO/p0AQp84UnGk4HddfYxA+IBssHZOGB3lYzDsfM0yMa3hP&#10;90PIRISwT1BDHkKVSOnTnCz6nquIo3dxtcUQZZ1JU2MT4baUA6VG0mLBcSHHipY5pdfDn9WwVTcj&#10;m9/HqVhN/GaT7X7a8+2q9We3r6YgArXhP/xub42GofoewetNfAJy/g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uAJb74A&#10;AADdAAAADwAAAAAAAAABACAAAAAiAAAAZHJzL2Rvd25yZXYueG1sUEsBAhQAFAAAAAgAh07iQDMv&#10;BZ47AAAAOQAAABAAAAAAAAAAAQAgAAAADQEAAGRycy9zaGFwZXhtbC54bWxQSwUGAAAAAAYABgBb&#10;AQAAtwMAAAAA&#10;" path="m0,2767l0,2720,12,2720,12,2767,0,2767xm0,2684l0,2637,12,2637,12,2684,0,2684xm0,2601l0,2553,12,2553,12,2601,0,2601xm0,2517l0,2470,12,2470,12,2517,0,2517xm0,2434l0,2387,12,2387,12,2434,0,2434xm0,2351l0,2303,12,2303,12,2351,0,2351xm0,2267l0,2220,12,2220,12,2267,0,2267xm0,2184l0,2137,12,2137,12,2184,0,2184xm0,2101l0,2053,12,2053,12,2101,0,2101xm0,2017l0,1970,12,1970,12,2017,0,2017xm0,1934l0,1887,12,1887,12,1934,0,1934xm0,1851l0,1803,12,1803,12,1851,0,1851xm0,1767l0,1720,12,1720,12,1767,0,1767xm0,1684l0,1637,12,1637,12,1684,0,1684xm0,1601l0,1553,12,1553,12,1601,0,1601xm0,1518l0,1470,12,1470,12,1518,0,1518xm0,1434l0,1387,12,1387,12,1434,0,1434xm0,1351l0,1303,12,1303,12,1351,0,1351xm0,1268l0,1220,12,1220,12,1268,0,1268xm0,1184l0,1137,12,1137,12,1184,0,1184xm0,1101l0,1053,12,1053,12,1101,0,1101xm0,1018l0,970,12,970,12,1018,0,1018xm0,934l0,887,12,887,12,934,0,934xm0,851l0,803,12,803,12,851,0,851xm0,768l0,720,12,720,12,768,0,768xm0,684l0,637,12,637,12,684,0,684xm0,601l0,553,12,553,12,601,0,601xm0,518l0,470,12,470,12,518,0,518xm0,434l0,387,12,387,12,434,0,434xm0,351l0,303,12,303,12,351,0,351xm0,268l0,220,12,220,12,268,0,268xm0,184l0,137,12,137,12,184,0,184xm0,101l0,53,12,53,12,101,0,101xm0,18l0,0,12,0,12,18,0,18xe">
                  <v:path o:connectlocs="12,3138;0,3097;12,3097;0,2946;0,3001;12,2850;0,2808;12,2808;0,2657;0,2712;12,2561;0,2520;12,2520;0,2369;0,2424;12,2273;0,2231;12,2231;0,2080;0,2135;12,1984;0,1943;12,1943;0,1792;0,1847;12,1696;0,1654;12,1654;0,1503;0,1558;12,1407;0,1366;12,1366;0,1215;0,1270;12,1119;0,1077;12,1077;0,926;0,982;12,830;0,789;12,789;0,638;0,693;12,542;0,500;12,500;0,349;0,405;12,253;0,212;12,212;0,61;0,116;12,0" o:connectangles="0,0,0,0,0,0,0,0,0,0,0,0,0,0,0,0,0,0,0,0,0,0,0,0,0,0,0,0,0,0,0,0,0,0,0,0,0,0,0,0,0,0,0,0,0,0,0,0,0,0,0,0,0,0,0,0"/>
                  <v:fill on="t" focussize="0,0"/>
                  <v:stroke weight="0.1pt" color="#000000" joinstyle="bevel"/>
                  <v:imagedata o:title=""/>
                  <o:lock v:ext="edit" aspectratio="f"/>
                </v:shape>
                <v:shape id="Freeform 3270" o:spid="_x0000_s1026" o:spt="100" style="position:absolute;left:3632;top:3261;height:2458;width:12;" fillcolor="#000000" filled="t" stroked="t" coordsize="12,2130" o:gfxdata="UEsDBAoAAAAAAIdO4kAAAAAAAAAAAAAAAAAEAAAAZHJzL1BLAwQUAAAACACHTuJAsz8uEr8AAADd&#10;AAAADwAAAGRycy9kb3ducmV2LnhtbEWPQWsCMRSE7wX/Q3hCbzVRi8pqFNliKQgFVy/eHslzd3Hz&#10;smzSXfvvm0Khx2FmvmE2u4drRE9dqD1rmE4UCGLjbc2lhsv58LICESKyxcYzafimALvt6GmDmfUD&#10;n6gvYikShEOGGqoY20zKYCpyGCa+JU7ezXcOY5JdKW2HQ4K7Rs6UWkiHNaeFClvKKzL34stp8Ptr&#10;MO9v0iw+j82tKI51399zrZ/HU7UGEekR/8N/7Q+rYa5el/D7Jj0Bu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LhK/&#10;AAAA3QAAAA8AAAAAAAAAAQAgAAAAIgAAAGRycy9kb3ducmV2LnhtbFBLAQIUABQAAAAIAIdO4kAz&#10;LwWeOwAAADkAAAAQAAAAAAAAAAEAIAAAAA4BAABkcnMvc2hhcGV4bWwueG1sUEsFBgAAAAAGAAYA&#10;WwEAALgDAAAAAA==&#10;" path="m0,2130l0,2083,12,2083,12,2130,0,2130xm0,2047l0,1999,12,1999,12,2047,0,2047xm0,1964l0,1916,12,1916,12,1964,0,1964xm0,1880l0,1833,12,1833,12,1880,0,1880xm0,1797l0,1750,12,1750,12,1797,0,1797xm0,1714l0,1666,12,1666,12,1714,0,1714xm0,1630l0,1583,12,1583,12,1630,0,1630xm0,1547l0,1500,12,1500,12,1547,0,1547xm0,1464l0,1416,12,1416,12,1464,0,1464xm0,1380l0,1333,12,1333,12,1380,0,1380xm0,1297l0,1250,12,1250,12,1297,0,1297xm0,1214l0,1166,12,1166,12,1214,0,1214xm0,1130l0,1083,12,1083,12,1130,0,1130xm0,1047l0,1000,12,1000,12,1047,0,1047xm0,964l0,916,12,916,12,964,0,964xm0,881l0,833,12,833,12,881,0,881xm0,797l0,750,12,750,12,797,0,797xm0,714l0,666,12,666,12,714,0,714xm0,631l0,583,12,583,12,631,0,631xm0,547l0,500,12,500,12,547,0,547xm0,464l0,416,12,416,12,464,0,464xm0,381l0,333,12,333,12,381,0,381xm0,297l0,250,12,250,12,297,0,297xm0,214l0,166,12,166,12,214,0,214xm0,131l0,83,12,83,12,131,0,131xm0,47l0,0,12,0,12,47,0,47xe">
                  <v:path o:connectlocs="12,2403;0,2362;12,2362;0,2211;0,2266;12,2115;0,2073;12,2073;0,1922;0,1977;12,1826;0,1785;12,1785;0,1634;0,1689;12,1538;0,1496;12,1496;0,1345;0,1400;12,1249;0,1208;12,1208;0,1057;0,1112;12,961;0,919;12,919;0,768;0,823;12,672;0,631;12,631;0,480;0,535;12,384;0,342;12,342;0,191;0,246;12,95;0,54;12,54" o:connectangles="0,0,0,0,0,0,0,0,0,0,0,0,0,0,0,0,0,0,0,0,0,0,0,0,0,0,0,0,0,0,0,0,0,0,0,0,0,0,0,0,0,0,0"/>
                  <v:fill on="t" focussize="0,0"/>
                  <v:stroke weight="0.1pt" color="#000000" joinstyle="bevel"/>
                  <v:imagedata o:title=""/>
                  <o:lock v:ext="edit" aspectratio="f"/>
                </v:shape>
                <v:shape id="Freeform 3271" o:spid="_x0000_s1026" o:spt="100" style="position:absolute;left:5826;top:3261;height:2458;width:12;" fillcolor="#000000" filled="t" stroked="t" coordsize="12,2130" o:gfxdata="UEsDBAoAAAAAAIdO4kAAAAAAAAAAAAAAAAAEAAAAZHJzL1BLAwQUAAAACACHTuJAwqC6YLsAAADd&#10;AAAADwAAAGRycy9kb3ducmV2LnhtbEVPy4rCMBTdC/MP4QrubOIDkY5RxGEGQRCsbmZ3Sa5tsbkp&#10;Taz692YxMMvDea82T9eInrpQe9YwyRQIYuNtzaWGy/l7vAQRIrLFxjNpeFGAzfpjsMLc+gefqC9i&#10;KVIIhxw1VDG2uZTBVOQwZL4lTtzVdw5jgl0pbYePFO4aOVVqIR3WnBoqbGlXkbkVd6fBb3+D+fmS&#10;ZnE8NNeiONR9f9tpPRpO1CeISM/4L/5z762GmZqnuelNegJy/Q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qC6YLsAAADd&#10;AAAADwAAAAAAAAABACAAAAAiAAAAZHJzL2Rvd25yZXYueG1sUEsBAhQAFAAAAAgAh07iQDMvBZ47&#10;AAAAOQAAABAAAAAAAAAAAQAgAAAACgEAAGRycy9zaGFwZXhtbC54bWxQSwUGAAAAAAYABgBbAQAA&#10;tAMAAAAA&#10;" path="m0,2130l0,2083,12,2083,12,2130,0,2130xm0,2047l0,1999,12,1999,12,2047,0,2047xm0,1964l0,1916,12,1916,12,1964,0,1964xm0,1880l0,1833,12,1833,12,1880,0,1880xm0,1797l0,1750,12,1750,12,1797,0,1797xm0,1714l0,1666,12,1666,12,1714,0,1714xm0,1630l0,1583,12,1583,12,1630,0,1630xm0,1547l0,1500,12,1500,12,1547,0,1547xm0,1464l0,1416,12,1416,12,1464,0,1464xm0,1380l0,1333,12,1333,12,1380,0,1380xm0,1297l0,1250,12,1250,12,1297,0,1297xm0,1214l0,1166,12,1166,12,1214,0,1214xm0,1130l0,1083,12,1083,12,1130,0,1130xm0,1047l0,1000,12,1000,12,1047,0,1047xm0,964l0,916,12,916,12,964,0,964xm0,881l0,833,12,833,12,881,0,881xm0,797l0,750,12,750,12,797,0,797xm0,714l0,666,12,666,12,714,0,714xm0,631l0,583,12,583,12,631,0,631xm0,547l0,500,12,500,12,547,0,547xm0,464l0,416,12,416,12,464,0,464xm0,381l0,333,12,333,12,381,0,381xm0,297l0,250,12,250,12,297,0,297xm0,214l0,166,12,166,12,214,0,214xm0,131l0,83,12,83,12,131,0,131xm0,47l0,0,12,0,12,47,0,47xe">
                  <v:path o:connectlocs="12,2403;0,2362;12,2362;0,2211;0,2266;12,2115;0,2073;12,2073;0,1922;0,1977;12,1826;0,1785;12,1785;0,1634;0,1689;12,1538;0,1496;12,1496;0,1345;0,1400;12,1249;0,1208;12,1208;0,1057;0,1112;12,961;0,919;12,919;0,768;0,823;12,672;0,631;12,631;0,480;0,535;12,384;0,342;12,342;0,191;0,246;12,95;0,54;12,54" o:connectangles="0,0,0,0,0,0,0,0,0,0,0,0,0,0,0,0,0,0,0,0,0,0,0,0,0,0,0,0,0,0,0,0,0,0,0,0,0,0,0,0,0,0,0"/>
                  <v:fill on="t" focussize="0,0"/>
                  <v:stroke weight="0.1pt" color="#000000" joinstyle="bevel"/>
                  <v:imagedata o:title=""/>
                  <o:lock v:ext="edit" aspectratio="f"/>
                </v:shape>
                <v:shape id="Freeform 3272" o:spid="_x0000_s1026" o:spt="100" style="position:absolute;left:2906;top:2598;height:138;width:6094;" fillcolor="#000000" filled="t" stroked="t" coordsize="6094,120" o:gfxdata="UEsDBAoAAAAAAIdO4kAAAAAAAAAAAAAAAAAEAAAAZHJzL1BLAwQUAAAACACHTuJAh9ZPwL8AAADd&#10;AAAADwAAAGRycy9kb3ducmV2LnhtbEWPUWvCMBSF3wf+h3AF32ZSlTo7o2wDQZAJdgNfL81dW9bc&#10;lCTT+u/NYLDHwznnO5z1drCduJAPrWMN2VSBIK6cabnW8Pmxe3wCESKywc4xabhRgO1m9LDGwrgr&#10;n+hSxlokCIcCNTQx9oWUoWrIYpi6njh5X85bjEn6WhqP1wS3nZwplUuLLaeFBnt6a6j6Ln+sBnme&#10;vWf58bwyexpeDq9hKfOD13oyztQziEhD/A//tfdGw1wtVvD7Jj0Bub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fWT8C/&#10;AAAA3QAAAA8AAAAAAAAAAQAgAAAAIgAAAGRycy9kb3ducmV2LnhtbFBLAQIUABQAAAAIAIdO4kAz&#10;LwWeOwAAADkAAAAQAAAAAAAAAAEAIAAAAA4BAABkcnMvc2hhcGV4bWwueG1sUEsFBgAAAAAGAAYA&#10;WwEAALgDAAAAAA==&#10;" path="m108,51l5987,51,5987,69,108,69,108,51xm120,120l0,60,120,0,120,120xm5974,0l6094,60,5974,120,5974,0xe">
                  <v:path o:connectlocs="108,58;5987,58;5987,79;108,79;108,58;120,138;0,69;120,0;120,138;5974,0;6094,69;5974,138;5974,0" o:connectangles="0,0,0,0,0,0,0,0,0,0,0,0,0"/>
                  <v:fill on="t" focussize="0,0"/>
                  <v:stroke weight="0.1pt" color="#000000" joinstyle="bevel"/>
                  <v:imagedata o:title=""/>
                  <o:lock v:ext="edit" aspectratio="f"/>
                </v:shape>
                <v:shape id="Freeform 3273" o:spid="_x0000_s1026" o:spt="100" style="position:absolute;left:3651;top:3314;height:138;width:2168;" fillcolor="#000000" filled="t" stroked="t" coordsize="2168,119" o:gfxdata="UEsDBAoAAAAAAIdO4kAAAAAAAAAAAAAAAAAEAAAAZHJzL1BLAwQUAAAACACHTuJAP9wvVr4AAADd&#10;AAAADwAAAGRycy9kb3ducmV2LnhtbEWPwWrCQBCG7wXfYRnBW901aUtJXT0IQkAp1Aq9TrNjspid&#10;jdk10bfvFgo9Dv/838y3XN9cKwbqg/WsYTFXIIgrbyzXGo6f28dXECEiG2w9k4Y7BVivJg9LLIwf&#10;+YOGQ6xFgnAoUEMTY1dIGaqGHIa574hTdvK9w5jGvpamxzHBXSszpV6kQ8vpQoMdbRqqzoer+6Vk&#10;l2/ylNcW7e44vldPX+Ve69l0od5ARLrF/+W/dmk05Oo5/Z9skgnI1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9wvVr4A&#10;AADdAAAADwAAAAAAAAABACAAAAAiAAAAZHJzL2Rvd25yZXYueG1sUEsBAhQAFAAAAAgAh07iQDMv&#10;BZ47AAAAOQAAABAAAAAAAAAAAQAgAAAADQEAAGRycy9zaGFwZXhtbC54bWxQSwUGAAAAAAYABgBb&#10;AQAAtwMAAAAA&#10;" path="m108,50l2060,50,2060,68,108,68,108,50xm120,119l0,59,120,0,120,119xm2048,0l2168,59,2048,119,2048,0xe">
                  <v:path o:connectlocs="108,57;2060,57;2060,78;108,78;108,57;120,138;0,68;120,0;120,138;2048,0;2168,68;2048,138;2048,0" o:connectangles="0,0,0,0,0,0,0,0,0,0,0,0,0"/>
                  <v:fill on="t" focussize="0,0"/>
                  <v:stroke weight="0.1pt" color="#000000" joinstyle="bevel"/>
                  <v:imagedata o:title=""/>
                  <o:lock v:ext="edit" aspectratio="f"/>
                </v:shape>
                <v:rect id="Rectangle 3274" o:spid="_x0000_s1026" o:spt="1" style="position:absolute;left:4062;top:2836;height:428;width:1462;mso-wrap-style:none;" filled="f" stroked="f" coordsize="21600,21600" o:gfxdata="UEsDBAoAAAAAAIdO4kAAAAAAAAAAAAAAAAAEAAAAZHJzL1BLAwQUAAAACACHTuJA2B6jbr8AAADd&#10;AAAADwAAAGRycy9kb3ducmV2LnhtbEWP0WoCMRRE3wv+Q7hC32qSWqVujVKFYhF80PYDLpvbzbab&#10;mzVJ1f59UxD6OMzMGWa+vPhOnCimNrABPVIgiOtgW24MvL+93D2CSBnZYheYDPxQguVicDPHyoYz&#10;7+l0yI0oEE4VGnA595WUqXbkMY1CT1y8jxA95iJjI23Ec4H7Tt4rNZUeWy4LDntaO6q/Dt/eAK02&#10;+9nnc3I7GXXSu+109rA5GnM71OoJRKZL/g9f26/WwFhNNPy9KU9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geo26/&#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Transmission</w:t>
                        </w:r>
                      </w:p>
                    </w:txbxContent>
                  </v:textbox>
                </v:rect>
                <v:line id="Line 3275" o:spid="_x0000_s1026" o:spt="20" style="position:absolute;left:2230;top:5719;height:0;width:7448;" filled="f" stroked="t" coordsize="21600,21600" o:gfxdata="UEsDBAoAAAAAAIdO4kAAAAAAAAAAAAAAAAAEAAAAZHJzL1BLAwQUAAAACACHTuJAcrkc0LwAAADd&#10;AAAADwAAAGRycy9kb3ducmV2LnhtbEWPzWrDMBCE74W8g9hAb7UUF4fgRMkhkNCcStM8wGKtf4i1&#10;EpZsp28fFQo9DjPzDbM7PGwvJhpC51jDKlMgiCtnOm403L5PbxsQISIb7B2Thh8KcNgvXnZYGjfz&#10;F03X2IgE4VCihjZGX0oZqpYshsx54uTVbrAYkxwaaQacE9z2MldqLS12nBZa9HRsqbpfR6uhsEX+&#10;GWfOjfMzjuv6cqbKa/26XKktiEiP+B/+a38YDe+qyOH3TXoC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5HNC8AAAA&#10;3QAAAA8AAAAAAAAAAQAgAAAAIgAAAGRycy9kb3ducmV2LnhtbFBLAQIUABQAAAAIAIdO4kAzLwWe&#10;OwAAADkAAAAQAAAAAAAAAAEAIAAAAAsBAABkcnMvc2hhcGV4bWwueG1sUEsFBgAAAAAGAAYAWwEA&#10;ALUDAAAAAA==&#10;">
                  <v:fill on="f" focussize="0,0"/>
                  <v:stroke weight="1.35pt" color="#000000" joinstyle="round"/>
                  <v:imagedata o:title=""/>
                  <o:lock v:ext="edit" aspectratio="f"/>
                </v:line>
                <v:group id="Group 3276" o:spid="_x0000_s1026" o:spt="203" style="position:absolute;left:5941;top:3773;height:1943;width:24;" coordorigin="3773,1687" coordsize="24,1684" o:gfxdata="UEsDBAoAAAAAAIdO4kAAAAAAAAAAAAAAAAAEAAAAZHJzL1BLAwQUAAAACACHTuJAxirU078AAADd&#10;AAAADwAAAGRycy9kb3ducmV2LnhtbEWPQWvCQBSE7wX/w/KE3upuDJYSXUXEFg8iVAvi7ZF9JsHs&#10;25DdJvrvXUHwOMzMN8xscbW16Kj1lWMNyUiBIM6dqbjQ8Hf4/vgC4QOywdoxabiRh8V88DbDzLie&#10;f6nbh0JECPsMNZQhNJmUPi/Joh+5hjh6Z9daDFG2hTQt9hFuazlW6lNarDgulNjQqqT8sv+3Gn56&#10;7Jdpsu62l/PqdjpMdsdtQlq/DxM1BRHoGl7hZ3tjNKRqksLjTXwCcn4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GKtTTvwAAAN0AAAAPAAAAAAAAAAEAIAAAACIAAABkcnMvZG93bnJldi54&#10;bWxQSwECFAAUAAAACACHTuJAMy8FnjsAAAA5AAAAFQAAAAAAAAABACAAAAAOAQAAZHJzL2dyb3Vw&#10;c2hhcGV4bWwueG1sUEsFBgAAAAAGAAYAYAEAAMsDAAAAAA==&#10;">
                  <o:lock v:ext="edit" aspectratio="f"/>
                  <v:shape id="Freeform 3277" o:spid="_x0000_s1026" o:spt="100" style="position:absolute;left:3773;top:1687;height:1684;width:24;" fillcolor="#808080" filled="t" stroked="t" coordsize="134,9433" o:gfxdata="UEsDBAoAAAAAAIdO4kAAAAAAAAAAAAAAAAAEAAAAZHJzL1BLAwQUAAAACACHTuJAhuZa8L8AAADd&#10;AAAADwAAAGRycy9kb3ducmV2LnhtbEWPQWsCMRSE70L/Q3gFb5pYtcjW6KFUWME9aNuDt8fmNVm6&#10;eVk2cbX/vikUPA4z8w2z3t58KwbqYxNYw2yqQBDXwTRsNXy87yYrEDEhG2wDk4YfirDdPIzWWJhw&#10;5SMNp2RFhnAsUINLqSukjLUjj3EaOuLsfYXeY8qyt9L0eM1w38onpZ6lx4bzgsOOXh3V36eL11Dt&#10;z2+HqmyPdv/pLkM5l6WtpNbjx5l6AZHolu7h/3ZpNMzVcgF/b/ITkJ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bmWvC/&#10;AAAA3QAAAA8AAAAAAAAAAQAgAAAAIgAAAGRycy9kb3ducmV2LnhtbFBLAQIUABQAAAAIAIdO4kAz&#10;LwWeOwAAADkAAAAQAAAAAAAAAAEAIAAAAA4BAABkcnMvc2hhcGV4bWwueG1sUEsFBgAAAAAGAAYA&#10;WwEAALgDAAAAAA==&#10;" path="m23,0c10,0,0,10,0,22l0,9411c0,9424,10,9433,23,9433l112,9433c124,9433,134,9424,134,9411l134,22c134,10,124,0,112,0l23,0xe">
                    <v:path o:connectlocs="4,0;0,3;0,1680;4,1684;20,1684;24,1680;24,3;20,0;4,0" o:connectangles="0,0,0,0,0,0,0,0,0"/>
                    <v:fill on="t" focussize="0,0"/>
                    <v:stroke weight="0pt" color="#000000" joinstyle="round"/>
                    <v:imagedata o:title=""/>
                    <o:lock v:ext="edit" aspectratio="f"/>
                  </v:shape>
                  <v:shape id="Freeform 3278" o:spid="_x0000_s1026" o:spt="100" style="position:absolute;left:3773;top:1687;height:1684;width:24;" filled="f" stroked="t" coordsize="134,9433" o:gfxdata="UEsDBAoAAAAAAIdO4kAAAAAAAAAAAAAAAAAEAAAAZHJzL1BLAwQUAAAACACHTuJAGw9j9cAAAADd&#10;AAAADwAAAGRycy9kb3ducmV2LnhtbEWPQWvCQBSE74X+h+UJ3uquEWuJrh4q2uKhUC0Ub4/sa5Ka&#10;fRuyr9H+e7dQ8DjMzDfMYnXxjeqpi3VgC+ORAUVcBFdzaeHjsHl4AhUF2WETmCz8UoTV8v5ugbkL&#10;Z36nfi+lShCOOVqoRNpc61hU5DGOQkucvK/QeZQku1K7Ds8J7hudGfOoPdacFips6bmi4rT/8Ray&#10;daZ3L5/17FsOs+2mP7r2LYi1w8HYzEEJXeQW/m+/OgsTM53C35v0BPTy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bD2P1&#10;wAAAAN0AAAAPAAAAAAAAAAEAIAAAACIAAABkcnMvZG93bnJldi54bWxQSwECFAAUAAAACACHTuJA&#10;My8FnjsAAAA5AAAAEAAAAAAAAAABACAAAAAPAQAAZHJzL3NoYXBleG1sLnhtbFBLBQYAAAAABgAG&#10;AFsBAAC5AwAAAAA=&#10;" path="m23,0c10,0,0,10,0,22l0,9411c0,9424,10,9433,23,9433l112,9433c124,9433,134,9424,134,9411l134,22c134,10,124,0,112,0l23,0xe">
                    <v:path o:connectlocs="4,0;0,3;0,1680;4,1684;20,1684;24,1680;24,3;20,0;4,0" o:connectangles="0,0,0,0,0,0,0,0,0"/>
                    <v:fill on="f" focussize="0,0"/>
                    <v:stroke weight="0.45pt" color="#000000" joinstyle="round" endcap="round"/>
                    <v:imagedata o:title=""/>
                    <o:lock v:ext="edit" aspectratio="f"/>
                  </v:shape>
                </v:group>
                <v:rect id="Rectangle 3279" o:spid="_x0000_s1026" o:spt="1" style="position:absolute;left:6428;top:6011;height:1215;width:3491;" filled="f" stroked="f" coordsize="21600,21600" o:gfxdata="UEsDBAoAAAAAAIdO4kAAAAAAAAAAAAAAAAAEAAAAZHJzL1BLAwQUAAAACACHTuJAEGy0ocAAAADd&#10;AAAADwAAAGRycy9kb3ducmV2LnhtbEWPT2sCMRTE7wW/Q3hCbzVRqayrUUQtevQfqLfH5nV36eZl&#10;2aSu7advCoLHYWZ+w0znd1uJGzW+dKyh31MgiDNnSs41nI4fbwkIH5ANVo5Jww95mM86L1NMjWt5&#10;T7dDyEWEsE9RQxFCnUrps4Is+p6riaP36RqLIcoml6bBNsJtJQdKjaTFkuNCgTUtC8q+Dt9Wwyap&#10;F5et+23zan3dnHfn8eo4Dlq/dvtqAiLQPTzDj/bWaBiq9xH8v4lP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QbLSh&#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pStyle w:val="113"/>
                        </w:pPr>
                        <w:r>
                          <w:rPr>
                            <w:lang w:val="en-US"/>
                          </w:rPr>
                          <w:t>Center subcarrier (corresponds to DC in baseband) is not transmitted in downlink</w:t>
                        </w:r>
                      </w:p>
                    </w:txbxContent>
                  </v:textbox>
                </v:rect>
                <v:shape id="Freeform 3280" o:spid="_x0000_s1026" o:spt="100" style="position:absolute;left:5917;top:5716;height:412;width:424;" fillcolor="#000000" filled="t" stroked="t" coordsize="424,357" o:gfxdata="UEsDBAoAAAAAAIdO4kAAAAAAAAAAAAAAAAAEAAAAZHJzL1BLAwQUAAAACACHTuJAArs2qcAAAADd&#10;AAAADwAAAGRycy9kb3ducmV2LnhtbEWPQWvCQBCF7wX/wzJCb7qr0liiqwdBailYTb14G7JjEpKd&#10;Ddmtpv31bkHo8fHmfW/ect3bRlyp85VjDZOxAkGcO1NxoeH0tR29gvAB2WDjmDT8kIf1avC0xNS4&#10;Gx/pmoVCRAj7FDWUIbSplD4vyaIfu5Y4ehfXWQxRdoU0Hd4i3DZyqlQiLVYcG0psaVNSXmffNr6x&#10;4bf+UL+fZ5/77Uf2m9TJ7qy0fh5O1AJEoD78Hz/SO6Nhpl7m8LcmIkCu7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uzap&#10;wAAAAN0AAAAPAAAAAAAAAAEAIAAAACIAAABkcnMvZG93bnJldi54bWxQSwECFAAUAAAACACHTuJA&#10;My8FnjsAAAA5AAAAEAAAAAAAAAABACAAAAAPAQAAZHJzL3NoYXBleG1sLnhtbFBLBQYAAAAABgAG&#10;AFsBAAC5AwAAAAA=&#10;" path="m424,357l353,357,353,340,424,340,424,357xm299,357l227,357,227,340,299,340,299,357xm173,357l102,357,102,340,173,340,173,357xm48,357l27,357,27,289,45,289,45,348,36,340,48,340,48,357xm27,235l27,164,45,164,45,235,27,235xm27,110l27,60,45,60,45,110,27,110xm0,72l36,0,72,72,0,72xe">
                  <v:path o:connectlocs="424,412;353,412;353,392;424,392;424,412;299,412;227,412;227,392;299,392;299,412;173,412;102,412;102,392;173,392;173,412;48,412;27,412;27,333;45,333;45,401;36,392;48,392;48,412;27,271;27,189;45,189;45,271;27,271;27,126;27,69;45,69;45,126;27,126;0,83;36,0;72,83;0,83" o:connectangles="0,0,0,0,0,0,0,0,0,0,0,0,0,0,0,0,0,0,0,0,0,0,0,0,0,0,0,0,0,0,0,0,0,0,0,0,0"/>
                  <v:fill on="t" focussize="0,0"/>
                  <v:stroke weight="0.1pt" color="#000000" joinstyle="bevel"/>
                  <v:imagedata o:title=""/>
                  <o:lock v:ext="edit" aspectratio="f"/>
                </v:shape>
                <v:shape id="Freeform 3281" o:spid="_x0000_s1026" o:spt="100" style="position:absolute;left:3651;top:5796;height:235;width:2168;" filled="f" stroked="t" coordsize="12100,1133" o:gfxdata="UEsDBAoAAAAAAIdO4kAAAAAAAAAAAAAAAAAEAAAAZHJzL1BLAwQUAAAACACHTuJAtaNMYrsAAADd&#10;AAAADwAAAGRycy9kb3ducmV2LnhtbEVPy0oDMRTdC/5DuII7m9RBp0ybFhGUIt30sejyktxOhk5u&#10;hiTTx9+bheDycN6L1c334kIxdYE1TCcKBLEJtuNWw2H/9TIDkTKyxT4wabhTgtXy8WGBjQ1X3tJl&#10;l1tRQjg1qMHlPDRSJuPIY5qEgbhwpxA95gJjK23Eawn3vXxV6l167Lg0OBzo05E570avIf7U9Xlj&#10;xrv5+K7G6NpjjdVa6+enqZqDyHTL/+I/99pqqNRbmVvelCcgl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aNMYrsAAADd&#10;AAAADwAAAAAAAAABACAAAAAiAAAAZHJzL2Rvd25yZXYueG1sUEsBAhQAFAAAAAgAh07iQDMvBZ47&#10;AAAAOQAAABAAAAAAAAAAAQAgAAAACgEAAGRycy9zaGFwZXhtbC54bWxQSwUGAAAAAAYABgBbAQAA&#10;tAMAAAAA&#10;" path="m0,0c0,313,295,567,658,567l5392,567c5755,567,6050,820,6050,1133c6050,820,6345,567,6708,567l11442,567c11805,567,12100,313,12100,0e">
                  <v:path o:connectlocs="0,0;117,117;966,117;1084,235;1201,117;2050,117;2168,0" o:connectangles="0,0,0,0,0,0,0"/>
                  <v:fill on="f" focussize="0,0"/>
                  <v:stroke weight="0.9pt" color="#000000" joinstyle="round"/>
                  <v:imagedata o:title=""/>
                  <o:lock v:ext="edit" aspectratio="f"/>
                </v:shape>
                <v:rect id="Rectangle 3282" o:spid="_x0000_s1026" o:spt="1" style="position:absolute;left:3738;top:6071;height:426;width:2561;mso-wrap-style:none;" filled="f" stroked="f" coordsize="21600,21600" o:gfxdata="UEsDBAoAAAAAAIdO4kAAAAAAAAAAAAAAAAAEAAAAZHJzL1BLAwQUAAAACACHTuJAJmivaL8AAADd&#10;AAAADwAAAGRycy9kb3ducmV2LnhtbEWP0WoCMRRE3wv9h3ALfavJ2iruahRbKIrgg9YPuGyum203&#10;N9skVfv3jSD0cZiZM8xscXGdOFGIrWcNxUCBIK69abnRcPh4f5qAiAnZYOeZNPxShMX8/m6GlfFn&#10;3tFpnxqRIRwr1GBT6ispY23JYRz4njh7Rx8cpixDI03Ac4a7Tg6VGkuHLecFiz29Waq/9j9OA72u&#10;duXnMtqtDEUstptx+bL61vrxoVBTEIku6T98a6+Nhmc1KuH6Jj8B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Zor2i/&#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Active Resource Blocks</w:t>
                        </w:r>
                      </w:p>
                    </w:txbxContent>
                  </v:textbox>
                </v:rect>
                <v:shape id="Text Box 3283" o:spid="_x0000_s1026" o:spt="202" type="#_x0000_t202" style="position:absolute;left:9019;top:3314;height:1212;width:797;" filled="f" stroked="f" coordsize="21600,21600" o:gfxdata="UEsDBAoAAAAAAIdO4kAAAAAAAAAAAAAAAAAEAAAAZHJzL1BLAwQUAAAACACHTuJA+zTBgLkAAADd&#10;AAAADwAAAGRycy9kb3ducmV2LnhtbEVPy4rCMBTdD/gP4QruxkRFGapRRJlxtnbcdHdJrm0xuSlN&#10;fP29WQy4PJz3avPwTtyoj21gDZOxAkFsgm251nD6+/78AhETskUXmDQ8KcJmPfhYYWHDnY90K1Mt&#10;cgjHAjU0KXWFlNE05DGOQ0ecuXPoPaYM+1raHu853Ds5VWohPbacGxrsaNeQuZRXr6HaVU4Gc5qb&#10;w3EmcVvuf1y113o0nKgliESP9Bb/u3+thpla5P35TX4Ccv0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s0wYC5AAAA3Q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layout-flow:vertical-ideographic;">
                    <w:txbxContent>
                      <w:p>
                        <w:pPr>
                          <w:pStyle w:val="113"/>
                        </w:pPr>
                        <w:r>
                          <w:rPr>
                            <w:lang w:val="en-US" w:eastAsia="zh-TW"/>
                          </w:rPr>
                          <w:drawing>
                            <wp:inline distT="0" distB="0" distL="0" distR="0">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026" o:spt="202" type="#_x0000_t202" style="position:absolute;left:1982;top:3314;height:1212;width:797;" filled="f" stroked="f" coordsize="21600,21600" o:gfxdata="UEsDBAoAAAAAAIdO4kAAAAAAAAAAAAAAAAAEAAAAZHJzL1BLAwQUAAAACACHTuJAlHhkG7wAAADd&#10;AAAADwAAAGRycy9kb3ducmV2LnhtbEWPT2sCMRTE74V+h/AK3mqylUrZGqUoaq+uXvb2SJ67i8nL&#10;son/vr0RCj0OM/MbZra4eScuNMQusIZirEAQm2A7bjQc9uv3LxAxIVt0gUnDnSIs5q8vMyxtuPKO&#10;LlVqRIZwLFFDm1JfShlNSx7jOPTE2TuGwWPKcmikHfCa4d7JD6Wm0mPHeaHFnpYtmVN19hrqZe1k&#10;MIdPs91NJP5Uq42rV1qP3gr1DSLRLf2H/9q/VsNETQt4vslPQM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4ZBu8AAAA&#10;3QAAAA8AAAAAAAAAAQAgAAAAIgAAAGRycy9kb3ducmV2LnhtbFBLAQIUABQAAAAIAIdO4kAzLwWe&#10;OwAAADkAAAAQAAAAAAAAAAEAIAAAAAsBAABkcnMvc2hhcGV4bWwueG1sUEsFBgAAAAAGAAYAWwEA&#10;ALUDAAAAAA==&#10;">
                  <v:fill on="f" focussize="0,0"/>
                  <v:stroke on="f"/>
                  <v:imagedata o:title=""/>
                  <o:lock v:ext="edit" aspectratio="f"/>
                  <v:textbox inset="0mm,0mm,0mm,0mm" style="layout-flow:vertical-ideographic;">
                    <w:txbxContent>
                      <w:p>
                        <w:pPr>
                          <w:pStyle w:val="113"/>
                        </w:pPr>
                        <w:r>
                          <w:rPr>
                            <w:lang w:val="en-US" w:eastAsia="zh-TW"/>
                          </w:rPr>
                          <w:drawing>
                            <wp:inline distT="0" distB="0" distL="0" distR="0">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026" o:spt="202" type="#_x0000_t202" style="position:absolute;left:2971;top:4166;height:1375;width:712;" filled="f" stroked="f" coordsize="21600,21600" o:gfxdata="UEsDBAoAAAAAAIdO4kAAAAAAAAAAAAAAAAAEAAAAZHJzL1BLAwQUAAAACACHTuJAZKr6bLwAAADd&#10;AAAADwAAAGRycy9kb3ducmV2LnhtbEWPQWsCMRSE7wX/Q3iCt26iUpGtUUSp7dXVy94eyevuYvKy&#10;bFK1/74pCB6HmfmGWW3u3okrDbELrGFaKBDEJtiOGw3n08frEkRMyBZdYNLwSxE269HLCksbbnyk&#10;a5UakSEcS9TQptSXUkbTksdYhJ44e99h8JiyHBppB7xluHdyptRCeuw4L7TY064lc6l+vIZ6VzsZ&#10;zPnNfB7nErfV/uDqvdaT8VS9g0h0T8/wo/1lNczVYgb/b/ITkO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Sq+my8AAAA&#10;3QAAAA8AAAAAAAAAAQAgAAAAIgAAAGRycy9kb3ducmV2LnhtbFBLAQIUABQAAAAIAIdO4kAzLwWe&#10;OwAAADkAAAAQAAAAAAAAAAEAIAAAAAsBAABkcnMvc2hhcGV4bWwueG1sUEsFBgAAAAAGAAYAWwEA&#10;ALUDAAAAAA==&#10;">
                  <v:fill on="f" focussize="0,0"/>
                  <v:stroke on="f"/>
                  <v:imagedata o:title=""/>
                  <o:lock v:ext="edit" aspectratio="f"/>
                  <v:textbox inset="0mm,0mm,0mm,0mm" style="layout-flow:vertical-ideographic;">
                    <w:txbxContent>
                      <w:p>
                        <w:pPr>
                          <w:pStyle w:val="113"/>
                        </w:pPr>
                        <w:r>
                          <w:t>Resource block</w:t>
                        </w:r>
                      </w:p>
                    </w:txbxContent>
                  </v:textbox>
                </v:shape>
                <v:rect id="Rectangle 3286" o:spid="_x0000_s1026" o:spt="1" style="position:absolute;left:3616;top:2293;height:443;width:4872;" filled="f" stroked="f" coordsize="21600,21600" o:gfxdata="UEsDBAoAAAAAAIdO4kAAAAAAAAAAAAAAAAAEAAAAZHJzL1BLAwQUAAAACACHTuJAznfdhL8AAADd&#10;AAAADwAAAGRycy9kb3ducmV2LnhtbEWPT4vCMBTE78J+h/AWvGmigmg1yrIqevTPguvt0bxtyzYv&#10;pYlW/fRGEDwOM/MbZjq/2lJcqPaFYw29rgJBnDpTcKbh57DqjED4gGywdEwabuRhPvtoTTExruEd&#10;XfYhExHCPkENeQhVIqVPc7Lou64ijt6fqy2GKOtMmhqbCLel7Cs1lBYLjgs5VvSdU/q/P1sN61H1&#10;9btx9yYrl6f1cXscLw7joHX7s6cmIAJdwzv8am+MhoEaDuD5Jj4BOXs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533YS/&#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Transmission bandwidth configuration [N</w:t>
                        </w:r>
                        <w:r>
                          <w:rPr>
                            <w:vertAlign w:val="subscript"/>
                            <w:lang w:val="en-US"/>
                          </w:rPr>
                          <w:t>RB</w:t>
                        </w:r>
                        <w:r>
                          <w:rPr>
                            <w:lang w:val="en-US"/>
                          </w:rPr>
                          <w:t>]</w:t>
                        </w:r>
                      </w:p>
                    </w:txbxContent>
                  </v:textbox>
                </v:rect>
                <v:rect id="Rectangle 3287" o:spid="_x0000_s1026" o:spt="1" style="position:absolute;left:4040;top:3020;height:273;width:1454;" filled="f" stroked="f" coordsize="21600,21600" o:gfxdata="UEsDBAoAAAAAAIdO4kAAAAAAAAAAAAAAAAAEAAAAZHJzL1BLAwQUAAAACACHTuJAQZ5F8MAAAADd&#10;AAAADwAAAGRycy9kb3ducmV2LnhtbEWPT2sCMRTE7wW/Q3hCbzVRi6yrUUQtevQfqLfH5nV36eZl&#10;2aSu7advCoLHYWZ+w0znd1uJGzW+dKyh31MgiDNnSs41nI4fbwkIH5ANVo5Jww95mM86L1NMjWt5&#10;T7dDyEWEsE9RQxFCnUrps4Is+p6riaP36RqLIcoml6bBNsJtJQdKjaTFkuNCgTUtC8q+Dt9Wwyap&#10;F5et+23zan3dnHfn8eo4Dlq/dvtqAiLQPTzDj/bWaBiq0Tv8v4lP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nkXw&#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pStyle w:val="113"/>
                        </w:pPr>
                        <w:r>
                          <w:rPr>
                            <w:lang w:val="en-US"/>
                          </w:rPr>
                          <w:t>bandwidth [RB]</w:t>
                        </w:r>
                      </w:p>
                    </w:txbxContent>
                  </v:textbox>
                </v:rect>
                <v:shape id="Freeform 3288" o:spid="_x0000_s1026" o:spt="100" style="position:absolute;left:2562;top:2144;height:138;width:6771;" fillcolor="#000000" filled="t" stroked="t" coordsize="6771,119" o:gfxdata="UEsDBAoAAAAAAIdO4kAAAAAAAAAAAAAAAAAEAAAAZHJzL1BLAwQUAAAACACHTuJACfYNFMAAAADd&#10;AAAADwAAAGRycy9kb3ducmV2LnhtbEWPT2sCMRTE70K/Q3iF3jTR4rJsjR4KFg9eahXa29vN6+5i&#10;8rIk8U/99KZQ6HGYmd8wi9XVWXGmEHvPGqYTBYK48abnVsP+Yz0uQcSEbNB6Jg0/FGG1fBgtsDL+&#10;wu903qVWZAjHCjV0KQ2VlLHpyGGc+IE4e98+OExZhlaagJcMd1bOlCqkw57zQocDvXbUHHcnp+HT&#10;lsXt7fB1s2G7RT7u6826rrV+epyqFxCJruk//NfeGA3PqpjD75v8BOTy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J9g0U&#10;wAAAAN0AAAAPAAAAAAAAAAEAIAAAACIAAABkcnMvZG93bnJldi54bWxQSwECFAAUAAAACACHTuJA&#10;My8FnjsAAAA5AAAAEAAAAAAAAAABACAAAAAPAQAAZHJzL3NoYXBleG1sLnhtbFBLBQYAAAAABgAG&#10;AFsBAAC5AwAAAAA=&#10;" path="m107,50l6663,50,6663,68,107,68,107,50xm119,119l0,59,119,0,119,119xm6651,0l6771,59,6651,119,6651,0xe">
                  <v:path o:connectlocs="107,57;6663,57;6663,78;107,78;107,57;119,138;0,68;119,0;119,138;6651,0;6771,68;6651,138;6651,0" o:connectangles="0,0,0,0,0,0,0,0,0,0,0,0,0"/>
                  <v:fill on="t" focussize="0,0"/>
                  <v:stroke weight="0.1pt" color="#000000" joinstyle="bevel"/>
                  <v:imagedata o:title=""/>
                  <o:lock v:ext="edit" aspectratio="f"/>
                </v:shape>
                <v:rect id="Rectangle 3289" o:spid="_x0000_s1026" o:spt="1" style="position:absolute;left:4583;top:1826;height:426;width:2748;mso-wrap-style:none;" filled="f" stroked="f" coordsize="21600,21600" o:gfxdata="UEsDBAoAAAAAAIdO4kAAAAAAAAAAAAAAAAAEAAAAZHJzL1BLAwQUAAAACACHTuJAmZvxp78AAADd&#10;AAAADwAAAGRycy9kb3ducmV2LnhtbEWP3WoCMRSE7wu+QzhC72qybVnq1ihWKBbBC38e4LA53Wy7&#10;OVmT+NO3N4LQy2FmvmEms4vrxIlCbD1rKEYKBHHtTcuNhv3u8+kNREzIBjvPpOGPIsymg4cJVsaf&#10;eUOnbWpEhnCsUINNqa+kjLUlh3Hke+LsffvgMGUZGmkCnjPcdfJZqVI6bDkvWOxpYan+3R6dBvpY&#10;bsY/82jXMhSxWK/K8evyoPXjsFDvIBJd0n/43v4yGl5UWcLtTX4Ccn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mb8ae/&#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Channel bandwidth [MHz]</w:t>
                        </w:r>
                      </w:p>
                    </w:txbxContent>
                  </v:textbox>
                </v:rect>
              </v:group>
            </w:pict>
          </mc:Fallback>
        </mc:AlternateContent>
      </w:r>
      <w:r>
        <w:rPr>
          <w:lang w:val="en-US" w:eastAsia="zh-TW"/>
        </w:rPr>
        <mc:AlternateContent>
          <mc:Choice Requires="wps">
            <w:drawing>
              <wp:inline distT="0" distB="0" distL="0" distR="0">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AutoShape 22" o:spid="_x0000_s1026" o:spt="1" style="height:276.1pt;width:454.8pt;" filled="f" stroked="f" coordsize="21600,21600" o:gfxdata="UEsDBAoAAAAAAIdO4kAAAAAAAAAAAAAAAAAEAAAAZHJzL1BLAwQUAAAACACHTuJAlGa80NcAAAAF&#10;AQAADwAAAGRycy9kb3ducmV2LnhtbE2PQUvDQBCF74L/YRnBi7S7DbTYNJseCmIRoZhqz9PsmASz&#10;s2l2m9R/7+qlXgYe7/HeN9n6YlsxUO8bxxpmUwWCuHSm4UrD+/5p8gjCB2SDrWPS8E0e1vntTYap&#10;cSO/0VCESsQS9ilqqEPoUil9WZNFP3UdcfQ+XW8xRNlX0vQ4xnLbykSphbTYcFyosaNNTeVXcbYa&#10;xnI3HPavz3L3cNg6Pm1Pm+LjRev7u5lagQh0Cdcw/OJHdMgj09Gd2XjRaoiPhL8bvaVaLkAcNczn&#10;SQIyz+R/+vwHUEsDBBQAAAAIAIdO4kDabidRBQIAABUEAAAOAAAAZHJzL2Uyb0RvYy54bWytU01v&#10;2zAMvQ/YfxB0X5yk+ViNOEXRoMOAbivQ9QcwshwLs0WNUuJkv36UnGRpe+lhF0Mk5cf3HqnFzb5t&#10;xE6TN2gLORoMpdBWYWnsppDPP+8/fZbCB7AlNGh1IQ/ay5vlxw+LzuV6jDU2pSbBINbnnStkHYLL&#10;s8yrWrfgB+i05WKF1ELgkDZZSdAxettk4+FwlnVIpSNU2nvOrvqiPCLSewCxqozSK1TbVtvQo5Ju&#10;ILAkXxvn5TKxrSqtwo+q8jqIppCsNKQvN+HzOn6z5QLyDYGrjTpSgPdQeKWpBWO56RlqBQHElswb&#10;qNYoQo9VGChss15IcoRVjIavvHmqwemkha327my6/3+w6vvukYQpC3klhYWWB367DZg6i/E4+tM5&#10;n/O1J/dIUaF3D6h+eWHxrga70bfescu8Sfz/KUWEXa2hZKKjCJG9wIiBZzSx7r5hyR2BOyb39hW1&#10;sQf7IvZpSIfzkPQ+CMXJ6Xw+vZ7x/BTXrqbD2WSexphBfvrdkQ9fNLYiHgpJzC/Bw+7Bh0gH8tOV&#10;2M3ivWmatAmNfZHgizGT6EfGvRlrLA/MnrDfJn5LfKiR/kjR8SYV0v/eAmkpmq+WHbgeTSZx9VIw&#10;mc7HHNBlZX1ZAasYqpBBiv54F/p13ToymzoZ3XOMc6pM0hMd7VkdyfK2JJnHzY7reBmnW/9e8/I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Ga80NcAAAAFAQAADwAAAAAAAAABACAAAAAiAAAAZHJz&#10;L2Rvd25yZXYueG1sUEsBAhQAFAAAAAgAh07iQNpuJ1EFAgAAFQQAAA4AAAAAAAAAAQAgAAAAJgEA&#10;AGRycy9lMm9Eb2MueG1sUEsFBgAAAAAGAAYAWQEAAJ0FAAAAAA==&#10;">
                <v:fill on="f" focussize="0,0"/>
                <v:stroke on="f"/>
                <v:imagedata o:title=""/>
                <o:lock v:ext="edit" aspectratio="t"/>
                <w10:wrap type="none"/>
                <w10:anchorlock/>
              </v:rect>
            </w:pict>
          </mc:Fallback>
        </mc:AlternateContent>
      </w:r>
    </w:p>
    <w:p>
      <w:pPr>
        <w:pStyle w:val="120"/>
      </w:pPr>
      <w:r>
        <w:t>Figure 5.3A-1: Definition of channel bandwidth and transmission bandwidth configuration for one E</w:t>
      </w:r>
      <w:r>
        <w:noBreakHyphen/>
      </w:r>
      <w:r>
        <w:t>UTRA carrier</w:t>
      </w:r>
    </w:p>
    <w:p>
      <w:pPr>
        <w:pStyle w:val="4"/>
      </w:pPr>
      <w:bookmarkStart w:id="236" w:name="_Toc26129"/>
      <w:bookmarkStart w:id="237" w:name="_Toc12668"/>
      <w:bookmarkStart w:id="238" w:name="_Toc1897"/>
      <w:bookmarkStart w:id="239" w:name="_Toc121162803"/>
      <w:bookmarkStart w:id="240" w:name="_Toc32212"/>
      <w:bookmarkStart w:id="241" w:name="_Toc120570011"/>
      <w:bookmarkStart w:id="242" w:name="_Toc6341"/>
      <w:bookmarkStart w:id="243" w:name="_Toc8221"/>
      <w:bookmarkStart w:id="244" w:name="_Toc22580"/>
      <w:r>
        <w:t>5.3B</w:t>
      </w:r>
      <w:r>
        <w:tab/>
      </w:r>
      <w:r>
        <w:t>Channel bandwidth for category NB1 and NB2</w:t>
      </w:r>
      <w:bookmarkEnd w:id="236"/>
      <w:bookmarkEnd w:id="237"/>
      <w:bookmarkEnd w:id="238"/>
      <w:bookmarkEnd w:id="239"/>
      <w:bookmarkEnd w:id="240"/>
      <w:bookmarkEnd w:id="241"/>
      <w:bookmarkEnd w:id="242"/>
      <w:bookmarkEnd w:id="243"/>
      <w:bookmarkEnd w:id="244"/>
    </w:p>
    <w:p>
      <w:r>
        <w:t>F</w:t>
      </w:r>
      <w:r>
        <w:rPr>
          <w:rFonts w:hint="eastAsia"/>
        </w:rPr>
        <w:t xml:space="preserve">or </w:t>
      </w:r>
      <w:r>
        <w:rPr>
          <w:rFonts w:hint="eastAsia"/>
          <w:lang w:eastAsia="zh-CN"/>
        </w:rPr>
        <w:t xml:space="preserve">category </w:t>
      </w:r>
      <w:r>
        <w:rPr>
          <w:rFonts w:hint="eastAsia"/>
        </w:rPr>
        <w:t>NB1 and NB2, r</w:t>
      </w:r>
      <w:r>
        <w:t>equirements in present document are specified for the channel bandwidth listed in Table 5.3B-</w:t>
      </w:r>
      <w:r>
        <w:rPr>
          <w:rFonts w:hint="eastAsia"/>
          <w:lang w:eastAsia="zh-CN"/>
        </w:rPr>
        <w:t>1</w:t>
      </w:r>
      <w:r>
        <w:t>.</w:t>
      </w:r>
    </w:p>
    <w:p>
      <w:pPr>
        <w:pStyle w:val="113"/>
      </w:pPr>
      <w:r>
        <w:t>Table 5.3B</w:t>
      </w:r>
      <w:r>
        <w:rPr>
          <w:rFonts w:hint="eastAsia"/>
        </w:rPr>
        <w:t>-</w:t>
      </w:r>
      <w:r>
        <w:rPr>
          <w:rFonts w:hint="eastAsia"/>
          <w:lang w:eastAsia="zh-CN"/>
        </w:rPr>
        <w:t>1</w:t>
      </w:r>
      <w:r>
        <w:t xml:space="preserve">: Transmission bandwidth configuration </w:t>
      </w:r>
      <w:r>
        <w:rPr>
          <w:i/>
        </w:rPr>
        <w:t>N</w:t>
      </w:r>
      <w:r>
        <w:rPr>
          <w:vertAlign w:val="subscript"/>
        </w:rPr>
        <w:t>RB</w:t>
      </w:r>
      <w:r>
        <w:rPr>
          <w:rFonts w:hint="eastAsia"/>
        </w:rPr>
        <w:t xml:space="preserve">, </w:t>
      </w:r>
      <w:r>
        <w:rPr>
          <w:rFonts w:hint="eastAsia"/>
          <w:i/>
        </w:rPr>
        <w:t>N</w:t>
      </w:r>
      <w:r>
        <w:rPr>
          <w:rFonts w:hint="eastAsia"/>
          <w:vertAlign w:val="subscript"/>
        </w:rPr>
        <w:t>tone 15kHz</w:t>
      </w:r>
      <w:r>
        <w:rPr>
          <w:rFonts w:hint="eastAsia"/>
        </w:rPr>
        <w:t xml:space="preserve"> and </w:t>
      </w:r>
      <w:r>
        <w:rPr>
          <w:rFonts w:hint="eastAsia"/>
          <w:i/>
        </w:rPr>
        <w:t>N</w:t>
      </w:r>
      <w:r>
        <w:rPr>
          <w:rFonts w:hint="eastAsia"/>
          <w:vertAlign w:val="subscript"/>
        </w:rPr>
        <w:t>tone 3.75kHz</w:t>
      </w:r>
      <w:r>
        <w:rPr>
          <w:vertAlign w:val="subscript"/>
        </w:rPr>
        <w:t xml:space="preserve"> </w:t>
      </w:r>
      <w:r>
        <w:t>in NB1 and NB2 channel bandwidth</w:t>
      </w:r>
    </w:p>
    <w:tbl>
      <w:tblPr>
        <w:tblStyle w:val="89"/>
        <w:tblW w:w="42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2480" w:type="dxa"/>
            <w:vAlign w:val="center"/>
          </w:tcPr>
          <w:p>
            <w:pPr>
              <w:pStyle w:val="104"/>
              <w:rPr>
                <w:rFonts w:cs="Arial"/>
              </w:rPr>
            </w:pPr>
            <w:r>
              <w:rPr>
                <w:rFonts w:cs="Arial"/>
              </w:rPr>
              <w:t xml:space="preserve">Channel bandwidth </w:t>
            </w:r>
            <w:r>
              <w:t>BW</w:t>
            </w:r>
            <w:r>
              <w:rPr>
                <w:vertAlign w:val="subscript"/>
              </w:rPr>
              <w:t>Channel</w:t>
            </w:r>
            <w:r>
              <w:rPr>
                <w:rFonts w:ascii="Times New Roman" w:hAnsi="Times New Roman" w:cs="Arial"/>
                <w:kern w:val="2"/>
              </w:rPr>
              <w:t xml:space="preserve"> </w:t>
            </w:r>
            <w:r>
              <w:rPr>
                <w:rFonts w:cs="Arial"/>
              </w:rPr>
              <w:t>[kHz]</w:t>
            </w:r>
          </w:p>
        </w:tc>
        <w:tc>
          <w:tcPr>
            <w:tcW w:w="1800" w:type="dxa"/>
            <w:vAlign w:val="center"/>
          </w:tcPr>
          <w:p>
            <w:pPr>
              <w:pStyle w:val="104"/>
              <w:rPr>
                <w:rFonts w:cs="Arial"/>
              </w:rPr>
            </w:pPr>
            <w:r>
              <w:rPr>
                <w:rFonts w:cs="Arial"/>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2480" w:type="dxa"/>
            <w:vAlign w:val="center"/>
          </w:tcPr>
          <w:p>
            <w:pPr>
              <w:pStyle w:val="105"/>
              <w:rPr>
                <w:rFonts w:cs="Arial"/>
              </w:rPr>
            </w:pPr>
            <w:r>
              <w:rPr>
                <w:rFonts w:cs="Arial"/>
              </w:rPr>
              <w:t xml:space="preserve">Transmission bandwidth configuration </w:t>
            </w:r>
            <w:r>
              <w:rPr>
                <w:rFonts w:cs="Arial"/>
                <w:i/>
              </w:rPr>
              <w:t>N</w:t>
            </w:r>
            <w:r>
              <w:rPr>
                <w:rFonts w:cs="Arial"/>
                <w:vertAlign w:val="subscript"/>
              </w:rPr>
              <w:t>RB</w:t>
            </w:r>
          </w:p>
        </w:tc>
        <w:tc>
          <w:tcPr>
            <w:tcW w:w="1800" w:type="dxa"/>
            <w:vAlign w:val="center"/>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2480" w:type="dxa"/>
            <w:vAlign w:val="center"/>
          </w:tcPr>
          <w:p>
            <w:pPr>
              <w:pStyle w:val="105"/>
              <w:rPr>
                <w:rFonts w:cs="Arial"/>
              </w:rPr>
            </w:pPr>
            <w:r>
              <w:rPr>
                <w:rFonts w:cs="Arial"/>
              </w:rPr>
              <w:t xml:space="preserve">Transmission bandwidth configuration </w:t>
            </w:r>
            <w:r>
              <w:rPr>
                <w:rFonts w:cs="Arial"/>
                <w:i/>
              </w:rPr>
              <w:t>N</w:t>
            </w:r>
            <w:r>
              <w:rPr>
                <w:rFonts w:cs="Arial"/>
                <w:vertAlign w:val="subscript"/>
              </w:rPr>
              <w:t>tone 15kHz</w:t>
            </w:r>
          </w:p>
        </w:tc>
        <w:tc>
          <w:tcPr>
            <w:tcW w:w="1800" w:type="dxa"/>
            <w:vAlign w:val="center"/>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248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 xml:space="preserve">Transmission bandwidth configuration </w:t>
            </w:r>
            <w:r>
              <w:rPr>
                <w:rFonts w:cs="Arial"/>
                <w:i/>
              </w:rPr>
              <w:t>N</w:t>
            </w:r>
            <w:r>
              <w:rPr>
                <w:rFonts w:cs="Arial"/>
                <w:vertAlign w:val="subscript"/>
              </w:rPr>
              <w:t xml:space="preserve">tone 3.75kHz </w:t>
            </w:r>
          </w:p>
        </w:tc>
        <w:tc>
          <w:tcPr>
            <w:tcW w:w="180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48</w:t>
            </w:r>
          </w:p>
        </w:tc>
      </w:tr>
    </w:tbl>
    <w:p/>
    <w:p>
      <w:r>
        <w:t>Figure 5.3B-1 shows the relation between the Category NB1</w:t>
      </w:r>
      <w:r>
        <w:rPr>
          <w:rFonts w:hint="eastAsia"/>
          <w:lang w:eastAsia="zh-CN"/>
        </w:rPr>
        <w:t>/</w:t>
      </w:r>
      <w:r>
        <w:t>NB2 channel bandwidth (BW</w:t>
      </w:r>
      <w:r>
        <w:rPr>
          <w:vertAlign w:val="subscript"/>
        </w:rPr>
        <w:t>Channel</w:t>
      </w:r>
      <w:r>
        <w:t xml:space="preserve">) and the Category NB1 </w:t>
      </w:r>
      <w:r>
        <w:rPr>
          <w:rFonts w:hint="eastAsia"/>
          <w:lang w:eastAsia="zh-CN"/>
        </w:rPr>
        <w:t>/</w:t>
      </w:r>
      <w:r>
        <w:t>NB2 transmission bandwidth configuration (N</w:t>
      </w:r>
      <w:r>
        <w:rPr>
          <w:vertAlign w:val="subscript"/>
        </w:rPr>
        <w:t>tone</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pPr>
        <w:pStyle w:val="113"/>
      </w:pPr>
      <w:r>
        <w:rPr>
          <w:lang w:val="en-US" w:eastAsia="zh-TW"/>
        </w:rPr>
        <w:drawing>
          <wp:inline distT="0" distB="0" distL="0" distR="0">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pPr>
        <w:pStyle w:val="120"/>
      </w:pPr>
      <w:r>
        <w:t>Figure 5.3B-1: Definition of Channel Bandwidth and Transmission Bandwidth configuration</w:t>
      </w:r>
    </w:p>
    <w:p>
      <w:pPr>
        <w:pStyle w:val="4"/>
      </w:pPr>
      <w:bookmarkStart w:id="245" w:name="_Toc121162804"/>
      <w:bookmarkStart w:id="246" w:name="_Toc17549"/>
      <w:bookmarkStart w:id="247" w:name="_Toc28357"/>
      <w:bookmarkStart w:id="248" w:name="_Toc4980"/>
      <w:bookmarkStart w:id="249" w:name="_Toc3048"/>
      <w:bookmarkStart w:id="250" w:name="_Toc22551"/>
      <w:bookmarkStart w:id="251" w:name="_Toc111062017"/>
      <w:bookmarkStart w:id="252" w:name="_Toc5639"/>
      <w:bookmarkStart w:id="253" w:name="_Toc120570012"/>
      <w:bookmarkStart w:id="254" w:name="_Toc17174"/>
      <w:r>
        <w:t>5.4</w:t>
      </w:r>
      <w:r>
        <w:tab/>
      </w:r>
      <w:r>
        <w:t>Channel arrangement</w:t>
      </w:r>
      <w:bookmarkEnd w:id="245"/>
      <w:bookmarkEnd w:id="246"/>
      <w:bookmarkEnd w:id="247"/>
      <w:bookmarkEnd w:id="248"/>
      <w:bookmarkEnd w:id="249"/>
      <w:bookmarkEnd w:id="250"/>
      <w:bookmarkEnd w:id="251"/>
      <w:bookmarkEnd w:id="252"/>
      <w:bookmarkEnd w:id="253"/>
      <w:bookmarkEnd w:id="254"/>
    </w:p>
    <w:p>
      <w:r>
        <w:t>This clause is reserved.</w:t>
      </w:r>
    </w:p>
    <w:p>
      <w:pPr>
        <w:pStyle w:val="4"/>
      </w:pPr>
      <w:bookmarkStart w:id="255" w:name="_Toc23743"/>
      <w:bookmarkStart w:id="256" w:name="_Toc21924"/>
      <w:bookmarkStart w:id="257" w:name="_Toc4946"/>
      <w:bookmarkStart w:id="258" w:name="_Toc26103"/>
      <w:bookmarkStart w:id="259" w:name="_Toc31893"/>
      <w:bookmarkStart w:id="260" w:name="_Toc121162805"/>
      <w:bookmarkStart w:id="261" w:name="_Toc14320"/>
      <w:bookmarkStart w:id="262" w:name="_Toc22972"/>
      <w:bookmarkStart w:id="263" w:name="_Toc120570013"/>
      <w:r>
        <w:t>5.4A</w:t>
      </w:r>
      <w:r>
        <w:tab/>
      </w:r>
      <w:r>
        <w:t>Channel arrangement for category M1</w:t>
      </w:r>
      <w:bookmarkEnd w:id="255"/>
      <w:bookmarkEnd w:id="256"/>
      <w:bookmarkEnd w:id="257"/>
      <w:bookmarkEnd w:id="258"/>
      <w:bookmarkEnd w:id="259"/>
      <w:bookmarkEnd w:id="260"/>
      <w:bookmarkEnd w:id="261"/>
      <w:bookmarkEnd w:id="262"/>
      <w:bookmarkEnd w:id="263"/>
    </w:p>
    <w:p>
      <w:pPr>
        <w:pStyle w:val="5"/>
      </w:pPr>
      <w:bookmarkStart w:id="264" w:name="_Toc120570014"/>
      <w:bookmarkStart w:id="265" w:name="_Toc4200"/>
      <w:bookmarkStart w:id="266" w:name="_Toc6332"/>
      <w:bookmarkStart w:id="267" w:name="_Toc121162806"/>
      <w:bookmarkStart w:id="268" w:name="_Toc24721"/>
      <w:bookmarkStart w:id="269" w:name="_Toc23661"/>
      <w:bookmarkStart w:id="270" w:name="_Toc7641"/>
      <w:bookmarkStart w:id="271" w:name="_Toc368026205"/>
      <w:bookmarkStart w:id="272" w:name="_Toc17887"/>
      <w:bookmarkStart w:id="273" w:name="_Toc14729"/>
      <w:bookmarkStart w:id="274" w:name="_Toc111062018"/>
      <w:r>
        <w:t>5.4A.1</w:t>
      </w:r>
      <w:r>
        <w:tab/>
      </w:r>
      <w:r>
        <w:t>Channel spacing</w:t>
      </w:r>
      <w:bookmarkEnd w:id="264"/>
      <w:bookmarkEnd w:id="265"/>
      <w:bookmarkEnd w:id="266"/>
      <w:bookmarkEnd w:id="267"/>
      <w:bookmarkEnd w:id="268"/>
      <w:bookmarkEnd w:id="269"/>
      <w:bookmarkEnd w:id="270"/>
      <w:bookmarkEnd w:id="271"/>
      <w:bookmarkEnd w:id="272"/>
      <w:bookmarkEnd w:id="273"/>
      <w:bookmarkEnd w:id="274"/>
    </w:p>
    <w:p>
      <w:r>
        <w:t>The spacing between carriers will depend on the deployment scenario, the size of the frequency block available and the channel bandwidths. The nominal channel spacing between two adjacent E-UTRA carriers is defined as following:</w:t>
      </w:r>
    </w:p>
    <w:p>
      <w:pPr>
        <w:pStyle w:val="95"/>
      </w:pPr>
      <w:r>
        <w:tab/>
      </w:r>
      <w:r>
        <w:t>Nominal Channel spacing = (BW</w:t>
      </w:r>
      <w:r>
        <w:rPr>
          <w:vertAlign w:val="subscript"/>
        </w:rPr>
        <w:t>Channel(1)</w:t>
      </w:r>
      <w:r>
        <w:t xml:space="preserve"> + BW</w:t>
      </w:r>
      <w:r>
        <w:rPr>
          <w:vertAlign w:val="subscript"/>
        </w:rPr>
        <w:t>Channel(2)</w:t>
      </w:r>
      <w:r>
        <w:t>)/2</w:t>
      </w:r>
    </w:p>
    <w:p>
      <w:r>
        <w:t>where BW</w:t>
      </w:r>
      <w:r>
        <w:rPr>
          <w:vertAlign w:val="subscript"/>
        </w:rPr>
        <w:t>Channel(1)</w:t>
      </w:r>
      <w:r>
        <w:t xml:space="preserve"> and BW</w:t>
      </w:r>
      <w:r>
        <w:rPr>
          <w:vertAlign w:val="subscript"/>
        </w:rPr>
        <w:t>Channel(2)</w:t>
      </w:r>
      <w:r>
        <w:t xml:space="preserve"> are the channel bandwidths of the two respective E-UTRA carriers. The channel spacing can be adjusted to optimize performance in a particular deployment scenario.</w:t>
      </w:r>
    </w:p>
    <w:p>
      <w:pPr>
        <w:pStyle w:val="5"/>
      </w:pPr>
      <w:bookmarkStart w:id="275" w:name="_Toc368026209"/>
      <w:bookmarkStart w:id="276" w:name="_Toc2798"/>
      <w:bookmarkStart w:id="277" w:name="_Toc30987"/>
      <w:bookmarkStart w:id="278" w:name="_Toc111062020"/>
      <w:bookmarkStart w:id="279" w:name="_Toc11468"/>
      <w:bookmarkStart w:id="280" w:name="_Toc22197"/>
      <w:bookmarkStart w:id="281" w:name="_Toc23553"/>
      <w:bookmarkStart w:id="282" w:name="_Toc20355"/>
      <w:bookmarkStart w:id="283" w:name="_Toc121162807"/>
      <w:bookmarkStart w:id="284" w:name="_Toc13774"/>
      <w:bookmarkStart w:id="285" w:name="_Toc120570015"/>
      <w:r>
        <w:t>5.4A.2</w:t>
      </w:r>
      <w:r>
        <w:tab/>
      </w:r>
      <w:bookmarkEnd w:id="275"/>
      <w:r>
        <w:t>Channel raster, carrier frequency and EARFCN</w:t>
      </w:r>
      <w:bookmarkEnd w:id="276"/>
      <w:bookmarkEnd w:id="277"/>
      <w:bookmarkEnd w:id="278"/>
      <w:bookmarkEnd w:id="279"/>
      <w:bookmarkEnd w:id="280"/>
      <w:bookmarkEnd w:id="281"/>
      <w:bookmarkEnd w:id="282"/>
      <w:bookmarkEnd w:id="283"/>
      <w:bookmarkEnd w:id="284"/>
      <w:bookmarkEnd w:id="285"/>
    </w:p>
    <w:p>
      <w:r>
        <w:rPr>
          <w:rFonts w:eastAsia="Yu Mincho"/>
        </w:rPr>
        <w:t xml:space="preserve">The global frequency raster is defined for all frequencies. The granularity of the global frequency raster is </w:t>
      </w:r>
      <w:r>
        <w:t>100 kHz, which means that the carrier centre frequency must be an integer multiple of 100 kHz. For each operating band, a subset of frequencies from the global frequency raster are applicable and forms a channel raster with a granularity ΔF</w:t>
      </w:r>
      <w:r>
        <w:rPr>
          <w:vertAlign w:val="subscript"/>
        </w:rPr>
        <w:t>Raster</w:t>
      </w:r>
      <w:r>
        <w:t>.</w:t>
      </w:r>
    </w:p>
    <w:p>
      <w:r>
        <w:rPr>
          <w:rFonts w:cs="v5.0.0"/>
        </w:rPr>
        <w:t xml:space="preserve">The carrier frequency in the uplink and downlink is designated by the E-UTRA Absolute Radio Frequency Channel Number (EARFCN) in the range 0 – 262143. </w:t>
      </w:r>
      <w:r>
        <w:t>The relation between EARFCN and the carrier frequency in MHz for the downlink is given by the following equation, where F</w:t>
      </w:r>
      <w:r>
        <w:rPr>
          <w:vertAlign w:val="subscript"/>
        </w:rPr>
        <w:t>DL_low</w:t>
      </w:r>
      <w:r>
        <w:t xml:space="preserve"> and N</w:t>
      </w:r>
      <w:r>
        <w:rPr>
          <w:vertAlign w:val="subscript"/>
        </w:rPr>
        <w:t>Offs-DL</w:t>
      </w:r>
      <w:r>
        <w:t xml:space="preserve"> are given in Table 5.4A.2-1 and N</w:t>
      </w:r>
      <w:r>
        <w:rPr>
          <w:vertAlign w:val="subscript"/>
        </w:rPr>
        <w:t>DL</w:t>
      </w:r>
      <w:r>
        <w:t xml:space="preserve"> is the downlink EARFCN.</w:t>
      </w:r>
    </w:p>
    <w:p>
      <w:pPr>
        <w:pStyle w:val="95"/>
      </w:pPr>
      <w:r>
        <w:tab/>
      </w: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p>
    <w:p>
      <w:r>
        <w:t>The relation between EARFCN and the carrier frequency in MHz for the uplink is given by the following equation where F</w:t>
      </w:r>
      <w:r>
        <w:rPr>
          <w:vertAlign w:val="subscript"/>
        </w:rPr>
        <w:t>UL_low</w:t>
      </w:r>
      <w:r>
        <w:t xml:space="preserve"> and N</w:t>
      </w:r>
      <w:r>
        <w:rPr>
          <w:vertAlign w:val="subscript"/>
        </w:rPr>
        <w:t>Offs-UL</w:t>
      </w:r>
      <w:r>
        <w:t xml:space="preserve"> are given in Table 5.4.2-1 and N</w:t>
      </w:r>
      <w:r>
        <w:rPr>
          <w:vertAlign w:val="subscript"/>
        </w:rPr>
        <w:t>UL</w:t>
      </w:r>
      <w:r>
        <w:t xml:space="preserve"> is the uplink EARFCN.</w:t>
      </w:r>
    </w:p>
    <w:p>
      <w:pPr>
        <w:pStyle w:val="95"/>
      </w:pPr>
      <w:r>
        <w:tab/>
      </w:r>
      <w:r>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p>
    <w:p>
      <w:r>
        <w:t xml:space="preserve">The applicable channel raster and EARFCNs for each operating band are specified in Table 5.4A.2-1. </w:t>
      </w:r>
    </w:p>
    <w:p>
      <w:r>
        <w:t xml:space="preserve">For operating bands with a channel raster of 100 kHz, every </w:t>
      </w:r>
      <w:bookmarkStart w:id="286" w:name="_Hlk499903272"/>
      <w:r>
        <w:t>EARFCN within the operating band shall be applicable for the channel raster, and the step size for the channel raster in Table 5.4A.2</w:t>
      </w:r>
      <w:r>
        <w:noBreakHyphen/>
      </w:r>
      <w:r>
        <w:t>1 is given as &lt;1&gt;.</w:t>
      </w:r>
      <w:bookmarkEnd w:id="286"/>
      <w:r>
        <w:t xml:space="preserve"> The broadcast parameter </w:t>
      </w:r>
      <w:r>
        <w:rPr>
          <w:i/>
        </w:rPr>
        <w:t>earfcn</w:t>
      </w:r>
      <w:r>
        <w:rPr>
          <w:i/>
          <w:iCs/>
        </w:rPr>
        <w:t>-LSB</w:t>
      </w:r>
      <w:r>
        <w:t xml:space="preserve"> defined in TS</w:t>
      </w:r>
      <w:r>
        <w:rPr>
          <w:lang w:val="en-US"/>
        </w:rPr>
        <w:t xml:space="preserve"> </w:t>
      </w:r>
      <w:r>
        <w:t>36.331 [6] may be used to assist the UE in synchronizing to the cell.</w:t>
      </w:r>
    </w:p>
    <w:p>
      <w:pPr>
        <w:pStyle w:val="113"/>
      </w:pPr>
      <w:r>
        <w:t>Table 5.4A.2-1: E-UTRA channel numbers</w:t>
      </w:r>
    </w:p>
    <w:tbl>
      <w:tblPr>
        <w:tblStyle w:val="89"/>
        <w:tblW w:w="96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1055"/>
        <w:gridCol w:w="1134"/>
        <w:gridCol w:w="1134"/>
        <w:gridCol w:w="1701"/>
        <w:gridCol w:w="1134"/>
        <w:gridCol w:w="850"/>
        <w:gridCol w:w="15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restart"/>
            <w:shd w:val="clear" w:color="auto" w:fill="auto"/>
            <w:vAlign w:val="bottom"/>
          </w:tcPr>
          <w:p>
            <w:pPr>
              <w:pStyle w:val="104"/>
              <w:rPr>
                <w:rFonts w:cs="Arial"/>
              </w:rPr>
            </w:pPr>
            <w:r>
              <w:rPr>
                <w:rFonts w:cs="Arial"/>
              </w:rPr>
              <w:t>E-UTRA Operating</w:t>
            </w:r>
          </w:p>
          <w:p>
            <w:pPr>
              <w:pStyle w:val="104"/>
              <w:rPr>
                <w:rFonts w:cs="Arial"/>
              </w:rPr>
            </w:pPr>
            <w:r>
              <w:rPr>
                <w:rFonts w:cs="Arial"/>
              </w:rPr>
              <w:t>Band</w:t>
            </w:r>
          </w:p>
        </w:tc>
        <w:tc>
          <w:tcPr>
            <w:tcW w:w="1055" w:type="dxa"/>
            <w:vMerge w:val="restart"/>
            <w:vAlign w:val="center"/>
          </w:tcPr>
          <w:p>
            <w:pPr>
              <w:pStyle w:val="104"/>
              <w:rPr>
                <w:rFonts w:cs="Arial"/>
              </w:rPr>
            </w:pPr>
            <w:r>
              <w:t>ΔF</w:t>
            </w:r>
            <w:r>
              <w:rPr>
                <w:vertAlign w:val="subscript"/>
              </w:rPr>
              <w:t>Raster</w:t>
            </w:r>
            <w:r>
              <w:t xml:space="preserve"> (kHz)</w:t>
            </w:r>
          </w:p>
        </w:tc>
        <w:tc>
          <w:tcPr>
            <w:tcW w:w="3969" w:type="dxa"/>
            <w:gridSpan w:val="3"/>
          </w:tcPr>
          <w:p>
            <w:pPr>
              <w:pStyle w:val="104"/>
              <w:rPr>
                <w:rFonts w:cs="Arial"/>
              </w:rPr>
            </w:pPr>
            <w:r>
              <w:rPr>
                <w:rFonts w:cs="Arial"/>
              </w:rPr>
              <w:t>Downlink</w:t>
            </w:r>
          </w:p>
        </w:tc>
        <w:tc>
          <w:tcPr>
            <w:tcW w:w="3540" w:type="dxa"/>
            <w:gridSpan w:val="3"/>
          </w:tcPr>
          <w:p>
            <w:pPr>
              <w:pStyle w:val="104"/>
              <w:rPr>
                <w:rFonts w:cs="Arial"/>
              </w:rPr>
            </w:pPr>
            <w:r>
              <w:rPr>
                <w:rFonts w:cs="Arial"/>
              </w:rPr>
              <w:t>Uplink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shd w:val="clear" w:color="auto" w:fill="auto"/>
          </w:tcPr>
          <w:p>
            <w:pPr>
              <w:pStyle w:val="104"/>
              <w:rPr>
                <w:rFonts w:cs="Arial"/>
              </w:rPr>
            </w:pPr>
          </w:p>
        </w:tc>
        <w:tc>
          <w:tcPr>
            <w:tcW w:w="1055" w:type="dxa"/>
            <w:vMerge w:val="continue"/>
          </w:tcPr>
          <w:p>
            <w:pPr>
              <w:pStyle w:val="104"/>
              <w:rPr>
                <w:rFonts w:cs="Arial"/>
              </w:rPr>
            </w:pPr>
          </w:p>
        </w:tc>
        <w:tc>
          <w:tcPr>
            <w:tcW w:w="1134" w:type="dxa"/>
          </w:tcPr>
          <w:p>
            <w:pPr>
              <w:pStyle w:val="104"/>
              <w:rPr>
                <w:rFonts w:cs="Arial"/>
              </w:rPr>
            </w:pPr>
            <w:r>
              <w:rPr>
                <w:rFonts w:cs="Arial"/>
              </w:rPr>
              <w:t>F</w:t>
            </w:r>
            <w:r>
              <w:rPr>
                <w:rFonts w:cs="Arial"/>
                <w:vertAlign w:val="subscript"/>
              </w:rPr>
              <w:t xml:space="preserve">DL_low </w:t>
            </w:r>
            <w:r>
              <w:rPr>
                <w:rFonts w:cs="Arial"/>
              </w:rPr>
              <w:t>(MHz)</w:t>
            </w:r>
          </w:p>
        </w:tc>
        <w:tc>
          <w:tcPr>
            <w:tcW w:w="1134" w:type="dxa"/>
          </w:tcPr>
          <w:p>
            <w:pPr>
              <w:pStyle w:val="104"/>
              <w:rPr>
                <w:rFonts w:cs="Arial"/>
              </w:rPr>
            </w:pPr>
            <w:r>
              <w:rPr>
                <w:rFonts w:cs="Arial"/>
              </w:rPr>
              <w:t>N</w:t>
            </w:r>
            <w:r>
              <w:rPr>
                <w:rFonts w:cs="Arial"/>
                <w:vertAlign w:val="subscript"/>
              </w:rPr>
              <w:t>Offs-DL</w:t>
            </w:r>
          </w:p>
        </w:tc>
        <w:tc>
          <w:tcPr>
            <w:tcW w:w="1701" w:type="dxa"/>
          </w:tcPr>
          <w:p>
            <w:pPr>
              <w:pStyle w:val="104"/>
              <w:rPr>
                <w:rFonts w:cs="Arial"/>
                <w:vertAlign w:val="subscript"/>
              </w:rPr>
            </w:pPr>
            <w:r>
              <w:rPr>
                <w:rFonts w:cs="Arial"/>
              </w:rPr>
              <w:t>Range of N</w:t>
            </w:r>
            <w:r>
              <w:rPr>
                <w:rFonts w:cs="Arial"/>
                <w:vertAlign w:val="subscript"/>
              </w:rPr>
              <w:t>DL</w:t>
            </w:r>
          </w:p>
          <w:p>
            <w:pPr>
              <w:pStyle w:val="104"/>
              <w:rPr>
                <w:rFonts w:cs="Arial"/>
              </w:rPr>
            </w:pPr>
            <w:r>
              <w:rPr>
                <w:rFonts w:eastAsia="Yu Mincho"/>
              </w:rPr>
              <w:t>(First – &lt;Step size&gt; – Last)</w:t>
            </w:r>
          </w:p>
        </w:tc>
        <w:tc>
          <w:tcPr>
            <w:tcW w:w="1134" w:type="dxa"/>
          </w:tcPr>
          <w:p>
            <w:pPr>
              <w:pStyle w:val="104"/>
              <w:rPr>
                <w:rFonts w:cs="Arial"/>
              </w:rPr>
            </w:pPr>
            <w:r>
              <w:rPr>
                <w:rFonts w:cs="Arial"/>
              </w:rPr>
              <w:t>F</w:t>
            </w:r>
            <w:r>
              <w:rPr>
                <w:rFonts w:cs="Arial"/>
                <w:vertAlign w:val="subscript"/>
              </w:rPr>
              <w:t xml:space="preserve">UL_low </w:t>
            </w:r>
            <w:r>
              <w:rPr>
                <w:rFonts w:cs="Arial"/>
              </w:rPr>
              <w:t>(MHz)</w:t>
            </w:r>
          </w:p>
        </w:tc>
        <w:tc>
          <w:tcPr>
            <w:tcW w:w="850" w:type="dxa"/>
          </w:tcPr>
          <w:p>
            <w:pPr>
              <w:pStyle w:val="104"/>
              <w:rPr>
                <w:rFonts w:cs="Arial"/>
              </w:rPr>
            </w:pPr>
            <w:r>
              <w:rPr>
                <w:rFonts w:cs="Arial"/>
              </w:rPr>
              <w:t>N</w:t>
            </w:r>
            <w:r>
              <w:rPr>
                <w:rFonts w:cs="Arial"/>
                <w:vertAlign w:val="subscript"/>
              </w:rPr>
              <w:t>Offs-UL</w:t>
            </w:r>
          </w:p>
        </w:tc>
        <w:tc>
          <w:tcPr>
            <w:tcW w:w="1556" w:type="dxa"/>
          </w:tcPr>
          <w:p>
            <w:pPr>
              <w:pStyle w:val="104"/>
              <w:rPr>
                <w:rFonts w:cs="Arial"/>
                <w:vertAlign w:val="subscript"/>
              </w:rPr>
            </w:pPr>
            <w:r>
              <w:rPr>
                <w:rFonts w:cs="Arial"/>
              </w:rPr>
              <w:t>Range of N</w:t>
            </w:r>
            <w:r>
              <w:rPr>
                <w:rFonts w:cs="Arial"/>
                <w:vertAlign w:val="subscript"/>
              </w:rPr>
              <w:t>UL</w:t>
            </w:r>
          </w:p>
          <w:p>
            <w:pPr>
              <w:pStyle w:val="104"/>
              <w:rPr>
                <w:rFonts w:cs="Arial"/>
              </w:rPr>
            </w:pPr>
            <w:r>
              <w:rPr>
                <w:rFonts w:eastAsia="Yu Mincho"/>
              </w:rPr>
              <w:t>(First – &lt;Step size&gt; – Last)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tcPr>
          <w:p>
            <w:pPr>
              <w:pStyle w:val="105"/>
              <w:rPr>
                <w:rFonts w:cs="Arial"/>
                <w:szCs w:val="18"/>
              </w:rPr>
            </w:pPr>
            <w:r>
              <w:rPr>
                <w:rFonts w:cs="Arial"/>
                <w:szCs w:val="18"/>
              </w:rPr>
              <w:t>256</w:t>
            </w:r>
          </w:p>
        </w:tc>
        <w:tc>
          <w:tcPr>
            <w:tcW w:w="1055" w:type="dxa"/>
          </w:tcPr>
          <w:p>
            <w:pPr>
              <w:pStyle w:val="105"/>
              <w:rPr>
                <w:rFonts w:cs="Arial"/>
                <w:szCs w:val="18"/>
              </w:rPr>
            </w:pPr>
            <w:r>
              <w:rPr>
                <w:rFonts w:cs="Arial"/>
                <w:szCs w:val="18"/>
              </w:rPr>
              <w:t>100</w:t>
            </w:r>
          </w:p>
        </w:tc>
        <w:tc>
          <w:tcPr>
            <w:tcW w:w="1134" w:type="dxa"/>
          </w:tcPr>
          <w:p>
            <w:pPr>
              <w:pStyle w:val="105"/>
              <w:rPr>
                <w:rFonts w:cs="Arial"/>
                <w:szCs w:val="18"/>
              </w:rPr>
            </w:pPr>
            <w:r>
              <w:rPr>
                <w:rFonts w:cs="Arial"/>
                <w:szCs w:val="18"/>
              </w:rPr>
              <w:t>2170</w:t>
            </w:r>
          </w:p>
        </w:tc>
        <w:tc>
          <w:tcPr>
            <w:tcW w:w="1134" w:type="dxa"/>
          </w:tcPr>
          <w:p>
            <w:pPr>
              <w:pStyle w:val="105"/>
              <w:rPr>
                <w:rFonts w:cs="Arial"/>
                <w:szCs w:val="18"/>
              </w:rPr>
            </w:pPr>
            <w:r>
              <w:rPr>
                <w:rFonts w:cs="Arial"/>
              </w:rPr>
              <w:t>229076</w:t>
            </w:r>
          </w:p>
        </w:tc>
        <w:tc>
          <w:tcPr>
            <w:tcW w:w="1701" w:type="dxa"/>
          </w:tcPr>
          <w:p>
            <w:pPr>
              <w:pStyle w:val="105"/>
              <w:rPr>
                <w:rFonts w:cs="Arial"/>
                <w:szCs w:val="18"/>
              </w:rPr>
            </w:pPr>
            <w:r>
              <w:rPr>
                <w:rFonts w:cs="Arial"/>
              </w:rPr>
              <w:t>229076</w:t>
            </w:r>
            <w:r>
              <w:rPr>
                <w:rFonts w:cs="Arial"/>
                <w:szCs w:val="18"/>
              </w:rPr>
              <w:t xml:space="preserve"> –&lt;1&gt;- </w:t>
            </w:r>
            <w:r>
              <w:rPr>
                <w:rFonts w:cs="Arial"/>
              </w:rPr>
              <w:t>229375</w:t>
            </w:r>
          </w:p>
        </w:tc>
        <w:tc>
          <w:tcPr>
            <w:tcW w:w="1134" w:type="dxa"/>
          </w:tcPr>
          <w:p>
            <w:pPr>
              <w:pStyle w:val="105"/>
              <w:rPr>
                <w:rFonts w:cs="Arial"/>
                <w:szCs w:val="18"/>
              </w:rPr>
            </w:pPr>
            <w:r>
              <w:rPr>
                <w:rFonts w:cs="Arial"/>
                <w:szCs w:val="18"/>
              </w:rPr>
              <w:t>1980</w:t>
            </w:r>
          </w:p>
        </w:tc>
        <w:tc>
          <w:tcPr>
            <w:tcW w:w="850" w:type="dxa"/>
          </w:tcPr>
          <w:p>
            <w:pPr>
              <w:pStyle w:val="105"/>
              <w:rPr>
                <w:rFonts w:cs="Arial"/>
                <w:szCs w:val="18"/>
              </w:rPr>
            </w:pPr>
            <w:r>
              <w:rPr>
                <w:rFonts w:cs="Arial"/>
              </w:rPr>
              <w:t>261844</w:t>
            </w:r>
          </w:p>
        </w:tc>
        <w:tc>
          <w:tcPr>
            <w:tcW w:w="1556" w:type="dxa"/>
          </w:tcPr>
          <w:p>
            <w:pPr>
              <w:pStyle w:val="105"/>
              <w:rPr>
                <w:szCs w:val="18"/>
              </w:rPr>
            </w:pPr>
            <w:r>
              <w:t>261844</w:t>
            </w:r>
            <w:r>
              <w:rPr>
                <w:szCs w:val="18"/>
              </w:rPr>
              <w:t xml:space="preserve"> –&lt;1&gt;- </w:t>
            </w:r>
            <w:r>
              <w:t>262143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tcPr>
          <w:p>
            <w:pPr>
              <w:pStyle w:val="105"/>
              <w:rPr>
                <w:rFonts w:cs="Arial"/>
                <w:szCs w:val="18"/>
              </w:rPr>
            </w:pPr>
            <w:r>
              <w:rPr>
                <w:rFonts w:cs="Arial"/>
                <w:szCs w:val="18"/>
              </w:rPr>
              <w:t>255</w:t>
            </w:r>
          </w:p>
        </w:tc>
        <w:tc>
          <w:tcPr>
            <w:tcW w:w="1055" w:type="dxa"/>
          </w:tcPr>
          <w:p>
            <w:pPr>
              <w:pStyle w:val="105"/>
              <w:rPr>
                <w:rFonts w:cs="Arial"/>
                <w:szCs w:val="18"/>
              </w:rPr>
            </w:pPr>
            <w:r>
              <w:rPr>
                <w:rFonts w:cs="Arial"/>
                <w:szCs w:val="18"/>
              </w:rPr>
              <w:t>100</w:t>
            </w:r>
          </w:p>
        </w:tc>
        <w:tc>
          <w:tcPr>
            <w:tcW w:w="1134" w:type="dxa"/>
          </w:tcPr>
          <w:p>
            <w:pPr>
              <w:pStyle w:val="105"/>
              <w:rPr>
                <w:rFonts w:cs="Arial"/>
                <w:szCs w:val="18"/>
              </w:rPr>
            </w:pPr>
            <w:r>
              <w:rPr>
                <w:rFonts w:cs="Arial"/>
                <w:szCs w:val="18"/>
              </w:rPr>
              <w:t>1525</w:t>
            </w:r>
          </w:p>
        </w:tc>
        <w:tc>
          <w:tcPr>
            <w:tcW w:w="1134" w:type="dxa"/>
          </w:tcPr>
          <w:p>
            <w:pPr>
              <w:pStyle w:val="105"/>
              <w:rPr>
                <w:rFonts w:cs="Arial"/>
                <w:szCs w:val="18"/>
              </w:rPr>
            </w:pPr>
            <w:r>
              <w:rPr>
                <w:rFonts w:cs="Arial"/>
              </w:rPr>
              <w:t>228736</w:t>
            </w:r>
          </w:p>
        </w:tc>
        <w:tc>
          <w:tcPr>
            <w:tcW w:w="1701" w:type="dxa"/>
          </w:tcPr>
          <w:p>
            <w:pPr>
              <w:pStyle w:val="105"/>
              <w:rPr>
                <w:rFonts w:cs="Arial"/>
                <w:szCs w:val="18"/>
              </w:rPr>
            </w:pPr>
            <w:r>
              <w:rPr>
                <w:rFonts w:cs="Arial"/>
              </w:rPr>
              <w:t>228736</w:t>
            </w:r>
            <w:r>
              <w:rPr>
                <w:rFonts w:cs="Arial"/>
                <w:szCs w:val="18"/>
              </w:rPr>
              <w:t xml:space="preserve"> –&lt;1&gt;- </w:t>
            </w:r>
            <w:r>
              <w:rPr>
                <w:rFonts w:cs="Arial"/>
              </w:rPr>
              <w:t>229075</w:t>
            </w:r>
          </w:p>
        </w:tc>
        <w:tc>
          <w:tcPr>
            <w:tcW w:w="1134" w:type="dxa"/>
          </w:tcPr>
          <w:p>
            <w:pPr>
              <w:pStyle w:val="105"/>
              <w:rPr>
                <w:rFonts w:cs="Arial"/>
                <w:szCs w:val="18"/>
              </w:rPr>
            </w:pPr>
            <w:r>
              <w:rPr>
                <w:rFonts w:cs="Arial"/>
                <w:szCs w:val="18"/>
              </w:rPr>
              <w:t>1626.5</w:t>
            </w:r>
          </w:p>
        </w:tc>
        <w:tc>
          <w:tcPr>
            <w:tcW w:w="850" w:type="dxa"/>
          </w:tcPr>
          <w:p>
            <w:pPr>
              <w:pStyle w:val="105"/>
              <w:rPr>
                <w:rFonts w:cs="Arial"/>
                <w:szCs w:val="18"/>
              </w:rPr>
            </w:pPr>
            <w:r>
              <w:rPr>
                <w:rFonts w:cs="Arial"/>
              </w:rPr>
              <w:t>261504</w:t>
            </w:r>
          </w:p>
        </w:tc>
        <w:tc>
          <w:tcPr>
            <w:tcW w:w="1556" w:type="dxa"/>
          </w:tcPr>
          <w:p>
            <w:pPr>
              <w:pStyle w:val="105"/>
              <w:rPr>
                <w:rFonts w:cs="Arial"/>
                <w:szCs w:val="18"/>
              </w:rPr>
            </w:pPr>
            <w:r>
              <w:rPr>
                <w:rFonts w:cs="Arial"/>
              </w:rPr>
              <w:t>261504</w:t>
            </w:r>
            <w:r>
              <w:rPr>
                <w:rFonts w:cs="Arial"/>
                <w:szCs w:val="18"/>
              </w:rPr>
              <w:t xml:space="preserve"> –&lt;1&gt;- </w:t>
            </w:r>
            <w:r>
              <w:rPr>
                <w:rFonts w:cs="Arial"/>
              </w:rPr>
              <w:t>261843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1" w:type="dxa"/>
            <w:gridSpan w:val="8"/>
          </w:tcPr>
          <w:p>
            <w:pPr>
              <w:pStyle w:val="118"/>
              <w:rPr>
                <w:rFonts w:cs="Arial"/>
              </w:rPr>
            </w:pPr>
            <w:r>
              <w:rPr>
                <w:rFonts w:cs="Arial"/>
              </w:rPr>
              <w:t xml:space="preserve">NOTE 1: </w:t>
            </w:r>
            <w:r>
              <w:rPr>
                <w:rFonts w:cs="Arial"/>
              </w:rPr>
              <w:tab/>
            </w:r>
            <w:r>
              <w:rPr>
                <w:rFonts w:cs="Arial"/>
              </w:rPr>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tbl>
    <w:p/>
    <w:p>
      <w:pPr>
        <w:pStyle w:val="5"/>
      </w:pPr>
      <w:bookmarkStart w:id="287" w:name="_Toc27189"/>
      <w:bookmarkStart w:id="288" w:name="_Toc23634"/>
      <w:bookmarkStart w:id="289" w:name="_Toc368026210"/>
      <w:bookmarkStart w:id="290" w:name="_Toc15860"/>
      <w:bookmarkStart w:id="291" w:name="_Toc7653"/>
      <w:bookmarkStart w:id="292" w:name="_Toc28473"/>
      <w:bookmarkStart w:id="293" w:name="_Toc120570016"/>
      <w:bookmarkStart w:id="294" w:name="_Toc111062022"/>
      <w:bookmarkStart w:id="295" w:name="_Toc15549"/>
      <w:bookmarkStart w:id="296" w:name="_Toc22322"/>
      <w:bookmarkStart w:id="297" w:name="_Toc121162808"/>
      <w:r>
        <w:t>5.4A.3</w:t>
      </w:r>
      <w:r>
        <w:tab/>
      </w:r>
      <w:r>
        <w:t>TX–RX frequency separation</w:t>
      </w:r>
      <w:bookmarkEnd w:id="287"/>
      <w:bookmarkEnd w:id="288"/>
      <w:bookmarkEnd w:id="289"/>
      <w:bookmarkEnd w:id="290"/>
      <w:bookmarkEnd w:id="291"/>
      <w:bookmarkEnd w:id="292"/>
      <w:bookmarkEnd w:id="293"/>
      <w:bookmarkEnd w:id="294"/>
      <w:bookmarkEnd w:id="295"/>
      <w:bookmarkEnd w:id="296"/>
      <w:bookmarkEnd w:id="297"/>
    </w:p>
    <w:p>
      <w:r>
        <w:t>The default E-UTRA TX channel (carrier centre frequency) to RX channel (carrier centre frequency) separation is specified in Table 5.4A.3-1 for the TX and RX channel bandwidth defined in Table 5.3A.1-1.</w:t>
      </w:r>
    </w:p>
    <w:p>
      <w:pPr>
        <w:pStyle w:val="113"/>
      </w:pPr>
      <w:r>
        <w:t>Table 5.4A.3-1: Default UE TX-RX frequency separation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17"/>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817" w:type="dxa"/>
          </w:tcPr>
          <w:p>
            <w:pPr>
              <w:pStyle w:val="104"/>
              <w:rPr>
                <w:rFonts w:cs="Arial"/>
              </w:rPr>
            </w:pPr>
            <w:r>
              <w:rPr>
                <w:rFonts w:cs="Arial"/>
              </w:rPr>
              <w:t>E-UTRA Operating Band</w:t>
            </w:r>
          </w:p>
        </w:tc>
        <w:tc>
          <w:tcPr>
            <w:tcW w:w="2693" w:type="dxa"/>
          </w:tcPr>
          <w:p>
            <w:pPr>
              <w:pStyle w:val="104"/>
              <w:rPr>
                <w:rFonts w:cs="Arial"/>
              </w:rPr>
            </w:pPr>
            <w:r>
              <w:rPr>
                <w:rFonts w:cs="Arial"/>
              </w:rPr>
              <w:t xml:space="preserve">TX </w:t>
            </w:r>
            <w:r>
              <w:rPr>
                <w:rFonts w:cs="v5.0.0"/>
              </w:rPr>
              <w:t>–</w:t>
            </w:r>
            <w:r>
              <w:rPr>
                <w:rFonts w:cs="Arial"/>
              </w:rPr>
              <w:t xml:space="preserve"> RX </w:t>
            </w:r>
            <w:r>
              <w:rPr>
                <w:rFonts w:cs="Arial"/>
              </w:rPr>
              <w:br w:type="textWrapping"/>
            </w:r>
            <w:r>
              <w:rPr>
                <w:rFonts w:cs="Arial"/>
              </w:rPr>
              <w:t>carrier centre frequency</w:t>
            </w:r>
            <w:r>
              <w:rPr>
                <w:rFonts w:cs="Arial"/>
              </w:rPr>
              <w:br w:type="textWrapping"/>
            </w:r>
            <w:r>
              <w:rPr>
                <w:rFonts w:cs="Arial"/>
              </w:rPr>
              <w:t>separation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7" w:type="dxa"/>
          </w:tcPr>
          <w:p>
            <w:pPr>
              <w:pStyle w:val="105"/>
              <w:rPr>
                <w:rFonts w:cs="Arial"/>
              </w:rPr>
            </w:pPr>
            <w:r>
              <w:rPr>
                <w:rFonts w:cs="Arial"/>
              </w:rPr>
              <w:t>256</w:t>
            </w:r>
          </w:p>
        </w:tc>
        <w:tc>
          <w:tcPr>
            <w:tcW w:w="2693" w:type="dxa"/>
          </w:tcPr>
          <w:p>
            <w:pPr>
              <w:pStyle w:val="105"/>
              <w:rPr>
                <w:rFonts w:cs="Arial"/>
              </w:rPr>
            </w:pPr>
            <w:r>
              <w:rPr>
                <w:rFonts w:cs="Arial"/>
              </w:rPr>
              <w:t>190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7" w:type="dxa"/>
          </w:tcPr>
          <w:p>
            <w:pPr>
              <w:pStyle w:val="105"/>
              <w:rPr>
                <w:rFonts w:cs="Arial"/>
              </w:rPr>
            </w:pPr>
            <w:r>
              <w:rPr>
                <w:rFonts w:cs="Arial"/>
              </w:rPr>
              <w:t>255</w:t>
            </w:r>
          </w:p>
        </w:tc>
        <w:tc>
          <w:tcPr>
            <w:tcW w:w="2693" w:type="dxa"/>
          </w:tcPr>
          <w:p>
            <w:pPr>
              <w:pStyle w:val="105"/>
              <w:rPr>
                <w:rFonts w:cs="Arial"/>
              </w:rPr>
            </w:pPr>
            <w:r>
              <w:rPr>
                <w:rFonts w:cs="Arial"/>
              </w:rPr>
              <w:t>-101.5 MHz</w:t>
            </w:r>
          </w:p>
        </w:tc>
      </w:tr>
    </w:tbl>
    <w:p/>
    <w:p>
      <w:pPr>
        <w:pStyle w:val="4"/>
      </w:pPr>
      <w:bookmarkStart w:id="298" w:name="_Toc12295"/>
      <w:bookmarkStart w:id="299" w:name="_Toc24822"/>
      <w:bookmarkStart w:id="300" w:name="_Toc26630"/>
      <w:bookmarkStart w:id="301" w:name="_Toc121162809"/>
      <w:bookmarkStart w:id="302" w:name="_Toc12780"/>
      <w:bookmarkStart w:id="303" w:name="_Toc120570017"/>
      <w:bookmarkStart w:id="304" w:name="_Toc31551"/>
      <w:bookmarkStart w:id="305" w:name="_Toc31042"/>
      <w:bookmarkStart w:id="306" w:name="_Toc12815"/>
      <w:r>
        <w:t>5.4B</w:t>
      </w:r>
      <w:r>
        <w:tab/>
      </w:r>
      <w:r>
        <w:t>Channel arrangement for category NB1 and NB2</w:t>
      </w:r>
      <w:bookmarkEnd w:id="298"/>
      <w:bookmarkEnd w:id="299"/>
      <w:bookmarkEnd w:id="300"/>
      <w:bookmarkEnd w:id="301"/>
      <w:bookmarkEnd w:id="302"/>
      <w:bookmarkEnd w:id="303"/>
      <w:bookmarkEnd w:id="304"/>
      <w:bookmarkEnd w:id="305"/>
      <w:bookmarkEnd w:id="306"/>
    </w:p>
    <w:p>
      <w:pPr>
        <w:pStyle w:val="5"/>
      </w:pPr>
      <w:bookmarkStart w:id="307" w:name="_Toc121162810"/>
      <w:bookmarkStart w:id="308" w:name="_Toc120570018"/>
      <w:bookmarkStart w:id="309" w:name="_Toc2701"/>
      <w:bookmarkStart w:id="310" w:name="_Toc19032"/>
      <w:bookmarkStart w:id="311" w:name="_Toc5841"/>
      <w:bookmarkStart w:id="312" w:name="_Toc10173"/>
      <w:bookmarkStart w:id="313" w:name="_Toc18832"/>
      <w:bookmarkStart w:id="314" w:name="_Toc15707"/>
      <w:bookmarkStart w:id="315" w:name="_Toc20872"/>
      <w:r>
        <w:t>5.4B.1</w:t>
      </w:r>
      <w:r>
        <w:tab/>
      </w:r>
      <w:r>
        <w:t>Channel spacing</w:t>
      </w:r>
      <w:bookmarkEnd w:id="307"/>
      <w:bookmarkEnd w:id="308"/>
      <w:bookmarkEnd w:id="309"/>
      <w:bookmarkEnd w:id="310"/>
      <w:bookmarkEnd w:id="311"/>
      <w:bookmarkEnd w:id="312"/>
      <w:bookmarkEnd w:id="313"/>
      <w:bookmarkEnd w:id="314"/>
      <w:bookmarkEnd w:id="315"/>
    </w:p>
    <w:p>
      <w:r>
        <w:t>Nominal channel spacing for UE category NB1 and NB2 in stand-alone mode is 200 kHz.</w:t>
      </w:r>
    </w:p>
    <w:p>
      <w:pPr>
        <w:pStyle w:val="5"/>
      </w:pPr>
      <w:bookmarkStart w:id="316" w:name="_Toc1083"/>
      <w:bookmarkStart w:id="317" w:name="_Toc23697"/>
      <w:bookmarkStart w:id="318" w:name="_Toc120570019"/>
      <w:bookmarkStart w:id="319" w:name="_Toc10208"/>
      <w:bookmarkStart w:id="320" w:name="_Toc9869"/>
      <w:bookmarkStart w:id="321" w:name="_Toc4561"/>
      <w:bookmarkStart w:id="322" w:name="_Toc121162811"/>
      <w:bookmarkStart w:id="323" w:name="_Toc1120"/>
      <w:bookmarkStart w:id="324" w:name="_Toc28140"/>
      <w:r>
        <w:t>5.4B.2</w:t>
      </w:r>
      <w:r>
        <w:tab/>
      </w:r>
      <w:r>
        <w:t>Channel raster, carrier frequency and EARFCN</w:t>
      </w:r>
      <w:bookmarkEnd w:id="316"/>
      <w:bookmarkEnd w:id="317"/>
      <w:bookmarkEnd w:id="318"/>
      <w:bookmarkEnd w:id="319"/>
      <w:bookmarkEnd w:id="320"/>
      <w:bookmarkEnd w:id="321"/>
      <w:bookmarkEnd w:id="322"/>
      <w:bookmarkEnd w:id="323"/>
      <w:bookmarkEnd w:id="324"/>
    </w:p>
    <w:p>
      <w:pPr>
        <w:rPr>
          <w:rFonts w:eastAsia="宋体"/>
        </w:rPr>
      </w:pPr>
      <w:r>
        <w:rPr>
          <w:rFonts w:eastAsia="宋体"/>
        </w:rPr>
        <w:t xml:space="preserve">The channel raster of UE category </w:t>
      </w:r>
      <w:r>
        <w:t xml:space="preserve">NB1/NB2 </w:t>
      </w:r>
      <w:r>
        <w:rPr>
          <w:rFonts w:eastAsia="宋体"/>
        </w:rPr>
        <w:t>shall be as defined in clause 5.4A.2, and the channel raster per-frequency band shall be as defined in table 5.4A.2-1.</w:t>
      </w:r>
    </w:p>
    <w:p>
      <w:pPr>
        <w:rPr>
          <w:rFonts w:eastAsia="宋体"/>
          <w:lang w:val="en-US"/>
        </w:rPr>
      </w:pPr>
      <w:r>
        <w:rPr>
          <w:rFonts w:eastAsia="宋体"/>
        </w:rPr>
        <w:t>T</w:t>
      </w:r>
      <w:r>
        <w:t>he carrier frequency</w:t>
      </w:r>
      <w:r>
        <w:rPr>
          <w:rFonts w:eastAsia="宋体"/>
        </w:rPr>
        <w:t xml:space="preserve"> of UE category </w:t>
      </w:r>
      <w:r>
        <w:t>NB1/NB2</w:t>
      </w:r>
      <w:r>
        <w:rPr>
          <w:rFonts w:eastAsia="宋体"/>
        </w:rPr>
        <w:t xml:space="preserve"> </w:t>
      </w:r>
      <w:r>
        <w:t xml:space="preserve">in </w:t>
      </w:r>
      <w:r>
        <w:rPr>
          <w:rFonts w:eastAsia="宋体"/>
        </w:rPr>
        <w:t xml:space="preserve">the </w:t>
      </w:r>
      <w:r>
        <w:t>downlink is designated by the E-UTRA Absolute Radio Frequency Channel Number (EARFCN) as defined in Table 5.4</w:t>
      </w:r>
      <w:r>
        <w:rPr>
          <w:lang w:eastAsia="zh-TW"/>
        </w:rPr>
        <w:t>A</w:t>
      </w:r>
      <w:r>
        <w:t>.2-1, and the Offset of category NB1/NB2 Channel Number to EARFCN in the range of {-10, -9, -8, -7, -6, -5, -4, -3, -2, -1, -0.5, 0, 1, 2, 3, 4, 5, 6, 7, 8, 9} for FDD. The relation between EARFCN</w:t>
      </w:r>
      <w:r>
        <w:rPr>
          <w:rFonts w:eastAsia="宋体"/>
        </w:rPr>
        <w:t xml:space="preserve">, Offset of category </w:t>
      </w:r>
      <w:r>
        <w:t>NB1/NB2</w:t>
      </w:r>
      <w:r>
        <w:rPr>
          <w:rFonts w:eastAsia="宋体"/>
        </w:rPr>
        <w:t xml:space="preserve"> Channel Number to EARFCN</w:t>
      </w:r>
      <w:r>
        <w:t xml:space="preserve"> and the carrier frequency in MHz for the downlink is given by the following equation, where F</w:t>
      </w:r>
      <w:r>
        <w:rPr>
          <w:vertAlign w:val="subscript"/>
        </w:rPr>
        <w:t>DL</w:t>
      </w:r>
      <w:r>
        <w:t xml:space="preserve"> </w:t>
      </w:r>
      <w:r>
        <w:rPr>
          <w:rFonts w:eastAsia="宋体"/>
        </w:rPr>
        <w:t xml:space="preserve">is the downlink carrier frequency of </w:t>
      </w:r>
      <w:r>
        <w:t>category NB1/NB2</w:t>
      </w:r>
      <w:r>
        <w:rPr>
          <w:rFonts w:eastAsia="宋体"/>
        </w:rPr>
        <w:t xml:space="preserve">, </w:t>
      </w:r>
      <w:r>
        <w:t>F</w:t>
      </w:r>
      <w:r>
        <w:rPr>
          <w:vertAlign w:val="subscript"/>
        </w:rPr>
        <w:t>DL_low</w:t>
      </w:r>
      <w:r>
        <w:t xml:space="preserve"> and N</w:t>
      </w:r>
      <w:r>
        <w:rPr>
          <w:vertAlign w:val="subscript"/>
        </w:rPr>
        <w:t>Offs-DL</w:t>
      </w:r>
      <w:r>
        <w:t xml:space="preserve"> are given in table 5.4</w:t>
      </w:r>
      <w:r>
        <w:rPr>
          <w:lang w:eastAsia="zh-TW"/>
        </w:rPr>
        <w:t>A</w:t>
      </w:r>
      <w:r>
        <w:t>.2-1</w:t>
      </w:r>
      <w:r>
        <w:rPr>
          <w:rFonts w:eastAsia="宋体"/>
        </w:rPr>
        <w:t xml:space="preserve">, </w:t>
      </w:r>
      <w:r>
        <w:t>N</w:t>
      </w:r>
      <w:r>
        <w:rPr>
          <w:vertAlign w:val="subscript"/>
        </w:rPr>
        <w:t>DL</w:t>
      </w:r>
      <w:r>
        <w:t xml:space="preserve"> is the downlink EARFCN</w:t>
      </w:r>
      <w:r>
        <w:rPr>
          <w:rFonts w:eastAsia="宋体"/>
        </w:rPr>
        <w:t>, M</w:t>
      </w:r>
      <w:r>
        <w:rPr>
          <w:vertAlign w:val="subscript"/>
        </w:rPr>
        <w:t>DL</w:t>
      </w:r>
      <w:r>
        <w:rPr>
          <w:rFonts w:eastAsia="宋体"/>
          <w:vertAlign w:val="subscript"/>
        </w:rPr>
        <w:t xml:space="preserve"> </w:t>
      </w:r>
      <w:r>
        <w:rPr>
          <w:rFonts w:eastAsia="宋体"/>
        </w:rPr>
        <w:t xml:space="preserve">is the Offset of category </w:t>
      </w:r>
      <w:r>
        <w:t>NB1/NB2</w:t>
      </w:r>
      <w:r>
        <w:rPr>
          <w:rFonts w:eastAsia="宋体"/>
        </w:rPr>
        <w:t xml:space="preserve"> Channel Number to downlink EARFCN.</w:t>
      </w:r>
    </w:p>
    <w:p>
      <w:pPr>
        <w:pStyle w:val="95"/>
        <w:spacing w:after="240"/>
        <w:jc w:val="center"/>
        <w:rPr>
          <w:rFonts w:eastAsia="宋体"/>
        </w:rPr>
      </w:pP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r>
        <w:rPr>
          <w:rFonts w:eastAsia="宋体"/>
        </w:rPr>
        <w:t xml:space="preserve"> + 0.0025*(2M</w:t>
      </w:r>
      <w:r>
        <w:rPr>
          <w:rFonts w:eastAsia="宋体"/>
          <w:vertAlign w:val="subscript"/>
        </w:rPr>
        <w:t>DL</w:t>
      </w:r>
      <w:r>
        <w:rPr>
          <w:rFonts w:eastAsia="宋体"/>
        </w:rPr>
        <w:t>)</w:t>
      </w:r>
    </w:p>
    <w:p>
      <w:pPr>
        <w:rPr>
          <w:rFonts w:eastAsia="宋体"/>
        </w:rPr>
      </w:pPr>
      <w:r>
        <w:t xml:space="preserve">The carrier frequency </w:t>
      </w:r>
      <w:r>
        <w:rPr>
          <w:rFonts w:eastAsia="宋体"/>
        </w:rPr>
        <w:t xml:space="preserve">of UE category </w:t>
      </w:r>
      <w:r>
        <w:t>NB1/NB2</w:t>
      </w:r>
      <w:r>
        <w:rPr>
          <w:rFonts w:eastAsia="宋体"/>
        </w:rPr>
        <w:t xml:space="preserve"> </w:t>
      </w:r>
      <w:r>
        <w:t xml:space="preserve">in </w:t>
      </w:r>
      <w:r>
        <w:rPr>
          <w:rFonts w:eastAsia="宋体"/>
        </w:rPr>
        <w:t>the uplink</w:t>
      </w:r>
      <w:r>
        <w:t xml:space="preserve"> is designated by the E-UTRA Absolute Radio Frequency Channel Number (EARFCN) as defined in Table 5.4</w:t>
      </w:r>
      <w:r>
        <w:rPr>
          <w:lang w:eastAsia="zh-TW"/>
        </w:rPr>
        <w:t>A</w:t>
      </w:r>
      <w:r>
        <w:t>.2-1, and the Offset of category NB1/NB2 Channel Number to EARFCN in the range of {-10, -9, -8, -7, -6, -5, -4, -3, -2, -1, 0, 1, 2, 3, 4, 5, 6, 7, 8, 9} for FDD. The relation between EARFCN</w:t>
      </w:r>
      <w:r>
        <w:rPr>
          <w:rFonts w:eastAsia="宋体"/>
        </w:rPr>
        <w:t xml:space="preserve">, Offset of </w:t>
      </w:r>
      <w:r>
        <w:t>category NB1/NB2</w:t>
      </w:r>
      <w:r>
        <w:rPr>
          <w:rFonts w:eastAsia="宋体"/>
        </w:rPr>
        <w:t xml:space="preserve"> Channel Number</w:t>
      </w:r>
      <w:r>
        <w:t xml:space="preserve"> </w:t>
      </w:r>
      <w:r>
        <w:rPr>
          <w:rFonts w:eastAsia="宋体"/>
        </w:rPr>
        <w:t xml:space="preserve">to EARFCN </w:t>
      </w:r>
      <w:r>
        <w:t xml:space="preserve">and the carrier frequency in MHz for the </w:t>
      </w:r>
      <w:r>
        <w:rPr>
          <w:rFonts w:eastAsia="宋体"/>
        </w:rPr>
        <w:t>uplink</w:t>
      </w:r>
      <w:r>
        <w:t xml:space="preserve"> is given by the following equation, where F</w:t>
      </w:r>
      <w:r>
        <w:rPr>
          <w:rFonts w:eastAsia="宋体"/>
          <w:vertAlign w:val="subscript"/>
        </w:rPr>
        <w:t>U</w:t>
      </w:r>
      <w:r>
        <w:rPr>
          <w:vertAlign w:val="subscript"/>
        </w:rPr>
        <w:t>L</w:t>
      </w:r>
      <w:r>
        <w:t xml:space="preserve"> </w:t>
      </w:r>
      <w:r>
        <w:rPr>
          <w:rFonts w:eastAsia="宋体"/>
        </w:rPr>
        <w:t xml:space="preserve">is the uplink carrier frequency of category </w:t>
      </w:r>
      <w:r>
        <w:t>NB1/NB2</w:t>
      </w:r>
      <w:r>
        <w:rPr>
          <w:rFonts w:eastAsia="宋体"/>
        </w:rPr>
        <w:t xml:space="preserve">, </w:t>
      </w:r>
      <w:r>
        <w:t>F</w:t>
      </w:r>
      <w:r>
        <w:rPr>
          <w:rFonts w:eastAsia="宋体"/>
          <w:vertAlign w:val="subscript"/>
        </w:rPr>
        <w:t>U</w:t>
      </w:r>
      <w:r>
        <w:rPr>
          <w:vertAlign w:val="subscript"/>
        </w:rPr>
        <w:t>L_low</w:t>
      </w:r>
      <w:r>
        <w:t xml:space="preserve"> and N</w:t>
      </w:r>
      <w:r>
        <w:rPr>
          <w:vertAlign w:val="subscript"/>
        </w:rPr>
        <w:t>Offs-</w:t>
      </w:r>
      <w:r>
        <w:rPr>
          <w:rFonts w:eastAsia="宋体"/>
          <w:vertAlign w:val="subscript"/>
        </w:rPr>
        <w:t>U</w:t>
      </w:r>
      <w:r>
        <w:rPr>
          <w:vertAlign w:val="subscript"/>
        </w:rPr>
        <w:t>L</w:t>
      </w:r>
      <w:r>
        <w:t xml:space="preserve"> are given in table 5.4</w:t>
      </w:r>
      <w:r>
        <w:rPr>
          <w:lang w:eastAsia="zh-TW"/>
        </w:rPr>
        <w:t>A</w:t>
      </w:r>
      <w:r>
        <w:t>.2-1</w:t>
      </w:r>
      <w:r>
        <w:rPr>
          <w:rFonts w:eastAsia="宋体"/>
        </w:rPr>
        <w:t xml:space="preserve">, </w:t>
      </w:r>
      <w:r>
        <w:t>N</w:t>
      </w:r>
      <w:r>
        <w:rPr>
          <w:rFonts w:eastAsia="宋体"/>
          <w:vertAlign w:val="subscript"/>
        </w:rPr>
        <w:t>U</w:t>
      </w:r>
      <w:r>
        <w:rPr>
          <w:vertAlign w:val="subscript"/>
        </w:rPr>
        <w:t>L</w:t>
      </w:r>
      <w:r>
        <w:t xml:space="preserve"> is the </w:t>
      </w:r>
      <w:r>
        <w:rPr>
          <w:rFonts w:eastAsia="宋体"/>
        </w:rPr>
        <w:t>uplink</w:t>
      </w:r>
      <w:r>
        <w:t xml:space="preserve"> EARFCN</w:t>
      </w:r>
      <w:r>
        <w:rPr>
          <w:rFonts w:eastAsia="宋体"/>
        </w:rPr>
        <w:t>, M</w:t>
      </w:r>
      <w:r>
        <w:rPr>
          <w:rFonts w:eastAsia="宋体"/>
          <w:vertAlign w:val="subscript"/>
        </w:rPr>
        <w:t>U</w:t>
      </w:r>
      <w:r>
        <w:rPr>
          <w:vertAlign w:val="subscript"/>
        </w:rPr>
        <w:t>L</w:t>
      </w:r>
      <w:r>
        <w:rPr>
          <w:rFonts w:eastAsia="宋体"/>
          <w:vertAlign w:val="subscript"/>
        </w:rPr>
        <w:t xml:space="preserve"> </w:t>
      </w:r>
      <w:r>
        <w:rPr>
          <w:rFonts w:eastAsia="宋体"/>
        </w:rPr>
        <w:t xml:space="preserve">is the Offset of </w:t>
      </w:r>
      <w:r>
        <w:t>category NB1/NB2</w:t>
      </w:r>
      <w:r>
        <w:rPr>
          <w:rFonts w:eastAsia="宋体"/>
        </w:rPr>
        <w:t xml:space="preserve"> Channel Number to uplink EARFCN.</w:t>
      </w:r>
    </w:p>
    <w:p>
      <w:pPr>
        <w:pStyle w:val="95"/>
        <w:spacing w:after="240"/>
        <w:jc w:val="center"/>
        <w:rPr>
          <w:rFonts w:eastAsia="宋体"/>
        </w:rPr>
      </w:pPr>
      <w:r>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r>
        <w:rPr>
          <w:rFonts w:eastAsia="宋体"/>
        </w:rPr>
        <w:t xml:space="preserve"> + 0.0025*(2M</w:t>
      </w:r>
      <w:r>
        <w:rPr>
          <w:rFonts w:eastAsia="宋体"/>
          <w:vertAlign w:val="subscript"/>
        </w:rPr>
        <w:t>UL</w:t>
      </w:r>
      <w:r>
        <w:rPr>
          <w:rFonts w:eastAsia="宋体"/>
        </w:rPr>
        <w:t>)</w:t>
      </w:r>
    </w:p>
    <w:p>
      <w:pPr>
        <w:pStyle w:val="100"/>
      </w:pPr>
      <w:r>
        <w:t>NOTE 1:</w:t>
      </w:r>
      <w:r>
        <w:tab/>
      </w:r>
      <w:r>
        <w:t>Guard-band operation and in-band operation for NB-IoT are not supported in this version of the specification.</w:t>
      </w:r>
    </w:p>
    <w:p>
      <w:pPr>
        <w:pStyle w:val="100"/>
      </w:pPr>
      <w:r>
        <w:rPr>
          <w:rFonts w:cs="v5.0.0"/>
        </w:rPr>
        <w:t>NOTE 2:</w:t>
      </w:r>
      <w:r>
        <w:rPr>
          <w:rFonts w:cs="v5.0.0"/>
        </w:rPr>
        <w:tab/>
      </w:r>
      <w:r>
        <w:rPr>
          <w:rFonts w:cs="v5.0.0"/>
        </w:rPr>
        <w:t>F</w:t>
      </w:r>
      <w:r>
        <w:rPr>
          <w:lang w:eastAsia="zh-CN"/>
        </w:rPr>
        <w:t>or the carrier including NPSS/NSSS for stand-alone operation, M</w:t>
      </w:r>
      <w:r>
        <w:rPr>
          <w:sz w:val="15"/>
          <w:szCs w:val="15"/>
          <w:lang w:eastAsia="zh-CN"/>
        </w:rPr>
        <w:t>DL</w:t>
      </w:r>
      <w:r>
        <w:rPr>
          <w:lang w:eastAsia="zh-CN"/>
        </w:rPr>
        <w:t xml:space="preserve"> = </w:t>
      </w:r>
      <w:r>
        <w:rPr>
          <w:lang w:val="en-US" w:eastAsia="zh-CN"/>
        </w:rPr>
        <w:t>0</w:t>
      </w:r>
      <w:r>
        <w:rPr>
          <w:lang w:eastAsia="zh-CN"/>
        </w:rPr>
        <w:t>.</w:t>
      </w:r>
    </w:p>
    <w:p>
      <w:pPr>
        <w:pStyle w:val="5"/>
      </w:pPr>
      <w:bookmarkStart w:id="325" w:name="_Toc3438"/>
      <w:bookmarkStart w:id="326" w:name="_Toc7018"/>
      <w:bookmarkStart w:id="327" w:name="_Toc121162812"/>
      <w:bookmarkStart w:id="328" w:name="_Toc27231"/>
      <w:bookmarkStart w:id="329" w:name="_Toc10975"/>
      <w:bookmarkStart w:id="330" w:name="_Toc14339"/>
      <w:bookmarkStart w:id="331" w:name="_Toc3666"/>
      <w:bookmarkStart w:id="332" w:name="_Toc120570020"/>
      <w:bookmarkStart w:id="333" w:name="_Toc2"/>
      <w:r>
        <w:t>5.4B.3</w:t>
      </w:r>
      <w:r>
        <w:tab/>
      </w:r>
      <w:r>
        <w:t>TX–RX frequency separation</w:t>
      </w:r>
      <w:bookmarkEnd w:id="325"/>
      <w:bookmarkEnd w:id="326"/>
      <w:bookmarkEnd w:id="327"/>
      <w:bookmarkEnd w:id="328"/>
      <w:bookmarkEnd w:id="329"/>
      <w:bookmarkEnd w:id="330"/>
      <w:bookmarkEnd w:id="331"/>
      <w:bookmarkEnd w:id="332"/>
      <w:bookmarkEnd w:id="333"/>
      <w:r>
        <w:t xml:space="preserve"> </w:t>
      </w:r>
    </w:p>
    <w:p>
      <w:pPr>
        <w:rPr>
          <w:color w:val="2F5597" w:themeColor="accent1" w:themeShade="BF"/>
          <w:lang w:eastAsia="zh-TW"/>
        </w:rPr>
      </w:pPr>
      <w:r>
        <w:t xml:space="preserve">For UE category NB1/NB2 operation in stand-alone mode, the default TX-RX frequency separation shall be as specified in </w:t>
      </w:r>
      <w:r>
        <w:rPr>
          <w:rFonts w:hint="eastAsia"/>
          <w:lang w:eastAsia="zh-CN"/>
        </w:rPr>
        <w:t>Table</w:t>
      </w:r>
      <w:r>
        <w:t xml:space="preserve"> 5.4A.3-1 for the NB-IoT TX and RX channel bandwidth defined in Table 5.3B-1.</w:t>
      </w:r>
    </w:p>
    <w:p>
      <w:pPr>
        <w:pStyle w:val="3"/>
      </w:pPr>
      <w:bookmarkStart w:id="334" w:name="_Toc25459"/>
      <w:bookmarkStart w:id="335" w:name="_Toc1029"/>
      <w:bookmarkStart w:id="336" w:name="_Toc32344"/>
      <w:bookmarkStart w:id="337" w:name="_Toc15207"/>
      <w:bookmarkStart w:id="338" w:name="_Toc111062025"/>
      <w:bookmarkStart w:id="339" w:name="_Toc120570021"/>
      <w:bookmarkStart w:id="340" w:name="_Toc368026212"/>
      <w:bookmarkStart w:id="341" w:name="_Toc15054"/>
      <w:bookmarkStart w:id="342" w:name="_Toc121162813"/>
      <w:bookmarkStart w:id="343" w:name="_Toc20677"/>
      <w:bookmarkStart w:id="344" w:name="_Toc27702"/>
      <w:r>
        <w:t>6</w:t>
      </w:r>
      <w:r>
        <w:tab/>
      </w:r>
      <w:r>
        <w:t>Transmitter characteristics</w:t>
      </w:r>
      <w:bookmarkEnd w:id="334"/>
      <w:bookmarkEnd w:id="335"/>
      <w:bookmarkEnd w:id="336"/>
      <w:bookmarkEnd w:id="337"/>
      <w:bookmarkEnd w:id="338"/>
      <w:bookmarkEnd w:id="339"/>
      <w:bookmarkEnd w:id="340"/>
      <w:bookmarkEnd w:id="341"/>
      <w:bookmarkEnd w:id="342"/>
      <w:bookmarkEnd w:id="343"/>
      <w:bookmarkEnd w:id="344"/>
    </w:p>
    <w:p>
      <w:pPr>
        <w:pStyle w:val="4"/>
      </w:pPr>
      <w:bookmarkStart w:id="345" w:name="_Toc120570022"/>
      <w:bookmarkStart w:id="346" w:name="_Toc12762"/>
      <w:bookmarkStart w:id="347" w:name="_Toc368026213"/>
      <w:bookmarkStart w:id="348" w:name="_Toc18689"/>
      <w:bookmarkStart w:id="349" w:name="_Toc6397"/>
      <w:bookmarkStart w:id="350" w:name="_Toc23864"/>
      <w:bookmarkStart w:id="351" w:name="_Toc27631"/>
      <w:bookmarkStart w:id="352" w:name="_Toc31848"/>
      <w:bookmarkStart w:id="353" w:name="_Toc12328"/>
      <w:bookmarkStart w:id="354" w:name="_Toc121162814"/>
      <w:bookmarkStart w:id="355" w:name="_Toc111062026"/>
      <w:r>
        <w:t>6.1</w:t>
      </w:r>
      <w:r>
        <w:tab/>
      </w:r>
      <w:r>
        <w:t>General</w:t>
      </w:r>
      <w:bookmarkEnd w:id="345"/>
      <w:bookmarkEnd w:id="346"/>
      <w:bookmarkEnd w:id="347"/>
      <w:bookmarkEnd w:id="348"/>
      <w:bookmarkEnd w:id="349"/>
      <w:bookmarkEnd w:id="350"/>
      <w:bookmarkEnd w:id="351"/>
      <w:bookmarkEnd w:id="352"/>
      <w:bookmarkEnd w:id="353"/>
      <w:bookmarkEnd w:id="354"/>
      <w:bookmarkEnd w:id="355"/>
    </w:p>
    <w:p>
      <w:r>
        <w:t>Unless otherwise stated, the transmitter characteristics are specified at the antenna connector of the UE with a single transmit antenna. For UE with integral antenna only, a reference antenna with a gain of 0 dBi is assumed.</w:t>
      </w:r>
    </w:p>
    <w:p>
      <w:pPr>
        <w:rPr>
          <w:rFonts w:eastAsia="宋体"/>
          <w:lang w:eastAsia="zh-CN"/>
        </w:rPr>
      </w:pPr>
      <w:r>
        <w:rPr>
          <w:rFonts w:eastAsia="宋体"/>
          <w:lang w:eastAsia="zh-CN"/>
        </w:rPr>
        <w:t>All requirements in this section are applicable to devices supporting GSO and/or NGSO satellites.</w:t>
      </w:r>
    </w:p>
    <w:p>
      <w:r>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pPr>
        <w:rPr>
          <w:rFonts w:cs="v5.0.0"/>
          <w:color w:val="000000" w:themeColor="text1"/>
          <w14:textFill>
            <w14:solidFill>
              <w14:schemeClr w14:val="tx1"/>
            </w14:solidFill>
          </w14:textFill>
        </w:rPr>
      </w:pPr>
      <w:r>
        <w:t>For testing of category NB1 in all operation bands, standalone is used as default operation mode unless otherwise stated by the test case.</w:t>
      </w:r>
    </w:p>
    <w:p>
      <w:pPr>
        <w:pStyle w:val="4"/>
      </w:pPr>
      <w:bookmarkStart w:id="356" w:name="_Toc28867"/>
      <w:bookmarkStart w:id="357" w:name="_Toc9666"/>
      <w:bookmarkStart w:id="358" w:name="_Toc28045"/>
      <w:bookmarkStart w:id="359" w:name="_Toc6963"/>
      <w:bookmarkStart w:id="360" w:name="_Toc368026214"/>
      <w:bookmarkStart w:id="361" w:name="_Toc121162815"/>
      <w:bookmarkStart w:id="362" w:name="_Toc16503"/>
      <w:bookmarkStart w:id="363" w:name="_Toc17782"/>
      <w:bookmarkStart w:id="364" w:name="_Toc111062027"/>
      <w:bookmarkStart w:id="365" w:name="_Toc120570023"/>
      <w:bookmarkStart w:id="366" w:name="_Toc30305"/>
      <w:r>
        <w:t>6.2</w:t>
      </w:r>
      <w:r>
        <w:tab/>
      </w:r>
      <w:r>
        <w:t>Transmit power</w:t>
      </w:r>
      <w:bookmarkEnd w:id="356"/>
      <w:bookmarkEnd w:id="357"/>
      <w:bookmarkEnd w:id="358"/>
      <w:bookmarkEnd w:id="359"/>
      <w:bookmarkEnd w:id="360"/>
      <w:bookmarkEnd w:id="361"/>
      <w:bookmarkEnd w:id="362"/>
      <w:bookmarkEnd w:id="363"/>
      <w:bookmarkEnd w:id="364"/>
      <w:bookmarkEnd w:id="365"/>
      <w:bookmarkEnd w:id="366"/>
    </w:p>
    <w:p>
      <w:pPr>
        <w:pStyle w:val="4"/>
      </w:pPr>
      <w:bookmarkStart w:id="367" w:name="_Toc120570024"/>
      <w:bookmarkStart w:id="368" w:name="_Toc15250"/>
      <w:bookmarkStart w:id="369" w:name="_Toc30196"/>
      <w:bookmarkStart w:id="370" w:name="_Toc644"/>
      <w:bookmarkStart w:id="371" w:name="_Toc4390"/>
      <w:bookmarkStart w:id="372" w:name="_Toc121162816"/>
      <w:bookmarkStart w:id="373" w:name="_Toc22701"/>
      <w:bookmarkStart w:id="374" w:name="_Toc7190"/>
      <w:bookmarkStart w:id="375" w:name="_Toc13096"/>
      <w:r>
        <w:t>6.2A</w:t>
      </w:r>
      <w:r>
        <w:tab/>
      </w:r>
      <w:r>
        <w:t>Transmit power for category M1</w:t>
      </w:r>
      <w:bookmarkEnd w:id="367"/>
      <w:bookmarkEnd w:id="368"/>
      <w:bookmarkEnd w:id="369"/>
      <w:bookmarkEnd w:id="370"/>
      <w:bookmarkEnd w:id="371"/>
      <w:bookmarkEnd w:id="372"/>
      <w:bookmarkEnd w:id="373"/>
      <w:bookmarkEnd w:id="374"/>
      <w:bookmarkEnd w:id="375"/>
    </w:p>
    <w:p>
      <w:pPr>
        <w:pStyle w:val="5"/>
      </w:pPr>
      <w:bookmarkStart w:id="376" w:name="_Toc111062028"/>
      <w:bookmarkStart w:id="377" w:name="_Toc368026216"/>
      <w:bookmarkStart w:id="378" w:name="_Toc4140"/>
      <w:bookmarkStart w:id="379" w:name="_Toc120570025"/>
      <w:bookmarkStart w:id="380" w:name="_Toc4098"/>
      <w:bookmarkStart w:id="381" w:name="_Toc21744"/>
      <w:bookmarkStart w:id="382" w:name="_Toc31815"/>
      <w:bookmarkStart w:id="383" w:name="_Toc19899"/>
      <w:bookmarkStart w:id="384" w:name="_Toc459"/>
      <w:bookmarkStart w:id="385" w:name="_Toc13299"/>
      <w:bookmarkStart w:id="386" w:name="_Toc121162817"/>
      <w:r>
        <w:t>6.2A.1</w:t>
      </w:r>
      <w:r>
        <w:tab/>
      </w:r>
      <w:r>
        <w:rPr>
          <w:lang w:eastAsia="zh-CN"/>
        </w:rPr>
        <w:t xml:space="preserve">UE </w:t>
      </w:r>
      <w:r>
        <w:t>maximum output power</w:t>
      </w:r>
      <w:bookmarkEnd w:id="376"/>
      <w:bookmarkEnd w:id="377"/>
      <w:r>
        <w:t xml:space="preserve"> for category M1</w:t>
      </w:r>
      <w:bookmarkEnd w:id="378"/>
      <w:bookmarkEnd w:id="379"/>
      <w:bookmarkEnd w:id="380"/>
      <w:bookmarkEnd w:id="381"/>
      <w:bookmarkEnd w:id="382"/>
      <w:bookmarkEnd w:id="383"/>
      <w:bookmarkEnd w:id="384"/>
      <w:bookmarkEnd w:id="385"/>
      <w:bookmarkEnd w:id="386"/>
    </w:p>
    <w:p>
      <w:pPr>
        <w:pStyle w:val="112"/>
        <w:rPr>
          <w:i w:val="0"/>
          <w:iCs w:val="0"/>
          <w:lang w:val="en-US"/>
        </w:rPr>
      </w:pPr>
      <w:r>
        <w:rPr>
          <w:i w:val="0"/>
          <w:iCs w:val="0"/>
        </w:rPr>
        <w:t>Editor’s Note: Addition to applicability spec is pending.</w:t>
      </w:r>
    </w:p>
    <w:p>
      <w:pPr>
        <w:pStyle w:val="9"/>
      </w:pPr>
      <w:r>
        <w:t>6.2A.1.1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w:t>
      </w:r>
    </w:p>
    <w:p>
      <w:r>
        <w:t>An excess maximum output power has the possibility to interfere to other channels or other systems. A small maximum output power decreases the coverage area.</w:t>
      </w:r>
    </w:p>
    <w:p>
      <w:pPr>
        <w:pStyle w:val="9"/>
      </w:pPr>
      <w:r>
        <w:t>6.2A.1.2</w:t>
      </w:r>
      <w:r>
        <w:tab/>
      </w:r>
      <w:r>
        <w:t>Test applicability</w:t>
      </w:r>
    </w:p>
    <w:p>
      <w:r>
        <w:t>This test case applies to all types of E-UTRA UE release 17 and forward of UE category M1 that support satellite access operation.</w:t>
      </w:r>
    </w:p>
    <w:p>
      <w:pPr>
        <w:pStyle w:val="9"/>
      </w:pPr>
      <w:r>
        <w:t>6.2A.1.3</w:t>
      </w:r>
      <w:r>
        <w:tab/>
      </w:r>
      <w:r>
        <w:t>Minimum conformance requirements</w:t>
      </w:r>
    </w:p>
    <w:p>
      <w:r>
        <w:rPr>
          <w:rFonts w:cs="v5.0.0"/>
        </w:rPr>
        <w:t xml:space="preserve">The following UE Power Classes define the maximum output power for </w:t>
      </w:r>
      <w:r>
        <w:t>any transmission bandwidth within the channel bandwidth unless otherwise stated</w:t>
      </w:r>
      <w:r>
        <w:rPr>
          <w:rFonts w:cs="v5.0.0"/>
        </w:rPr>
        <w:t xml:space="preserve">. </w:t>
      </w:r>
      <w:r>
        <w:t>The period of measurement shall be at least one sub frame (1ms).</w:t>
      </w:r>
    </w:p>
    <w:p>
      <w:pPr>
        <w:pStyle w:val="113"/>
      </w:pPr>
      <w:bookmarkStart w:id="387" w:name="_Hlk68731558"/>
      <w:r>
        <w:t>Table 6.2A.1-1</w:t>
      </w:r>
      <w:bookmarkEnd w:id="387"/>
      <w:r>
        <w:t>: UE Power Class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008"/>
        <w:gridCol w:w="1067"/>
        <w:gridCol w:w="1008"/>
        <w:gridCol w:w="1067"/>
        <w:gridCol w:w="1008"/>
        <w:gridCol w:w="19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23" w:type="dxa"/>
            <w:vAlign w:val="center"/>
          </w:tcPr>
          <w:p>
            <w:pPr>
              <w:pStyle w:val="104"/>
              <w:rPr>
                <w:rFonts w:cs="Arial"/>
              </w:rPr>
            </w:pPr>
            <w:r>
              <w:rPr>
                <w:rFonts w:cs="Arial"/>
              </w:rPr>
              <w:t>EUTRA band</w:t>
            </w:r>
          </w:p>
        </w:tc>
        <w:tc>
          <w:tcPr>
            <w:tcW w:w="1008" w:type="dxa"/>
          </w:tcPr>
          <w:p>
            <w:pPr>
              <w:pStyle w:val="104"/>
              <w:rPr>
                <w:rFonts w:cs="Arial"/>
              </w:rPr>
            </w:pPr>
            <w:r>
              <w:rPr>
                <w:rFonts w:cs="Arial"/>
              </w:rPr>
              <w:t>Class 2</w:t>
            </w:r>
          </w:p>
          <w:p>
            <w:pPr>
              <w:pStyle w:val="104"/>
              <w:rPr>
                <w:rFonts w:cs="Arial"/>
              </w:rPr>
            </w:pPr>
            <w:r>
              <w:rPr>
                <w:rFonts w:cs="Arial"/>
              </w:rPr>
              <w:t>(dBm)</w:t>
            </w:r>
          </w:p>
        </w:tc>
        <w:tc>
          <w:tcPr>
            <w:tcW w:w="1067" w:type="dxa"/>
          </w:tcPr>
          <w:p>
            <w:pPr>
              <w:pStyle w:val="104"/>
              <w:rPr>
                <w:rFonts w:cs="Arial"/>
              </w:rPr>
            </w:pPr>
            <w:r>
              <w:rPr>
                <w:rFonts w:cs="Arial"/>
              </w:rPr>
              <w:t>Tolerance</w:t>
            </w:r>
          </w:p>
          <w:p>
            <w:pPr>
              <w:pStyle w:val="104"/>
              <w:rPr>
                <w:rFonts w:cs="Arial"/>
              </w:rPr>
            </w:pPr>
            <w:r>
              <w:rPr>
                <w:rFonts w:cs="Arial"/>
              </w:rPr>
              <w:t>(dB)</w:t>
            </w:r>
          </w:p>
        </w:tc>
        <w:tc>
          <w:tcPr>
            <w:tcW w:w="1008" w:type="dxa"/>
          </w:tcPr>
          <w:p>
            <w:pPr>
              <w:pStyle w:val="104"/>
              <w:rPr>
                <w:rFonts w:cs="Arial"/>
              </w:rPr>
            </w:pPr>
            <w:r>
              <w:rPr>
                <w:rFonts w:cs="Arial"/>
              </w:rPr>
              <w:t>Class 3 (dBm)</w:t>
            </w:r>
          </w:p>
        </w:tc>
        <w:tc>
          <w:tcPr>
            <w:tcW w:w="1067" w:type="dxa"/>
          </w:tcPr>
          <w:p>
            <w:pPr>
              <w:pStyle w:val="104"/>
              <w:rPr>
                <w:rFonts w:cs="Arial"/>
              </w:rPr>
            </w:pPr>
            <w:r>
              <w:rPr>
                <w:rFonts w:cs="Arial"/>
              </w:rPr>
              <w:t>Tolerance (dB)</w:t>
            </w:r>
          </w:p>
        </w:tc>
        <w:tc>
          <w:tcPr>
            <w:tcW w:w="1008" w:type="dxa"/>
          </w:tcPr>
          <w:p>
            <w:pPr>
              <w:pStyle w:val="104"/>
              <w:rPr>
                <w:rFonts w:cs="Arial"/>
              </w:rPr>
            </w:pPr>
            <w:r>
              <w:rPr>
                <w:rFonts w:cs="Arial"/>
              </w:rPr>
              <w:t>Class 5 (dBm)</w:t>
            </w:r>
          </w:p>
        </w:tc>
        <w:tc>
          <w:tcPr>
            <w:tcW w:w="1994" w:type="dxa"/>
          </w:tcPr>
          <w:p>
            <w:pPr>
              <w:pStyle w:val="104"/>
              <w:rPr>
                <w:rFonts w:cs="Arial"/>
              </w:rPr>
            </w:pPr>
            <w:r>
              <w:rPr>
                <w:rFonts w:cs="Arial"/>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cs="Arial"/>
                <w:lang w:eastAsia="zh-TW"/>
              </w:rPr>
              <w:t>256</w:t>
            </w:r>
          </w:p>
        </w:tc>
        <w:tc>
          <w:tcPr>
            <w:tcW w:w="1008" w:type="dxa"/>
          </w:tcPr>
          <w:p>
            <w:pPr>
              <w:pStyle w:val="105"/>
              <w:rPr>
                <w:rFonts w:cs="Arial"/>
              </w:rPr>
            </w:pPr>
          </w:p>
        </w:tc>
        <w:tc>
          <w:tcPr>
            <w:tcW w:w="1067" w:type="dxa"/>
          </w:tcPr>
          <w:p>
            <w:pPr>
              <w:pStyle w:val="105"/>
              <w:rPr>
                <w:rFonts w:cs="Arial"/>
              </w:rPr>
            </w:pPr>
          </w:p>
        </w:tc>
        <w:tc>
          <w:tcPr>
            <w:tcW w:w="1008" w:type="dxa"/>
          </w:tcPr>
          <w:p>
            <w:pPr>
              <w:pStyle w:val="105"/>
              <w:rPr>
                <w:rFonts w:cs="Arial"/>
              </w:rPr>
            </w:pPr>
            <w:r>
              <w:rPr>
                <w:rFonts w:cs="Arial"/>
              </w:rPr>
              <w:t>23</w:t>
            </w:r>
          </w:p>
        </w:tc>
        <w:tc>
          <w:tcPr>
            <w:tcW w:w="1067" w:type="dxa"/>
          </w:tcPr>
          <w:p>
            <w:pPr>
              <w:pStyle w:val="105"/>
              <w:rPr>
                <w:rFonts w:cs="Arial"/>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994" w:type="dxa"/>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tcBorders>
              <w:top w:val="single" w:color="auto" w:sz="4" w:space="0"/>
              <w:left w:val="single" w:color="auto" w:sz="4" w:space="0"/>
              <w:bottom w:val="single" w:color="auto" w:sz="4" w:space="0"/>
              <w:right w:val="single" w:color="auto" w:sz="4" w:space="0"/>
            </w:tcBorders>
            <w:vAlign w:val="center"/>
          </w:tcPr>
          <w:p>
            <w:pPr>
              <w:pStyle w:val="105"/>
              <w:ind w:firstLine="180" w:firstLineChars="100"/>
              <w:jc w:val="left"/>
              <w:rPr>
                <w:rFonts w:cs="Arial"/>
                <w:lang w:eastAsia="zh-TW"/>
              </w:rPr>
            </w:pPr>
            <w:r>
              <w:rPr>
                <w:rFonts w:cs="Arial"/>
                <w:lang w:eastAsia="zh-TW"/>
              </w:rPr>
              <w:t>255</w:t>
            </w:r>
          </w:p>
        </w:tc>
        <w:tc>
          <w:tcPr>
            <w:tcW w:w="1008"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1008"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23</w:t>
            </w: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w:t>
            </w:r>
          </w:p>
        </w:tc>
        <w:tc>
          <w:tcPr>
            <w:tcW w:w="1008" w:type="dxa"/>
            <w:tcBorders>
              <w:top w:val="single" w:color="auto" w:sz="4" w:space="0"/>
              <w:left w:val="single" w:color="auto" w:sz="4" w:space="0"/>
              <w:bottom w:val="single" w:color="auto" w:sz="4" w:space="0"/>
              <w:right w:val="single" w:color="auto" w:sz="4" w:space="0"/>
            </w:tcBorders>
          </w:tcPr>
          <w:p>
            <w:pPr>
              <w:pStyle w:val="105"/>
              <w:rPr>
                <w:rFonts w:cs="Arial"/>
                <w:lang w:eastAsia="zh-TW"/>
              </w:rPr>
            </w:pPr>
            <w:r>
              <w:rPr>
                <w:rFonts w:hint="eastAsia" w:cs="Arial"/>
                <w:lang w:eastAsia="zh-TW"/>
              </w:rPr>
              <w:t>2</w:t>
            </w:r>
            <w:r>
              <w:rPr>
                <w:rFonts w:cs="Arial"/>
                <w:lang w:eastAsia="zh-TW"/>
              </w:rPr>
              <w:t>0</w:t>
            </w:r>
          </w:p>
        </w:tc>
        <w:tc>
          <w:tcPr>
            <w:tcW w:w="1994" w:type="dxa"/>
            <w:tcBorders>
              <w:top w:val="single" w:color="auto" w:sz="4" w:space="0"/>
              <w:left w:val="single" w:color="auto" w:sz="4" w:space="0"/>
              <w:bottom w:val="single" w:color="auto" w:sz="4" w:space="0"/>
            </w:tcBorders>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75" w:type="dxa"/>
            <w:gridSpan w:val="7"/>
            <w:tcBorders>
              <w:top w:val="single" w:color="auto" w:sz="4" w:space="0"/>
              <w:left w:val="single" w:color="auto" w:sz="4" w:space="0"/>
              <w:bottom w:val="single" w:color="auto" w:sz="4" w:space="0"/>
            </w:tcBorders>
            <w:vAlign w:val="center"/>
          </w:tcPr>
          <w:p>
            <w:pPr>
              <w:pStyle w:val="118"/>
              <w:rPr>
                <w:rFonts w:cs="Arial"/>
              </w:rPr>
            </w:pPr>
            <w:r>
              <w:rPr>
                <w:rFonts w:cs="Arial"/>
              </w:rPr>
              <w:t>NOTE 1:</w:t>
            </w:r>
            <w:r>
              <w:rPr>
                <w:rFonts w:cs="Arial"/>
              </w:rPr>
              <w:tab/>
            </w:r>
            <w:r>
              <w:rPr>
                <w:rFonts w:cs="Arial"/>
              </w:rPr>
              <w:t>P</w:t>
            </w:r>
            <w:r>
              <w:rPr>
                <w:rFonts w:cs="Arial"/>
                <w:vertAlign w:val="subscript"/>
              </w:rPr>
              <w:t>PowerClass</w:t>
            </w:r>
            <w:r>
              <w:rPr>
                <w:rFonts w:cs="Arial"/>
              </w:rPr>
              <w:t xml:space="preserve"> is the maximum UE power specified without taking into account the tolerance</w:t>
            </w:r>
          </w:p>
        </w:tc>
      </w:tr>
    </w:tbl>
    <w:p/>
    <w:p>
      <w:r>
        <w:t>The normative reference for this requirement is TS 36.102 [11] clause 6.2.A.</w:t>
      </w:r>
    </w:p>
    <w:p>
      <w:pPr>
        <w:pStyle w:val="9"/>
      </w:pPr>
      <w:r>
        <w:t>6.2A.1.4</w:t>
      </w:r>
      <w:r>
        <w:tab/>
      </w:r>
      <w:r>
        <w:t>Test description</w:t>
      </w:r>
    </w:p>
    <w:p>
      <w:pPr>
        <w:pStyle w:val="9"/>
        <w:rPr>
          <w:sz w:val="22"/>
        </w:rPr>
      </w:pPr>
      <w:r>
        <w:t>6.2A.1.4.1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Annexe A.2. Configurations of PDSCH and MPDCCH before measurement are specified in Annex C.2.</w:t>
      </w:r>
    </w:p>
    <w:p>
      <w:pPr>
        <w:pStyle w:val="113"/>
        <w:rPr>
          <w:lang w:eastAsia="zh-CN"/>
        </w:rPr>
      </w:pPr>
      <w:r>
        <w:t>Table 6.2A.1.4.1-1: Test Configuration T</w:t>
      </w:r>
      <w:r>
        <w:rPr>
          <w:lang w:eastAsia="zh-CN"/>
        </w:rPr>
        <w:t>able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24"/>
        <w:gridCol w:w="1403"/>
        <w:gridCol w:w="1881"/>
        <w:gridCol w:w="988"/>
        <w:gridCol w:w="2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22" w:type="dxa"/>
            <w:gridSpan w:val="5"/>
            <w:shd w:val="clear" w:color="auto" w:fill="auto"/>
          </w:tcPr>
          <w:p>
            <w:pPr>
              <w:pStyle w:val="104"/>
              <w:rPr>
                <w:rFonts w:eastAsia="Calibri"/>
              </w:rPr>
            </w:pPr>
            <w:r>
              <w:rPr>
                <w:rFonts w:eastAsia="Calibri"/>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327" w:type="dxa"/>
            <w:gridSpan w:val="2"/>
            <w:shd w:val="clear" w:color="auto" w:fill="auto"/>
          </w:tcPr>
          <w:p>
            <w:pPr>
              <w:pStyle w:val="103"/>
              <w:rPr>
                <w:rFonts w:eastAsia="Calibri"/>
              </w:rPr>
            </w:pPr>
            <w:r>
              <w:rPr>
                <w:rFonts w:eastAsia="Calibri"/>
              </w:rPr>
              <w:t>Test Environment as specified in TS 36.508 [12] subclause 4.1</w:t>
            </w:r>
          </w:p>
        </w:tc>
        <w:tc>
          <w:tcPr>
            <w:tcW w:w="5295" w:type="dxa"/>
            <w:gridSpan w:val="3"/>
            <w:shd w:val="clear" w:color="auto" w:fill="auto"/>
          </w:tcPr>
          <w:p>
            <w:pPr>
              <w:pStyle w:val="103"/>
              <w:rPr>
                <w:rFonts w:eastAsia="Calibri"/>
              </w:rPr>
            </w:pPr>
            <w:r>
              <w:rPr>
                <w:rFonts w:eastAsia="Calibri"/>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327" w:type="dxa"/>
            <w:gridSpan w:val="2"/>
            <w:shd w:val="clear" w:color="auto" w:fill="auto"/>
          </w:tcPr>
          <w:p>
            <w:pPr>
              <w:pStyle w:val="103"/>
              <w:rPr>
                <w:rFonts w:eastAsia="Calibri"/>
              </w:rPr>
            </w:pPr>
            <w:r>
              <w:rPr>
                <w:rFonts w:eastAsia="Calibri"/>
              </w:rPr>
              <w:t>Test Frequencies as specified in TS 36.508 [12] subclause 4.3.1</w:t>
            </w:r>
          </w:p>
        </w:tc>
        <w:tc>
          <w:tcPr>
            <w:tcW w:w="5295" w:type="dxa"/>
            <w:gridSpan w:val="3"/>
            <w:shd w:val="clear" w:color="auto" w:fill="auto"/>
          </w:tcPr>
          <w:p>
            <w:pPr>
              <w:pStyle w:val="103"/>
              <w:rPr>
                <w:rFonts w:eastAsia="Calibri"/>
              </w:rPr>
            </w:pPr>
            <w:r>
              <w:rPr>
                <w:rFonts w:eastAsia="Calibri"/>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327" w:type="dxa"/>
            <w:gridSpan w:val="2"/>
            <w:shd w:val="clear" w:color="auto" w:fill="auto"/>
          </w:tcPr>
          <w:p>
            <w:pPr>
              <w:pStyle w:val="103"/>
              <w:rPr>
                <w:rFonts w:eastAsia="Calibri"/>
              </w:rPr>
            </w:pPr>
            <w:r>
              <w:rPr>
                <w:rFonts w:eastAsia="Calibri"/>
              </w:rPr>
              <w:t>Test Channel Bandwidths as specified in TS 36.508 [12] subclause 4.3.1</w:t>
            </w:r>
          </w:p>
        </w:tc>
        <w:tc>
          <w:tcPr>
            <w:tcW w:w="5295" w:type="dxa"/>
            <w:gridSpan w:val="3"/>
            <w:shd w:val="clear" w:color="auto" w:fill="auto"/>
          </w:tcPr>
          <w:p>
            <w:pPr>
              <w:pStyle w:val="103"/>
              <w:rPr>
                <w:rFonts w:eastAsia="Calibri"/>
              </w:rPr>
            </w:pPr>
            <w:r>
              <w:rPr>
                <w:rFonts w:eastAsia="Calibri"/>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22" w:type="dxa"/>
            <w:gridSpan w:val="5"/>
            <w:shd w:val="clear" w:color="auto" w:fill="auto"/>
          </w:tcPr>
          <w:p>
            <w:pPr>
              <w:pStyle w:val="104"/>
              <w:rPr>
                <w:rFonts w:eastAsia="Calibri"/>
              </w:rPr>
            </w:pPr>
            <w:r>
              <w:rPr>
                <w:rFonts w:eastAsia="Calibri"/>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924" w:type="dxa"/>
            <w:tcBorders>
              <w:bottom w:val="single" w:color="auto" w:sz="4" w:space="0"/>
            </w:tcBorders>
            <w:shd w:val="clear" w:color="auto" w:fill="auto"/>
          </w:tcPr>
          <w:p>
            <w:pPr>
              <w:pStyle w:val="105"/>
            </w:pPr>
          </w:p>
        </w:tc>
        <w:tc>
          <w:tcPr>
            <w:tcW w:w="3284" w:type="dxa"/>
            <w:gridSpan w:val="2"/>
            <w:tcBorders>
              <w:bottom w:val="single" w:color="auto" w:sz="4" w:space="0"/>
            </w:tcBorders>
            <w:shd w:val="clear" w:color="auto" w:fill="auto"/>
          </w:tcPr>
          <w:p>
            <w:pPr>
              <w:pStyle w:val="104"/>
              <w:rPr>
                <w:rFonts w:eastAsia="Calibri"/>
              </w:rPr>
            </w:pPr>
            <w:r>
              <w:rPr>
                <w:rFonts w:eastAsia="Calibri"/>
              </w:rPr>
              <w:t>Downlink Configuration</w:t>
            </w:r>
          </w:p>
        </w:tc>
        <w:tc>
          <w:tcPr>
            <w:tcW w:w="3414" w:type="dxa"/>
            <w:gridSpan w:val="2"/>
            <w:shd w:val="clear" w:color="auto" w:fill="auto"/>
          </w:tcPr>
          <w:p>
            <w:pPr>
              <w:pStyle w:val="104"/>
              <w:rPr>
                <w:rFonts w:eastAsia="Calibri"/>
              </w:rPr>
            </w:pPr>
            <w:r>
              <w:rPr>
                <w:rFonts w:eastAsia="Calibri"/>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924" w:type="dxa"/>
            <w:tcBorders>
              <w:bottom w:val="nil"/>
            </w:tcBorders>
            <w:shd w:val="clear" w:color="auto" w:fill="auto"/>
          </w:tcPr>
          <w:p>
            <w:pPr>
              <w:pStyle w:val="104"/>
              <w:rPr>
                <w:rFonts w:eastAsia="Calibri"/>
              </w:rPr>
            </w:pPr>
            <w:r>
              <w:rPr>
                <w:rFonts w:eastAsia="Calibri"/>
              </w:rPr>
              <w:t>Ch BW</w:t>
            </w:r>
          </w:p>
        </w:tc>
        <w:tc>
          <w:tcPr>
            <w:tcW w:w="3284" w:type="dxa"/>
            <w:gridSpan w:val="2"/>
            <w:tcBorders>
              <w:bottom w:val="nil"/>
            </w:tcBorders>
            <w:shd w:val="clear" w:color="auto" w:fill="auto"/>
          </w:tcPr>
          <w:p>
            <w:pPr>
              <w:pStyle w:val="105"/>
              <w:rPr>
                <w:rFonts w:eastAsia="Calibri"/>
              </w:rPr>
            </w:pPr>
            <w:r>
              <w:rPr>
                <w:rFonts w:eastAsia="Calibri"/>
              </w:rPr>
              <w:t>N/A for Max UE output power testing</w:t>
            </w:r>
          </w:p>
        </w:tc>
        <w:tc>
          <w:tcPr>
            <w:tcW w:w="988" w:type="dxa"/>
            <w:tcBorders>
              <w:bottom w:val="nil"/>
            </w:tcBorders>
            <w:shd w:val="clear" w:color="auto" w:fill="auto"/>
          </w:tcPr>
          <w:p>
            <w:pPr>
              <w:pStyle w:val="104"/>
              <w:rPr>
                <w:rFonts w:eastAsia="Calibri"/>
              </w:rPr>
            </w:pPr>
            <w:r>
              <w:rPr>
                <w:rFonts w:eastAsia="Calibri"/>
              </w:rPr>
              <w:t>Mod'n</w:t>
            </w:r>
          </w:p>
        </w:tc>
        <w:tc>
          <w:tcPr>
            <w:tcW w:w="2426" w:type="dxa"/>
            <w:shd w:val="clear" w:color="auto" w:fill="auto"/>
          </w:tcPr>
          <w:p>
            <w:pPr>
              <w:pStyle w:val="104"/>
              <w:rPr>
                <w:rFonts w:eastAsia="Calibri"/>
              </w:rPr>
            </w:pPr>
            <w:r>
              <w:rPr>
                <w:rFonts w:eastAsia="Calibri"/>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924" w:type="dxa"/>
            <w:tcBorders>
              <w:top w:val="nil"/>
            </w:tcBorders>
            <w:shd w:val="clear" w:color="auto" w:fill="auto"/>
          </w:tcPr>
          <w:p>
            <w:pPr>
              <w:pStyle w:val="104"/>
              <w:rPr>
                <w:rFonts w:eastAsia="Calibri"/>
              </w:rPr>
            </w:pPr>
          </w:p>
        </w:tc>
        <w:tc>
          <w:tcPr>
            <w:tcW w:w="3284" w:type="dxa"/>
            <w:gridSpan w:val="2"/>
            <w:tcBorders>
              <w:top w:val="nil"/>
              <w:bottom w:val="nil"/>
            </w:tcBorders>
            <w:shd w:val="clear" w:color="auto" w:fill="auto"/>
          </w:tcPr>
          <w:p>
            <w:pPr>
              <w:pStyle w:val="105"/>
              <w:rPr>
                <w:rFonts w:eastAsia="Calibri"/>
              </w:rPr>
            </w:pPr>
          </w:p>
        </w:tc>
        <w:tc>
          <w:tcPr>
            <w:tcW w:w="988" w:type="dxa"/>
            <w:tcBorders>
              <w:top w:val="nil"/>
            </w:tcBorders>
            <w:shd w:val="clear" w:color="auto" w:fill="auto"/>
          </w:tcPr>
          <w:p>
            <w:pPr>
              <w:pStyle w:val="104"/>
              <w:rPr>
                <w:rFonts w:eastAsia="Calibri"/>
              </w:rPr>
            </w:pPr>
          </w:p>
        </w:tc>
        <w:tc>
          <w:tcPr>
            <w:tcW w:w="2426" w:type="dxa"/>
            <w:shd w:val="clear" w:color="auto" w:fill="auto"/>
          </w:tcPr>
          <w:p>
            <w:pPr>
              <w:pStyle w:val="104"/>
              <w:rPr>
                <w:rFonts w:eastAsia="Calibri"/>
              </w:rPr>
            </w:pPr>
            <w:r>
              <w:rPr>
                <w:rFonts w:eastAsia="Calibri"/>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924" w:type="dxa"/>
            <w:shd w:val="clear" w:color="auto" w:fill="auto"/>
          </w:tcPr>
          <w:p>
            <w:pPr>
              <w:pStyle w:val="105"/>
              <w:rPr>
                <w:rFonts w:eastAsia="Calibri"/>
              </w:rPr>
            </w:pPr>
            <w:r>
              <w:rPr>
                <w:rFonts w:eastAsia="Calibri"/>
              </w:rPr>
              <w:t>1.4MHz</w:t>
            </w:r>
          </w:p>
        </w:tc>
        <w:tc>
          <w:tcPr>
            <w:tcW w:w="3284" w:type="dxa"/>
            <w:gridSpan w:val="2"/>
            <w:tcBorders>
              <w:top w:val="nil"/>
              <w:bottom w:val="nil"/>
            </w:tcBorders>
            <w:shd w:val="clear" w:color="auto" w:fill="auto"/>
          </w:tcPr>
          <w:p>
            <w:pPr>
              <w:pStyle w:val="105"/>
              <w:rPr>
                <w:rFonts w:eastAsia="Calibri"/>
              </w:rPr>
            </w:pPr>
          </w:p>
        </w:tc>
        <w:tc>
          <w:tcPr>
            <w:tcW w:w="988" w:type="dxa"/>
            <w:shd w:val="clear" w:color="auto" w:fill="auto"/>
          </w:tcPr>
          <w:p>
            <w:pPr>
              <w:pStyle w:val="105"/>
              <w:rPr>
                <w:rFonts w:eastAsia="Calibri"/>
              </w:rPr>
            </w:pPr>
            <w:r>
              <w:rPr>
                <w:rFonts w:eastAsia="Calibri"/>
              </w:rPr>
              <w:t>QPSK</w:t>
            </w:r>
          </w:p>
        </w:tc>
        <w:tc>
          <w:tcPr>
            <w:tcW w:w="2426" w:type="dxa"/>
            <w:shd w:val="clear" w:color="auto" w:fill="auto"/>
          </w:tcPr>
          <w:p>
            <w:pPr>
              <w:pStyle w:val="105"/>
              <w:rPr>
                <w:rFonts w:eastAsia="Calibri"/>
              </w:rPr>
            </w:pPr>
            <w:r>
              <w:rPr>
                <w:rFonts w:eastAsia="Calibri"/>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924" w:type="dxa"/>
            <w:shd w:val="clear" w:color="auto" w:fill="auto"/>
          </w:tcPr>
          <w:p>
            <w:pPr>
              <w:pStyle w:val="105"/>
              <w:rPr>
                <w:rFonts w:eastAsia="Calibri"/>
              </w:rPr>
            </w:pPr>
            <w:r>
              <w:rPr>
                <w:rFonts w:eastAsia="Calibri"/>
              </w:rPr>
              <w:t>1.4MHz</w:t>
            </w:r>
          </w:p>
        </w:tc>
        <w:tc>
          <w:tcPr>
            <w:tcW w:w="3284" w:type="dxa"/>
            <w:gridSpan w:val="2"/>
            <w:tcBorders>
              <w:top w:val="nil"/>
              <w:bottom w:val="nil"/>
            </w:tcBorders>
            <w:shd w:val="clear" w:color="auto" w:fill="auto"/>
          </w:tcPr>
          <w:p>
            <w:pPr>
              <w:pStyle w:val="105"/>
              <w:rPr>
                <w:rFonts w:eastAsia="Calibri"/>
              </w:rPr>
            </w:pPr>
          </w:p>
        </w:tc>
        <w:tc>
          <w:tcPr>
            <w:tcW w:w="988" w:type="dxa"/>
            <w:shd w:val="clear" w:color="auto" w:fill="auto"/>
          </w:tcPr>
          <w:p>
            <w:pPr>
              <w:pStyle w:val="105"/>
              <w:rPr>
                <w:rFonts w:eastAsia="Calibri"/>
              </w:rPr>
            </w:pPr>
            <w:r>
              <w:rPr>
                <w:rFonts w:eastAsia="Calibri"/>
              </w:rPr>
              <w:t>QPSK</w:t>
            </w:r>
          </w:p>
        </w:tc>
        <w:tc>
          <w:tcPr>
            <w:tcW w:w="2426" w:type="dxa"/>
            <w:shd w:val="clear" w:color="auto" w:fill="auto"/>
          </w:tcPr>
          <w:p>
            <w:pPr>
              <w:pStyle w:val="105"/>
              <w:rPr>
                <w:rFonts w:eastAsia="Calibri"/>
              </w:rPr>
            </w:pPr>
            <w:r>
              <w:rPr>
                <w:rFonts w:hint="eastAsia" w:eastAsia="Calibri"/>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22" w:type="dxa"/>
            <w:gridSpan w:val="5"/>
            <w:shd w:val="clear" w:color="auto" w:fill="auto"/>
          </w:tcPr>
          <w:p>
            <w:pPr>
              <w:pStyle w:val="118"/>
              <w:rPr>
                <w:rFonts w:eastAsia="Calibri"/>
              </w:rPr>
            </w:pPr>
            <w:r>
              <w:rPr>
                <w:rFonts w:eastAsia="Calibri"/>
              </w:rPr>
              <w:t>NOTE 1:</w:t>
            </w:r>
            <w:r>
              <w:rPr>
                <w:rFonts w:eastAsia="Calibri"/>
              </w:rPr>
              <w:tab/>
            </w:r>
            <w:r>
              <w:rPr>
                <w:rFonts w:eastAsia="Calibri"/>
              </w:rPr>
              <w:t>Test Channel Bandwidth is checked separately for each E-UTRA satellite access band, the applicable channel bandwidths are specified in Table 5.3A-1.</w:t>
            </w:r>
          </w:p>
          <w:p>
            <w:pPr>
              <w:pStyle w:val="118"/>
              <w:rPr>
                <w:rFonts w:eastAsia="Calibri" w:cs="Arial"/>
                <w:szCs w:val="18"/>
              </w:rPr>
            </w:pPr>
            <w:r>
              <w:rPr>
                <w:rFonts w:eastAsia="Calibri"/>
              </w:rPr>
              <w:t>NOTE 2:</w:t>
            </w:r>
            <w:r>
              <w:rPr>
                <w:rFonts w:eastAsia="Calibri"/>
              </w:rPr>
              <w:tab/>
            </w:r>
            <w:r>
              <w:rPr>
                <w:rFonts w:eastAsia="Calibri" w:cs="Arial"/>
                <w:szCs w:val="18"/>
              </w:rPr>
              <w:t xml:space="preserve">The 1 RB allocation shall be tested at RB#0 with narrowband index 0 for low and mid range, RB #5 with max narrowband index for high range test frequency. </w:t>
            </w:r>
          </w:p>
          <w:p>
            <w:pPr>
              <w:pStyle w:val="118"/>
              <w:rPr>
                <w:rFonts w:eastAsia="Calibri"/>
              </w:rPr>
            </w:pPr>
            <w:r>
              <w:rPr>
                <w:rFonts w:eastAsia="Calibri"/>
              </w:rPr>
              <w:t>NOTE 3:</w:t>
            </w:r>
            <w:r>
              <w:rPr>
                <w:rFonts w:eastAsia="Calibri"/>
              </w:rPr>
              <w:tab/>
            </w:r>
            <w:r>
              <w:rPr>
                <w:rFonts w:eastAsia="Calibri" w:cs="Arial"/>
                <w:szCs w:val="18"/>
              </w:rPr>
              <w:t>The RBstart of non-1RB allocation shall be RB #0 with narrowband index 0 for low and mid range, RB# (6 - RB allocation) with max narrowband index for high range test frequency.</w:t>
            </w:r>
          </w:p>
        </w:tc>
      </w:tr>
    </w:tbl>
    <w:p>
      <w:pPr>
        <w:rPr>
          <w:lang w:eastAsia="zh-CN"/>
        </w:rPr>
      </w:pP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6.2A.4.1-1.</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Annex B.0.</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w:t>
      </w:r>
      <w:r>
        <w:rPr>
          <w:rFonts w:eastAsia="Malgun Gothic"/>
          <w:lang w:eastAsia="en-GB"/>
        </w:rPr>
        <w:t>5</w:t>
      </w:r>
      <w:r>
        <w:rPr>
          <w:rFonts w:hint="eastAsia" w:eastAsia="Malgun Gothic"/>
          <w:lang w:eastAsia="en-GB"/>
        </w:rPr>
        <w:t>.</w:t>
      </w:r>
      <w:r>
        <w:rPr>
          <w:rFonts w:eastAsia="Malgun Gothic"/>
          <w:lang w:eastAsia="en-GB"/>
        </w:rPr>
        <w:t>6.1</w:t>
      </w:r>
      <w:r>
        <w:rPr>
          <w:rFonts w:hint="eastAsia" w:eastAsia="Malgun Gothic"/>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eastAsia="Malgun Gothic"/>
          <w:lang w:eastAsia="en-GB"/>
        </w:rPr>
        <w:t>7.</w:t>
      </w:r>
      <w:r>
        <w:rPr>
          <w:rFonts w:hint="eastAsia" w:eastAsia="Malgun Gothic"/>
          <w:lang w:eastAsia="en-GB"/>
        </w:rPr>
        <w:tab/>
      </w:r>
      <w:r>
        <w:t>Test equipment shall emulat</w:t>
      </w:r>
      <w:r>
        <w:rPr>
          <w:color w:val="000000" w:themeColor="text1"/>
          <w14:textFill>
            <w14:solidFill>
              <w14:schemeClr w14:val="tx1"/>
            </w14:solidFill>
          </w14:textFill>
        </w:rPr>
        <w:t xml:space="preserve">e </w:t>
      </w:r>
      <w:r>
        <w:rPr>
          <w:color w:val="000000" w:themeColor="text1"/>
          <w:lang w:eastAsia="en-GB"/>
          <w14:textFill>
            <w14:solidFill>
              <w14:schemeClr w14:val="tx1"/>
            </w14:solidFill>
          </w14:textFill>
        </w:rPr>
        <w:t>the signal with doppler and delay according to ephemeris defined in TS 36.508 [12] table 5.6.2.1-1 for GSO if UE supports only GSO or both GSO and NGSO satellites and table 5.6.2.1-3 for NGSO (LEO-1200) if UE supports only NGSO satellites</w:t>
      </w:r>
      <w:r>
        <w:rPr>
          <w:color w:val="000000" w:themeColor="text1"/>
          <w14:textFill>
            <w14:solidFill>
              <w14:schemeClr w14:val="tx1"/>
            </w14:solidFill>
          </w14:textFill>
        </w:rPr>
        <w:t>. T</w:t>
      </w:r>
      <w:r>
        <w:t>est system shall send same SIB31 information during the duration of the test as define in TS 36.508[12] clause 5</w:t>
      </w:r>
      <w:r>
        <w:rPr>
          <w:rFonts w:hint="eastAsia"/>
        </w:rPr>
        <w:t>.6.</w:t>
      </w:r>
      <w:r>
        <w:t>3</w:t>
      </w:r>
      <w:r>
        <w:rPr>
          <w:rFonts w:hint="eastAsia"/>
        </w:rPr>
        <w:t>.1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rFonts w:eastAsia="Malgun Gothic"/>
          <w:lang w:eastAsia="en-GB"/>
        </w:rPr>
        <w:t>8.</w:t>
      </w:r>
      <w:r>
        <w:tab/>
      </w:r>
      <w:r>
        <w:t>Deactivate UE prediction of satellite trajectory by any preconfigured means</w:t>
      </w:r>
      <w:r>
        <w:rPr>
          <w:rFonts w:hint="eastAsia" w:eastAsia="宋体"/>
          <w:lang w:val="en-US" w:eastAsia="zh-CN"/>
        </w:rPr>
        <w:t>.</w:t>
      </w:r>
    </w:p>
    <w:p>
      <w:pPr>
        <w:pStyle w:val="111"/>
        <w:rPr>
          <w:rFonts w:eastAsia="Malgun Gothic"/>
          <w:lang w:eastAsia="en-GB"/>
        </w:rPr>
      </w:pPr>
      <w:r>
        <w:t>9</w:t>
      </w:r>
      <w:r>
        <w:rPr>
          <w:rFonts w:hint="eastAsia" w:eastAsia="Malgun Gothic"/>
          <w:lang w:eastAsia="en-GB"/>
        </w:rPr>
        <w:t>.</w:t>
      </w:r>
      <w:r>
        <w:rPr>
          <w:rFonts w:hint="eastAsia" w:eastAsia="Malgun Gothic"/>
          <w:lang w:eastAsia="en-GB"/>
        </w:rPr>
        <w:tab/>
      </w:r>
      <w:r>
        <w:rPr>
          <w:rFonts w:eastAsia="Malgun Gothic"/>
          <w:lang w:eastAsia="en-GB"/>
        </w:rPr>
        <w:t>Ensure the UE is in State 3A-RF-CE according to TS 36.508 [12] clause 5.2A.2AA. Message contents are defined in clause 6.2A.4.3.</w:t>
      </w:r>
    </w:p>
    <w:p>
      <w:pPr>
        <w:pStyle w:val="111"/>
        <w:overflowPunct w:val="0"/>
        <w:autoSpaceDE w:val="0"/>
        <w:autoSpaceDN w:val="0"/>
        <w:adjustRightInd w:val="0"/>
        <w:contextualSpacing w:val="0"/>
        <w:textAlignment w:val="baseline"/>
        <w:rPr>
          <w:rFonts w:eastAsia="Malgun Gothic"/>
          <w:lang w:eastAsia="en-GB"/>
        </w:rPr>
      </w:pPr>
    </w:p>
    <w:p>
      <w:pPr>
        <w:pStyle w:val="9"/>
        <w:rPr>
          <w:sz w:val="22"/>
        </w:rPr>
      </w:pPr>
      <w:r>
        <w:t>6.2A.1.4.2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SS sends uplink scheduling information for each UL HARQ process via MPDCCH DCI format 6-0A for C_RNTI to schedule the UL RMC according to Table 6.2A.4.1-1.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Measure the mean power of the UE in the channel bandwidth of the radio access mode. The period of measurement shall be at least the continuous duration of one sub-frame (1ms). For HD-FDD slots with transient periods and Half-duplex guard subframe are not under test.</w:t>
      </w:r>
    </w:p>
    <w:p>
      <w:pPr>
        <w:pStyle w:val="9"/>
      </w:pPr>
      <w:r>
        <w:t>6.2A.1.4.3</w:t>
      </w:r>
      <w:r>
        <w:tab/>
      </w:r>
      <w:r>
        <w:rPr>
          <w:snapToGrid w:val="0"/>
        </w:rPr>
        <w:t>Message contents</w:t>
      </w:r>
    </w:p>
    <w:p>
      <w:r>
        <w:t>Message contents are according to TS 36.508 [12] subclause 4.6.</w:t>
      </w:r>
    </w:p>
    <w:p>
      <w:pPr>
        <w:pStyle w:val="9"/>
      </w:pPr>
      <w:r>
        <w:t>6.2A.1.5</w:t>
      </w:r>
      <w:r>
        <w:tab/>
      </w:r>
      <w:r>
        <w:t>Test requirements</w:t>
      </w:r>
    </w:p>
    <w:p>
      <w:r>
        <w:t>The maximum output power derived in step 3 shall be within the range prescribed by the nominal maximum output power and tolerance in Table 6.2A.5-1.</w:t>
      </w:r>
    </w:p>
    <w:p>
      <w:pPr>
        <w:pStyle w:val="113"/>
      </w:pPr>
      <w:r>
        <w:t>Table 6.2A.1.5-1: UE Power Class test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4"/>
        <w:gridCol w:w="794"/>
        <w:gridCol w:w="1067"/>
        <w:gridCol w:w="795"/>
        <w:gridCol w:w="1067"/>
        <w:gridCol w:w="795"/>
        <w:gridCol w:w="1067"/>
        <w:gridCol w:w="1040"/>
        <w:gridCol w:w="10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Align w:val="center"/>
          </w:tcPr>
          <w:p>
            <w:pPr>
              <w:pStyle w:val="104"/>
              <w:rPr>
                <w:rFonts w:cs="Arial"/>
              </w:rPr>
            </w:pPr>
            <w:r>
              <w:rPr>
                <w:rFonts w:cs="Arial"/>
              </w:rPr>
              <w:t>EUTRA band</w:t>
            </w:r>
          </w:p>
        </w:tc>
        <w:tc>
          <w:tcPr>
            <w:tcW w:w="794" w:type="dxa"/>
          </w:tcPr>
          <w:p>
            <w:pPr>
              <w:pStyle w:val="104"/>
              <w:rPr>
                <w:rFonts w:cs="Arial"/>
              </w:rPr>
            </w:pPr>
            <w:r>
              <w:rPr>
                <w:rFonts w:cs="Arial"/>
              </w:rPr>
              <w:t>Class 2 (dBm)</w:t>
            </w:r>
          </w:p>
        </w:tc>
        <w:tc>
          <w:tcPr>
            <w:tcW w:w="1067" w:type="dxa"/>
          </w:tcPr>
          <w:p>
            <w:pPr>
              <w:pStyle w:val="104"/>
              <w:rPr>
                <w:rFonts w:cs="Arial"/>
              </w:rPr>
            </w:pPr>
            <w:r>
              <w:rPr>
                <w:rFonts w:cs="Arial"/>
              </w:rPr>
              <w:t>Tolerance (dB)</w:t>
            </w:r>
          </w:p>
        </w:tc>
        <w:tc>
          <w:tcPr>
            <w:tcW w:w="795" w:type="dxa"/>
          </w:tcPr>
          <w:p>
            <w:pPr>
              <w:pStyle w:val="104"/>
              <w:rPr>
                <w:rFonts w:cs="Arial"/>
              </w:rPr>
            </w:pPr>
            <w:r>
              <w:rPr>
                <w:rFonts w:cs="Arial"/>
              </w:rPr>
              <w:t>Class 3 (dBm)</w:t>
            </w:r>
          </w:p>
        </w:tc>
        <w:tc>
          <w:tcPr>
            <w:tcW w:w="1067" w:type="dxa"/>
          </w:tcPr>
          <w:p>
            <w:pPr>
              <w:pStyle w:val="104"/>
              <w:rPr>
                <w:rFonts w:cs="Arial"/>
              </w:rPr>
            </w:pPr>
            <w:r>
              <w:rPr>
                <w:rFonts w:cs="Arial"/>
              </w:rPr>
              <w:t>Tolerance (dB)</w:t>
            </w:r>
          </w:p>
        </w:tc>
        <w:tc>
          <w:tcPr>
            <w:tcW w:w="795" w:type="dxa"/>
          </w:tcPr>
          <w:p>
            <w:pPr>
              <w:pStyle w:val="104"/>
              <w:rPr>
                <w:rFonts w:cs="Arial"/>
              </w:rPr>
            </w:pPr>
            <w:r>
              <w:rPr>
                <w:rFonts w:cs="Arial"/>
              </w:rPr>
              <w:t>Class 5 (dBm)</w:t>
            </w:r>
          </w:p>
        </w:tc>
        <w:tc>
          <w:tcPr>
            <w:tcW w:w="1067" w:type="dxa"/>
          </w:tcPr>
          <w:p>
            <w:pPr>
              <w:pStyle w:val="104"/>
              <w:rPr>
                <w:rFonts w:cs="Arial"/>
              </w:rPr>
            </w:pPr>
            <w:r>
              <w:rPr>
                <w:rFonts w:cs="Arial"/>
              </w:rPr>
              <w:t>Tolerance (dB)</w:t>
            </w:r>
          </w:p>
        </w:tc>
        <w:tc>
          <w:tcPr>
            <w:tcW w:w="1040" w:type="dxa"/>
          </w:tcPr>
          <w:p>
            <w:pPr>
              <w:pStyle w:val="104"/>
              <w:rPr>
                <w:rFonts w:cs="Arial"/>
              </w:rPr>
            </w:pPr>
            <w:r>
              <w:rPr>
                <w:rFonts w:cs="Arial"/>
              </w:rPr>
              <w:t>Class 6 (dBm)</w:t>
            </w:r>
          </w:p>
        </w:tc>
        <w:tc>
          <w:tcPr>
            <w:tcW w:w="1067" w:type="dxa"/>
          </w:tcPr>
          <w:p>
            <w:pPr>
              <w:pStyle w:val="104"/>
              <w:rPr>
                <w:rFonts w:cs="Arial"/>
              </w:rPr>
            </w:pPr>
            <w:r>
              <w:rPr>
                <w:rFonts w:cs="Arial"/>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Align w:val="center"/>
          </w:tcPr>
          <w:p>
            <w:pPr>
              <w:pStyle w:val="105"/>
              <w:rPr>
                <w:rFonts w:cs="Arial"/>
              </w:rPr>
            </w:pPr>
            <w:r>
              <w:rPr>
                <w:rFonts w:hint="eastAsia" w:cs="Arial"/>
              </w:rPr>
              <w:t>2</w:t>
            </w:r>
            <w:r>
              <w:rPr>
                <w:rFonts w:cs="Arial"/>
              </w:rPr>
              <w:t>56</w:t>
            </w:r>
          </w:p>
        </w:tc>
        <w:tc>
          <w:tcPr>
            <w:tcW w:w="794" w:type="dxa"/>
          </w:tcPr>
          <w:p>
            <w:pPr>
              <w:pStyle w:val="105"/>
              <w:rPr>
                <w:rFonts w:cs="Arial"/>
              </w:rPr>
            </w:pPr>
          </w:p>
        </w:tc>
        <w:tc>
          <w:tcPr>
            <w:tcW w:w="1067" w:type="dxa"/>
          </w:tcPr>
          <w:p>
            <w:pPr>
              <w:pStyle w:val="105"/>
              <w:rPr>
                <w:rFonts w:cs="Arial"/>
              </w:rPr>
            </w:pPr>
          </w:p>
        </w:tc>
        <w:tc>
          <w:tcPr>
            <w:tcW w:w="795" w:type="dxa"/>
          </w:tcPr>
          <w:p>
            <w:pPr>
              <w:pStyle w:val="105"/>
              <w:rPr>
                <w:rFonts w:cs="Arial"/>
              </w:rPr>
            </w:pPr>
            <w:r>
              <w:rPr>
                <w:rFonts w:cs="Arial"/>
              </w:rPr>
              <w:t>23</w:t>
            </w:r>
          </w:p>
        </w:tc>
        <w:tc>
          <w:tcPr>
            <w:tcW w:w="1067" w:type="dxa"/>
          </w:tcPr>
          <w:p>
            <w:pPr>
              <w:pStyle w:val="105"/>
              <w:rPr>
                <w:rFonts w:cs="Arial"/>
              </w:rPr>
            </w:pPr>
            <w:r>
              <w:rPr>
                <w:rFonts w:cs="Arial"/>
              </w:rPr>
              <w:t>±2.7</w:t>
            </w:r>
          </w:p>
        </w:tc>
        <w:tc>
          <w:tcPr>
            <w:tcW w:w="795" w:type="dxa"/>
          </w:tcPr>
          <w:p>
            <w:pPr>
              <w:pStyle w:val="105"/>
              <w:rPr>
                <w:rFonts w:cs="Arial"/>
              </w:rPr>
            </w:pPr>
            <w:r>
              <w:rPr>
                <w:rFonts w:cs="Arial"/>
              </w:rPr>
              <w:t>20</w:t>
            </w:r>
          </w:p>
        </w:tc>
        <w:tc>
          <w:tcPr>
            <w:tcW w:w="1067" w:type="dxa"/>
          </w:tcPr>
          <w:p>
            <w:pPr>
              <w:pStyle w:val="105"/>
              <w:rPr>
                <w:rFonts w:cs="Arial"/>
              </w:rPr>
            </w:pPr>
            <w:r>
              <w:rPr>
                <w:rFonts w:cs="Arial"/>
              </w:rPr>
              <w:t>±2.7</w:t>
            </w:r>
          </w:p>
        </w:tc>
        <w:tc>
          <w:tcPr>
            <w:tcW w:w="1040" w:type="dxa"/>
          </w:tcPr>
          <w:p>
            <w:pPr>
              <w:pStyle w:val="105"/>
              <w:rPr>
                <w:rFonts w:cs="Arial"/>
              </w:rPr>
            </w:pPr>
          </w:p>
        </w:tc>
        <w:tc>
          <w:tcPr>
            <w:tcW w:w="1067"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255</w:t>
            </w:r>
          </w:p>
        </w:tc>
        <w:tc>
          <w:tcPr>
            <w:tcW w:w="794"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795"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23</w:t>
            </w: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±2.7</w:t>
            </w:r>
          </w:p>
        </w:tc>
        <w:tc>
          <w:tcPr>
            <w:tcW w:w="795"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w:t>
            </w:r>
          </w:p>
        </w:tc>
        <w:tc>
          <w:tcPr>
            <w:tcW w:w="1067" w:type="dxa"/>
            <w:tcBorders>
              <w:top w:val="single" w:color="auto" w:sz="4" w:space="0"/>
              <w:left w:val="single" w:color="auto" w:sz="4" w:space="0"/>
              <w:bottom w:val="single" w:color="auto" w:sz="4" w:space="0"/>
            </w:tcBorders>
          </w:tcPr>
          <w:p>
            <w:pPr>
              <w:pStyle w:val="105"/>
              <w:rPr>
                <w:rFonts w:cs="Arial"/>
              </w:rPr>
            </w:pPr>
            <w:r>
              <w:rPr>
                <w:rFonts w:cs="Arial"/>
              </w:rPr>
              <w:t>±2.7</w:t>
            </w:r>
          </w:p>
        </w:tc>
        <w:tc>
          <w:tcPr>
            <w:tcW w:w="1040" w:type="dxa"/>
            <w:tcBorders>
              <w:top w:val="single" w:color="auto" w:sz="4" w:space="0"/>
              <w:left w:val="single" w:color="auto" w:sz="4" w:space="0"/>
              <w:bottom w:val="single" w:color="auto" w:sz="4" w:space="0"/>
            </w:tcBorders>
          </w:tcPr>
          <w:p>
            <w:pPr>
              <w:pStyle w:val="105"/>
              <w:rPr>
                <w:rFonts w:cs="Arial"/>
              </w:rPr>
            </w:pPr>
          </w:p>
        </w:tc>
        <w:tc>
          <w:tcPr>
            <w:tcW w:w="1067" w:type="dxa"/>
            <w:tcBorders>
              <w:top w:val="single" w:color="auto" w:sz="4" w:space="0"/>
              <w:left w:val="single" w:color="auto" w:sz="4" w:space="0"/>
              <w:bottom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6" w:type="dxa"/>
            <w:gridSpan w:val="9"/>
            <w:tcBorders>
              <w:top w:val="single" w:color="auto" w:sz="4" w:space="0"/>
              <w:left w:val="single" w:color="auto" w:sz="4" w:space="0"/>
              <w:bottom w:val="single" w:color="auto" w:sz="4" w:space="0"/>
            </w:tcBorders>
            <w:vAlign w:val="center"/>
          </w:tcPr>
          <w:p>
            <w:pPr>
              <w:pStyle w:val="118"/>
              <w:rPr>
                <w:rFonts w:cs="Arial"/>
              </w:rPr>
            </w:pPr>
            <w:r>
              <w:rPr>
                <w:rFonts w:cs="Arial"/>
              </w:rPr>
              <w:t>NOTE 1:</w:t>
            </w:r>
            <w:r>
              <w:rPr>
                <w:rFonts w:cs="Arial"/>
              </w:rPr>
              <w:tab/>
            </w:r>
            <w:r>
              <w:rPr>
                <w:rFonts w:cs="Arial"/>
              </w:rPr>
              <w:t>P</w:t>
            </w:r>
            <w:r>
              <w:rPr>
                <w:rFonts w:cs="Arial"/>
                <w:vertAlign w:val="subscript"/>
              </w:rPr>
              <w:t>PowerClass</w:t>
            </w:r>
            <w:r>
              <w:rPr>
                <w:rFonts w:cs="Arial"/>
              </w:rPr>
              <w:t xml:space="preserve"> is the maximum UE power specified without taking into account the tolerance.</w:t>
            </w:r>
          </w:p>
        </w:tc>
      </w:tr>
    </w:tbl>
    <w:p/>
    <w:p>
      <w:pPr>
        <w:pStyle w:val="5"/>
        <w:rPr>
          <w:lang w:eastAsia="zh-CN"/>
        </w:rPr>
      </w:pPr>
      <w:bookmarkStart w:id="388" w:name="_Toc12610"/>
      <w:bookmarkStart w:id="389" w:name="_Toc120570026"/>
      <w:bookmarkStart w:id="390" w:name="_Toc111062032"/>
      <w:bookmarkStart w:id="391" w:name="_Toc121162818"/>
      <w:bookmarkStart w:id="392" w:name="_Toc21685"/>
      <w:bookmarkStart w:id="393" w:name="_Toc5672"/>
      <w:bookmarkStart w:id="394" w:name="_Toc10022"/>
      <w:bookmarkStart w:id="395" w:name="_Toc19552"/>
      <w:bookmarkStart w:id="396" w:name="_Toc24442"/>
      <w:bookmarkStart w:id="397" w:name="_Toc108616986"/>
      <w:bookmarkStart w:id="398" w:name="_Toc17865"/>
      <w:r>
        <w:t>6.2A.2</w:t>
      </w:r>
      <w:r>
        <w:rPr>
          <w:lang w:eastAsia="zh-CN"/>
        </w:rPr>
        <w:tab/>
      </w:r>
      <w:r>
        <w:t>UE m</w:t>
      </w:r>
      <w:r>
        <w:rPr>
          <w:lang w:eastAsia="zh-CN"/>
        </w:rPr>
        <w:t xml:space="preserve">aximum output power reduction </w:t>
      </w:r>
      <w:r>
        <w:t xml:space="preserve">for </w:t>
      </w:r>
      <w:r>
        <w:rPr>
          <w:lang w:eastAsia="zh-CN"/>
        </w:rPr>
        <w:t>category M1</w:t>
      </w:r>
      <w:bookmarkEnd w:id="388"/>
      <w:bookmarkEnd w:id="389"/>
      <w:bookmarkEnd w:id="390"/>
      <w:bookmarkEnd w:id="391"/>
      <w:bookmarkEnd w:id="392"/>
      <w:bookmarkEnd w:id="393"/>
      <w:bookmarkEnd w:id="394"/>
      <w:bookmarkEnd w:id="395"/>
      <w:bookmarkEnd w:id="396"/>
      <w:bookmarkEnd w:id="397"/>
      <w:bookmarkEnd w:id="398"/>
    </w:p>
    <w:p>
      <w:pPr>
        <w:pStyle w:val="112"/>
        <w:rPr>
          <w:i w:val="0"/>
          <w:iCs w:val="0"/>
          <w:lang w:val="en-US"/>
        </w:rPr>
      </w:pPr>
      <w:bookmarkStart w:id="399" w:name="_Toc111062033"/>
      <w:r>
        <w:rPr>
          <w:i w:val="0"/>
          <w:iCs w:val="0"/>
        </w:rPr>
        <w:t>Editor’s Note: Addition to applicability spec is pending.</w:t>
      </w:r>
    </w:p>
    <w:p>
      <w:pPr>
        <w:pStyle w:val="9"/>
      </w:pPr>
      <w:r>
        <w:t>6.2A.2.1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r>
        <w:t>An excess maximum output power has the possibility to interfere to other channels or other systems. A small maximum output power decreases the coverage area.</w:t>
      </w:r>
    </w:p>
    <w:p>
      <w:pPr>
        <w:pStyle w:val="9"/>
      </w:pPr>
      <w:r>
        <w:t>6.2A.2.2</w:t>
      </w:r>
      <w:r>
        <w:tab/>
      </w:r>
      <w:r>
        <w:t>Test applicability</w:t>
      </w:r>
    </w:p>
    <w:p>
      <w:r>
        <w:t>The requirements of this test apply in test case 6.5A.3.4 Adjacent Channel Leakage Power Ratio for UE category M1 to all types of E-UTRA UE release 17 and forward of UE category M1 that support satellite access operation.</w:t>
      </w:r>
    </w:p>
    <w:p>
      <w:pPr>
        <w:pStyle w:val="9"/>
      </w:pPr>
      <w:r>
        <w:t>6.2A.2.3</w:t>
      </w:r>
      <w:r>
        <w:tab/>
      </w:r>
      <w:r>
        <w:t>Minimum conformance requirements</w:t>
      </w:r>
    </w:p>
    <w:p>
      <w:r>
        <w:t>For UE Power Class 3 and 5 the allowed Maximum Power Reduction (MPR) for the maximum output power due to higher order modulation and transmit bandwidth configuration (resource blocks) is specified in Table 6.2</w:t>
      </w:r>
      <w:r>
        <w:rPr>
          <w:lang w:eastAsia="ja-JP"/>
        </w:rPr>
        <w:t>A.2.3</w:t>
      </w:r>
      <w:r>
        <w:t>-1.</w:t>
      </w:r>
    </w:p>
    <w:p>
      <w:pPr>
        <w:rPr>
          <w:snapToGrid w:val="0"/>
        </w:rPr>
      </w:pPr>
      <w:r>
        <w:rPr>
          <w:snapToGrid w:val="0"/>
        </w:rPr>
        <w:t>For subPRB allocation of category M1 UE of Power Class 3, there is no MPR applies.</w:t>
      </w:r>
    </w:p>
    <w:p>
      <w:pPr>
        <w:pStyle w:val="113"/>
      </w:pPr>
      <w:r>
        <w:t>Table 6.2A</w:t>
      </w:r>
      <w:r>
        <w:rPr>
          <w:lang w:val="en-US"/>
        </w:rPr>
        <w:t>.2.3</w:t>
      </w:r>
      <w:r>
        <w:t>-1: Maximum Power Reduction (MPR) for Power Class 3 and 5</w:t>
      </w:r>
    </w:p>
    <w:tbl>
      <w:tblPr>
        <w:tblStyle w:val="89"/>
        <w:tblW w:w="7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871"/>
        <w:gridCol w:w="2810"/>
        <w:gridCol w:w="22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4" w:hRule="atLeast"/>
          <w:jc w:val="center"/>
        </w:trPr>
        <w:tc>
          <w:tcPr>
            <w:tcW w:w="2871" w:type="dxa"/>
            <w:vMerge w:val="restart"/>
            <w:tcMar>
              <w:top w:w="0" w:type="dxa"/>
              <w:left w:w="108" w:type="dxa"/>
              <w:bottom w:w="0" w:type="dxa"/>
              <w:right w:w="108" w:type="dxa"/>
            </w:tcMar>
          </w:tcPr>
          <w:p>
            <w:pPr>
              <w:pStyle w:val="104"/>
              <w:rPr>
                <w:rFonts w:cs="Arial"/>
              </w:rPr>
            </w:pPr>
            <w:r>
              <w:rPr>
                <w:rFonts w:cs="Arial"/>
              </w:rPr>
              <w:t>Modulation</w:t>
            </w:r>
          </w:p>
        </w:tc>
        <w:tc>
          <w:tcPr>
            <w:tcW w:w="2810" w:type="dxa"/>
            <w:tcMar>
              <w:top w:w="0" w:type="dxa"/>
              <w:left w:w="108" w:type="dxa"/>
              <w:bottom w:w="0" w:type="dxa"/>
              <w:right w:w="108" w:type="dxa"/>
            </w:tcMar>
          </w:tcPr>
          <w:p>
            <w:pPr>
              <w:pStyle w:val="104"/>
              <w:rPr>
                <w:rFonts w:cs="Arial"/>
              </w:rPr>
            </w:pPr>
            <w:r>
              <w:rPr>
                <w:rFonts w:cs="Arial"/>
                <w:lang w:val="de-DE"/>
              </w:rPr>
              <w:t>Channel bandwidth / Transmission bandwidth (N</w:t>
            </w:r>
            <w:r>
              <w:rPr>
                <w:rFonts w:cs="Arial"/>
                <w:vertAlign w:val="subscript"/>
                <w:lang w:val="de-DE"/>
              </w:rPr>
              <w:t>RB</w:t>
            </w:r>
            <w:r>
              <w:rPr>
                <w:rFonts w:cs="Arial"/>
                <w:lang w:val="de-DE"/>
              </w:rPr>
              <w:t>)</w:t>
            </w:r>
          </w:p>
        </w:tc>
        <w:tc>
          <w:tcPr>
            <w:tcW w:w="2297" w:type="dxa"/>
            <w:vMerge w:val="restart"/>
          </w:tcPr>
          <w:p>
            <w:pPr>
              <w:pStyle w:val="104"/>
              <w:rPr>
                <w:rFonts w:cs="Arial"/>
              </w:rPr>
            </w:pPr>
            <w:r>
              <w:rPr>
                <w:rFonts w:cs="Arial"/>
              </w:rPr>
              <w:t>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0" w:hRule="atLeast"/>
          <w:jc w:val="center"/>
        </w:trPr>
        <w:tc>
          <w:tcPr>
            <w:tcW w:w="0" w:type="auto"/>
            <w:vMerge w:val="continue"/>
            <w:vAlign w:val="center"/>
          </w:tcPr>
          <w:p>
            <w:pPr>
              <w:rPr>
                <w:rFonts w:cs="Arial"/>
                <w:b/>
                <w:bCs/>
              </w:rPr>
            </w:pPr>
          </w:p>
        </w:tc>
        <w:tc>
          <w:tcPr>
            <w:tcW w:w="2810" w:type="dxa"/>
            <w:tcMar>
              <w:top w:w="0" w:type="dxa"/>
              <w:left w:w="108" w:type="dxa"/>
              <w:bottom w:w="0" w:type="dxa"/>
              <w:right w:w="108" w:type="dxa"/>
            </w:tcMar>
          </w:tcPr>
          <w:p>
            <w:pPr>
              <w:pStyle w:val="104"/>
              <w:rPr>
                <w:rFonts w:cs="Arial"/>
              </w:rPr>
            </w:pPr>
            <w:r>
              <w:rPr>
                <w:rFonts w:cs="Arial"/>
              </w:rPr>
              <w:t>1.4 MHz</w:t>
            </w:r>
          </w:p>
        </w:tc>
        <w:tc>
          <w:tcPr>
            <w:tcW w:w="0" w:type="auto"/>
            <w:vMerge w:val="continue"/>
            <w:vAlign w:val="center"/>
          </w:tcPr>
          <w:p>
            <w:pPr>
              <w:rPr>
                <w:rFonts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5" w:hRule="atLeast"/>
          <w:jc w:val="center"/>
        </w:trPr>
        <w:tc>
          <w:tcPr>
            <w:tcW w:w="2871" w:type="dxa"/>
            <w:tcMar>
              <w:top w:w="0" w:type="dxa"/>
              <w:left w:w="108" w:type="dxa"/>
              <w:bottom w:w="0" w:type="dxa"/>
              <w:right w:w="108" w:type="dxa"/>
            </w:tcMar>
          </w:tcPr>
          <w:p>
            <w:pPr>
              <w:pStyle w:val="105"/>
              <w:rPr>
                <w:rFonts w:cs="Arial"/>
              </w:rPr>
            </w:pPr>
            <w:r>
              <w:rPr>
                <w:rFonts w:cs="Arial"/>
              </w:rPr>
              <w:t>QPSK</w:t>
            </w:r>
          </w:p>
        </w:tc>
        <w:tc>
          <w:tcPr>
            <w:tcW w:w="2810" w:type="dxa"/>
            <w:tcMar>
              <w:top w:w="0" w:type="dxa"/>
              <w:left w:w="108" w:type="dxa"/>
              <w:bottom w:w="0" w:type="dxa"/>
              <w:right w:w="108" w:type="dxa"/>
            </w:tcMar>
          </w:tcPr>
          <w:p>
            <w:pPr>
              <w:pStyle w:val="105"/>
              <w:rPr>
                <w:rFonts w:cs="Arial"/>
              </w:rPr>
            </w:pPr>
            <w:r>
              <w:rPr>
                <w:rFonts w:cs="Arial"/>
              </w:rPr>
              <w:t>&gt; 2</w:t>
            </w:r>
          </w:p>
        </w:tc>
        <w:tc>
          <w:tcPr>
            <w:tcW w:w="2297" w:type="dxa"/>
            <w:tcMar>
              <w:top w:w="0" w:type="dxa"/>
              <w:left w:w="108" w:type="dxa"/>
              <w:bottom w:w="0" w:type="dxa"/>
              <w:right w:w="108" w:type="dxa"/>
            </w:tcMar>
          </w:tcPr>
          <w:p>
            <w:pPr>
              <w:pStyle w:val="105"/>
              <w:rPr>
                <w:rFonts w:cs="Arial"/>
              </w:rPr>
            </w:pPr>
            <w:r>
              <w:rPr>
                <w:rFonts w:cs="Arial"/>
              </w:rPr>
              <w: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0" w:hRule="atLeast"/>
          <w:jc w:val="center"/>
        </w:trPr>
        <w:tc>
          <w:tcPr>
            <w:tcW w:w="2871" w:type="dxa"/>
            <w:tcMar>
              <w:top w:w="0" w:type="dxa"/>
              <w:left w:w="108" w:type="dxa"/>
              <w:bottom w:w="0" w:type="dxa"/>
              <w:right w:w="108" w:type="dxa"/>
            </w:tcMar>
          </w:tcPr>
          <w:p>
            <w:pPr>
              <w:pStyle w:val="105"/>
              <w:rPr>
                <w:rFonts w:cs="Arial"/>
              </w:rPr>
            </w:pPr>
            <w:r>
              <w:rPr>
                <w:rFonts w:cs="Arial"/>
              </w:rPr>
              <w:t>QPSK</w:t>
            </w:r>
          </w:p>
        </w:tc>
        <w:tc>
          <w:tcPr>
            <w:tcW w:w="2810" w:type="dxa"/>
            <w:tcMar>
              <w:top w:w="0" w:type="dxa"/>
              <w:left w:w="108" w:type="dxa"/>
              <w:bottom w:w="0" w:type="dxa"/>
              <w:right w:w="108" w:type="dxa"/>
            </w:tcMar>
          </w:tcPr>
          <w:p>
            <w:pPr>
              <w:pStyle w:val="105"/>
              <w:rPr>
                <w:rFonts w:cs="Arial"/>
              </w:rPr>
            </w:pPr>
            <w:r>
              <w:rPr>
                <w:rFonts w:cs="Arial"/>
              </w:rPr>
              <w:t>&gt; 5</w:t>
            </w:r>
          </w:p>
        </w:tc>
        <w:tc>
          <w:tcPr>
            <w:tcW w:w="2297" w:type="dxa"/>
            <w:tcMar>
              <w:top w:w="0" w:type="dxa"/>
              <w:left w:w="108" w:type="dxa"/>
              <w:bottom w:w="0" w:type="dxa"/>
              <w:right w:w="108" w:type="dxa"/>
            </w:tcMar>
          </w:tcPr>
          <w:p>
            <w:pPr>
              <w:pStyle w:val="105"/>
              <w:rPr>
                <w:rFonts w:cs="Arial"/>
              </w:rPr>
            </w:pPr>
            <w:r>
              <w:rPr>
                <w:rFonts w:cs="Arial"/>
              </w:rPr>
              <w: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5" w:hRule="atLeast"/>
          <w:jc w:val="center"/>
        </w:trPr>
        <w:tc>
          <w:tcPr>
            <w:tcW w:w="7978" w:type="dxa"/>
            <w:gridSpan w:val="3"/>
            <w:tcMar>
              <w:top w:w="0" w:type="dxa"/>
              <w:left w:w="108" w:type="dxa"/>
              <w:bottom w:w="0" w:type="dxa"/>
              <w:right w:w="108" w:type="dxa"/>
            </w:tcMar>
          </w:tcPr>
          <w:p>
            <w:pPr>
              <w:pStyle w:val="118"/>
              <w:rPr>
                <w:rFonts w:cs="Arial"/>
              </w:rPr>
            </w:pPr>
            <w:r>
              <w:t>NOTE:</w:t>
            </w:r>
            <w:r>
              <w:rPr>
                <w:lang w:eastAsia="zh-CN"/>
              </w:rPr>
              <w:tab/>
            </w:r>
            <w:r>
              <w:t xml:space="preserve">MPR only applicable for </w:t>
            </w:r>
            <w:r>
              <w:rPr>
                <w:lang w:val="de-DE"/>
              </w:rPr>
              <w:t>N</w:t>
            </w:r>
            <w:r>
              <w:rPr>
                <w:vertAlign w:val="subscript"/>
                <w:lang w:val="de-DE"/>
              </w:rPr>
              <w:t xml:space="preserve">RB </w:t>
            </w:r>
            <w:r>
              <w:rPr>
                <w:lang w:val="de-DE"/>
              </w:rPr>
              <w:t>≥ 1</w:t>
            </w:r>
          </w:p>
        </w:tc>
      </w:tr>
    </w:tbl>
    <w:p/>
    <w:p>
      <w:r>
        <w:t>For PRACH, PUCCH and SRS transmissions, the allowed MPR is according to that specified for PUSCH QPSK modulation for the corresponding transmission bandwidth.</w:t>
      </w:r>
    </w:p>
    <w:p>
      <w:pPr>
        <w:jc w:val="left"/>
      </w:pPr>
      <w:r>
        <w:t>For each subframe, the MPR is evaluated per slot and given by the maximum value taken over the transmission(s) within the slot; the maximum MPR over the two slots is then applied for the entire subframe.</w:t>
      </w:r>
    </w:p>
    <w:p>
      <w:r>
        <w:t>For the UE maximum output power modified by MPR, the power limits specified in subclause 6.2</w:t>
      </w:r>
      <w:r>
        <w:rPr>
          <w:lang w:eastAsia="ja-JP"/>
        </w:rPr>
        <w:t>A.4</w:t>
      </w:r>
      <w:r>
        <w:t xml:space="preserve"> apply.</w:t>
      </w:r>
    </w:p>
    <w:p>
      <w:pPr>
        <w:rPr>
          <w:lang w:eastAsia="zh-CN"/>
        </w:rPr>
      </w:pPr>
      <w:r>
        <w:t>The normative reference for this requirement is TS 36.102 [11] clause 6.2.A.</w:t>
      </w:r>
    </w:p>
    <w:p>
      <w:pPr>
        <w:pStyle w:val="9"/>
      </w:pPr>
      <w:r>
        <w:t>6.2A.2.4</w:t>
      </w:r>
      <w:r>
        <w:tab/>
      </w:r>
      <w:r>
        <w:t>Test description</w:t>
      </w:r>
    </w:p>
    <w:p>
      <w:pPr>
        <w:pStyle w:val="9"/>
      </w:pPr>
      <w:r>
        <w:t>6.2A.2.4.1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5.2E. All of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pPr>
        <w:pStyle w:val="113"/>
        <w:rPr>
          <w:lang w:eastAsia="zh-CN"/>
        </w:rPr>
      </w:pPr>
      <w:r>
        <w:t>Table 6.2A.2.4.1-1: Test Configuration T</w:t>
      </w:r>
      <w:r>
        <w:rPr>
          <w:lang w:eastAsia="zh-CN"/>
        </w:rPr>
        <w:t>able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212"/>
        <w:gridCol w:w="1134"/>
        <w:gridCol w:w="2734"/>
        <w:gridCol w:w="1304"/>
        <w:gridCol w:w="3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shd w:val="clear" w:color="auto" w:fill="auto"/>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t>Test Environment as specified in</w:t>
            </w:r>
          </w:p>
          <w:p>
            <w:pPr>
              <w:pStyle w:val="103"/>
            </w:pPr>
            <w:r>
              <w:t>TS 36.508 [12] subclause 4.1</w:t>
            </w:r>
          </w:p>
        </w:tc>
        <w:tc>
          <w:tcPr>
            <w:tcW w:w="4474" w:type="dxa"/>
            <w:gridSpan w:val="2"/>
            <w:shd w:val="clear" w:color="auto" w:fill="auto"/>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rPr>
                <w:bCs/>
              </w:rPr>
              <w:t>Test Frequencies as specified in</w:t>
            </w:r>
          </w:p>
          <w:p>
            <w:pPr>
              <w:pStyle w:val="103"/>
            </w:pPr>
            <w:r>
              <w:t>TS 36.508 [12] subclause 4.3.1</w:t>
            </w:r>
          </w:p>
        </w:tc>
        <w:tc>
          <w:tcPr>
            <w:tcW w:w="4474" w:type="dxa"/>
            <w:gridSpan w:val="2"/>
            <w:shd w:val="clear" w:color="auto" w:fill="auto"/>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rPr>
                <w:bCs/>
              </w:rPr>
              <w:t>Test Channel Bandwidths as specified in</w:t>
            </w:r>
          </w:p>
          <w:p>
            <w:pPr>
              <w:pStyle w:val="103"/>
            </w:pPr>
            <w:r>
              <w:t>TS 36.508 [12] subclause 4.3.1</w:t>
            </w:r>
          </w:p>
        </w:tc>
        <w:tc>
          <w:tcPr>
            <w:tcW w:w="4474" w:type="dxa"/>
            <w:gridSpan w:val="2"/>
            <w:shd w:val="clear" w:color="auto" w:fill="auto"/>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shd w:val="clear" w:color="auto" w:fill="auto"/>
            <w:vAlign w:val="center"/>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tcBorders>
              <w:bottom w:val="single" w:color="auto" w:sz="4" w:space="0"/>
            </w:tcBorders>
            <w:shd w:val="clear" w:color="auto" w:fill="auto"/>
            <w:vAlign w:val="center"/>
          </w:tcPr>
          <w:p>
            <w:pPr>
              <w:pStyle w:val="104"/>
            </w:pPr>
          </w:p>
        </w:tc>
        <w:tc>
          <w:tcPr>
            <w:tcW w:w="1134" w:type="dxa"/>
            <w:tcBorders>
              <w:bottom w:val="single" w:color="auto" w:sz="4" w:space="0"/>
            </w:tcBorders>
            <w:shd w:val="clear" w:color="auto" w:fill="auto"/>
            <w:vAlign w:val="center"/>
          </w:tcPr>
          <w:p>
            <w:pPr>
              <w:pStyle w:val="104"/>
            </w:pPr>
          </w:p>
        </w:tc>
        <w:tc>
          <w:tcPr>
            <w:tcW w:w="2734" w:type="dxa"/>
            <w:tcBorders>
              <w:bottom w:val="single" w:color="auto" w:sz="4" w:space="0"/>
            </w:tcBorders>
            <w:shd w:val="clear" w:color="auto" w:fill="auto"/>
            <w:vAlign w:val="center"/>
          </w:tcPr>
          <w:p>
            <w:pPr>
              <w:pStyle w:val="104"/>
            </w:pPr>
            <w:r>
              <w:t>Downlink Configuration</w:t>
            </w:r>
          </w:p>
        </w:tc>
        <w:tc>
          <w:tcPr>
            <w:tcW w:w="4474" w:type="dxa"/>
            <w:gridSpan w:val="2"/>
            <w:shd w:val="clear" w:color="auto" w:fill="auto"/>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212" w:type="dxa"/>
            <w:tcBorders>
              <w:bottom w:val="nil"/>
            </w:tcBorders>
            <w:shd w:val="clear" w:color="auto" w:fill="auto"/>
            <w:vAlign w:val="center"/>
          </w:tcPr>
          <w:p>
            <w:pPr>
              <w:pStyle w:val="104"/>
            </w:pPr>
            <w:r>
              <w:t>Configuration ID</w:t>
            </w:r>
          </w:p>
        </w:tc>
        <w:tc>
          <w:tcPr>
            <w:tcW w:w="1134" w:type="dxa"/>
            <w:tcBorders>
              <w:bottom w:val="nil"/>
            </w:tcBorders>
            <w:shd w:val="clear" w:color="auto" w:fill="auto"/>
            <w:vAlign w:val="center"/>
          </w:tcPr>
          <w:p>
            <w:pPr>
              <w:pStyle w:val="104"/>
            </w:pPr>
            <w:r>
              <w:t>Ch BW</w:t>
            </w:r>
          </w:p>
        </w:tc>
        <w:tc>
          <w:tcPr>
            <w:tcW w:w="2734" w:type="dxa"/>
            <w:tcBorders>
              <w:bottom w:val="nil"/>
            </w:tcBorders>
            <w:shd w:val="clear" w:color="auto" w:fill="auto"/>
            <w:vAlign w:val="center"/>
          </w:tcPr>
          <w:p>
            <w:pPr>
              <w:pStyle w:val="105"/>
            </w:pPr>
            <w:r>
              <w:t>N/A for Maximum Power Reduction (MPR) test case</w:t>
            </w:r>
          </w:p>
        </w:tc>
        <w:tc>
          <w:tcPr>
            <w:tcW w:w="1304" w:type="dxa"/>
            <w:tcBorders>
              <w:bottom w:val="nil"/>
            </w:tcBorders>
            <w:shd w:val="clear" w:color="auto" w:fill="auto"/>
            <w:vAlign w:val="center"/>
          </w:tcPr>
          <w:p>
            <w:pPr>
              <w:pStyle w:val="104"/>
            </w:pPr>
            <w:r>
              <w:t>Mod'n</w:t>
            </w:r>
          </w:p>
        </w:tc>
        <w:tc>
          <w:tcPr>
            <w:tcW w:w="3170" w:type="dxa"/>
            <w:shd w:val="clear" w:color="auto" w:fill="auto"/>
            <w:vAlign w:val="center"/>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212" w:type="dxa"/>
            <w:tcBorders>
              <w:top w:val="nil"/>
            </w:tcBorders>
            <w:shd w:val="clear" w:color="auto" w:fill="auto"/>
            <w:vAlign w:val="center"/>
          </w:tcPr>
          <w:p>
            <w:pPr>
              <w:pStyle w:val="104"/>
            </w:pPr>
          </w:p>
        </w:tc>
        <w:tc>
          <w:tcPr>
            <w:tcW w:w="1134" w:type="dxa"/>
            <w:tcBorders>
              <w:top w:val="nil"/>
            </w:tcBorders>
            <w:shd w:val="clear" w:color="auto" w:fill="auto"/>
            <w:vAlign w:val="center"/>
          </w:tcPr>
          <w:p>
            <w:pPr>
              <w:pStyle w:val="104"/>
            </w:pPr>
          </w:p>
        </w:tc>
        <w:tc>
          <w:tcPr>
            <w:tcW w:w="2734" w:type="dxa"/>
            <w:tcBorders>
              <w:top w:val="nil"/>
              <w:bottom w:val="nil"/>
            </w:tcBorders>
            <w:shd w:val="clear" w:color="auto" w:fill="auto"/>
            <w:vAlign w:val="center"/>
          </w:tcPr>
          <w:p>
            <w:pPr>
              <w:pStyle w:val="105"/>
            </w:pPr>
          </w:p>
        </w:tc>
        <w:tc>
          <w:tcPr>
            <w:tcW w:w="1304" w:type="dxa"/>
            <w:tcBorders>
              <w:top w:val="nil"/>
            </w:tcBorders>
            <w:shd w:val="clear" w:color="auto" w:fill="auto"/>
            <w:vAlign w:val="center"/>
          </w:tcPr>
          <w:p>
            <w:pPr>
              <w:pStyle w:val="104"/>
            </w:pPr>
          </w:p>
        </w:tc>
        <w:tc>
          <w:tcPr>
            <w:tcW w:w="3170" w:type="dxa"/>
            <w:shd w:val="clear" w:color="auto" w:fill="auto"/>
            <w:vAlign w:val="center"/>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212" w:type="dxa"/>
            <w:shd w:val="clear" w:color="auto" w:fill="auto"/>
            <w:vAlign w:val="center"/>
          </w:tcPr>
          <w:p>
            <w:pPr>
              <w:pStyle w:val="105"/>
            </w:pPr>
            <w:r>
              <w:t>1</w:t>
            </w:r>
          </w:p>
        </w:tc>
        <w:tc>
          <w:tcPr>
            <w:tcW w:w="1134" w:type="dxa"/>
            <w:shd w:val="clear" w:color="auto" w:fill="auto"/>
            <w:vAlign w:val="center"/>
          </w:tcPr>
          <w:p>
            <w:pPr>
              <w:pStyle w:val="105"/>
            </w:pPr>
            <w:r>
              <w:t>1.4MHz</w:t>
            </w:r>
          </w:p>
        </w:tc>
        <w:tc>
          <w:tcPr>
            <w:tcW w:w="2734" w:type="dxa"/>
            <w:tcBorders>
              <w:top w:val="nil"/>
              <w:bottom w:val="nil"/>
            </w:tcBorders>
            <w:shd w:val="clear" w:color="auto" w:fill="auto"/>
            <w:vAlign w:val="center"/>
          </w:tcPr>
          <w:p>
            <w:pPr>
              <w:pStyle w:val="105"/>
            </w:pPr>
          </w:p>
        </w:tc>
        <w:tc>
          <w:tcPr>
            <w:tcW w:w="1304" w:type="dxa"/>
            <w:shd w:val="clear" w:color="auto" w:fill="auto"/>
            <w:vAlign w:val="center"/>
          </w:tcPr>
          <w:p>
            <w:pPr>
              <w:pStyle w:val="105"/>
            </w:pPr>
            <w:r>
              <w:rPr>
                <w:rFonts w:hint="eastAsia"/>
              </w:rPr>
              <w:t>QPSK</w:t>
            </w:r>
          </w:p>
        </w:tc>
        <w:tc>
          <w:tcPr>
            <w:tcW w:w="3170" w:type="dxa"/>
            <w:shd w:val="clear" w:color="auto" w:fill="auto"/>
            <w:vAlign w:val="center"/>
          </w:tcPr>
          <w:p>
            <w:pPr>
              <w:pStyle w:val="105"/>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212" w:type="dxa"/>
            <w:shd w:val="clear" w:color="auto" w:fill="auto"/>
            <w:vAlign w:val="center"/>
          </w:tcPr>
          <w:p>
            <w:pPr>
              <w:pStyle w:val="105"/>
            </w:pPr>
            <w:r>
              <w:t>2</w:t>
            </w:r>
          </w:p>
        </w:tc>
        <w:tc>
          <w:tcPr>
            <w:tcW w:w="1134" w:type="dxa"/>
            <w:shd w:val="clear" w:color="auto" w:fill="auto"/>
            <w:vAlign w:val="center"/>
          </w:tcPr>
          <w:p>
            <w:pPr>
              <w:pStyle w:val="105"/>
            </w:pPr>
            <w:r>
              <w:t>1.4MHz</w:t>
            </w:r>
          </w:p>
        </w:tc>
        <w:tc>
          <w:tcPr>
            <w:tcW w:w="2734" w:type="dxa"/>
            <w:tcBorders>
              <w:top w:val="nil"/>
              <w:bottom w:val="nil"/>
            </w:tcBorders>
            <w:shd w:val="clear" w:color="auto" w:fill="auto"/>
            <w:vAlign w:val="center"/>
          </w:tcPr>
          <w:p>
            <w:pPr>
              <w:pStyle w:val="105"/>
            </w:pPr>
          </w:p>
        </w:tc>
        <w:tc>
          <w:tcPr>
            <w:tcW w:w="1304" w:type="dxa"/>
            <w:shd w:val="clear" w:color="auto" w:fill="auto"/>
            <w:vAlign w:val="center"/>
          </w:tcPr>
          <w:p>
            <w:pPr>
              <w:pStyle w:val="105"/>
            </w:pPr>
            <w:r>
              <w:rPr>
                <w:rFonts w:hint="eastAsia"/>
              </w:rPr>
              <w:t>QPSK</w:t>
            </w:r>
          </w:p>
        </w:tc>
        <w:tc>
          <w:tcPr>
            <w:tcW w:w="3170" w:type="dxa"/>
            <w:shd w:val="clear" w:color="auto" w:fill="auto"/>
            <w:vAlign w:val="center"/>
          </w:tcPr>
          <w:p>
            <w:pPr>
              <w:pStyle w:val="105"/>
            </w:pPr>
            <w:r>
              <w:rPr>
                <w:rFonts w:hint="eastAsia"/>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212" w:type="dxa"/>
            <w:shd w:val="clear" w:color="auto" w:fill="auto"/>
            <w:vAlign w:val="center"/>
          </w:tcPr>
          <w:p>
            <w:pPr>
              <w:pStyle w:val="105"/>
            </w:pPr>
            <w:r>
              <w:t>3</w:t>
            </w:r>
          </w:p>
        </w:tc>
        <w:tc>
          <w:tcPr>
            <w:tcW w:w="1134" w:type="dxa"/>
            <w:shd w:val="clear" w:color="auto" w:fill="auto"/>
            <w:vAlign w:val="center"/>
          </w:tcPr>
          <w:p>
            <w:pPr>
              <w:pStyle w:val="105"/>
            </w:pPr>
            <w:r>
              <w:t>1.4MHz</w:t>
            </w:r>
          </w:p>
        </w:tc>
        <w:tc>
          <w:tcPr>
            <w:tcW w:w="2734" w:type="dxa"/>
            <w:tcBorders>
              <w:top w:val="nil"/>
            </w:tcBorders>
            <w:shd w:val="clear" w:color="auto" w:fill="auto"/>
            <w:vAlign w:val="center"/>
          </w:tcPr>
          <w:p>
            <w:pPr>
              <w:pStyle w:val="105"/>
            </w:pPr>
          </w:p>
        </w:tc>
        <w:tc>
          <w:tcPr>
            <w:tcW w:w="1304" w:type="dxa"/>
            <w:shd w:val="clear" w:color="auto" w:fill="auto"/>
            <w:vAlign w:val="center"/>
          </w:tcPr>
          <w:p>
            <w:pPr>
              <w:pStyle w:val="105"/>
            </w:pPr>
            <w:r>
              <w:rPr>
                <w:rFonts w:hint="eastAsia"/>
              </w:rPr>
              <w:t>QPSK</w:t>
            </w:r>
          </w:p>
        </w:tc>
        <w:tc>
          <w:tcPr>
            <w:tcW w:w="3170" w:type="dxa"/>
            <w:shd w:val="clear" w:color="auto" w:fill="auto"/>
            <w:vAlign w:val="center"/>
          </w:tcPr>
          <w:p>
            <w:pPr>
              <w:pStyle w:val="105"/>
            </w:pPr>
            <w:r>
              <w:rPr>
                <w:rFonts w:hint="eastAsia"/>
              </w:rPr>
              <w:t>6</w:t>
            </w:r>
          </w:p>
        </w:tc>
      </w:tr>
    </w:tbl>
    <w:p/>
    <w:p>
      <w:pPr>
        <w:pStyle w:val="113"/>
        <w:rPr>
          <w:lang w:eastAsia="zh-CN"/>
        </w:rPr>
      </w:pPr>
      <w:r>
        <w:t>Table 6.2A.2.4.1-2: Test Configuration T</w:t>
      </w:r>
      <w:r>
        <w:rPr>
          <w:lang w:eastAsia="zh-CN"/>
        </w:rPr>
        <w:t>able, subPRB allocation</w:t>
      </w:r>
    </w:p>
    <w:tbl>
      <w:tblPr>
        <w:tblStyle w:val="89"/>
        <w:tblW w:w="0" w:type="auto"/>
        <w:jc w:val="center"/>
        <w:tblLayout w:type="fixed"/>
        <w:tblCellMar>
          <w:top w:w="0" w:type="dxa"/>
          <w:left w:w="70" w:type="dxa"/>
          <w:bottom w:w="0" w:type="dxa"/>
          <w:right w:w="70" w:type="dxa"/>
        </w:tblCellMar>
      </w:tblPr>
      <w:tblGrid>
        <w:gridCol w:w="1212"/>
        <w:gridCol w:w="1134"/>
        <w:gridCol w:w="2734"/>
        <w:gridCol w:w="1304"/>
        <w:gridCol w:w="1585"/>
        <w:gridCol w:w="1585"/>
      </w:tblGrid>
      <w:tr>
        <w:tblPrEx>
          <w:tblCellMar>
            <w:top w:w="0" w:type="dxa"/>
            <w:left w:w="70" w:type="dxa"/>
            <w:bottom w:w="0" w:type="dxa"/>
            <w:right w:w="70" w:type="dxa"/>
          </w:tblCellMar>
        </w:tblPrEx>
        <w:trPr>
          <w:jc w:val="center"/>
        </w:trPr>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Initial Conditions</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Test Environment as specified in</w:t>
            </w:r>
          </w:p>
          <w:p>
            <w:pPr>
              <w:pStyle w:val="103"/>
            </w:pPr>
            <w:r>
              <w:t>TS 36.508 [12] subclause 4.1</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Normal</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Frequencies as specified in</w:t>
            </w:r>
          </w:p>
          <w:p>
            <w:pPr>
              <w:pStyle w:val="103"/>
            </w:pPr>
            <w:r>
              <w:t>TS 36.508 [12] subclause 4.3.1</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Low range, Mid range, High range</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Channel Bandwidths as specified in</w:t>
            </w:r>
          </w:p>
          <w:p>
            <w:pPr>
              <w:pStyle w:val="103"/>
            </w:pPr>
            <w:r>
              <w:t>TS 36.508 [12] subclause 4.3.1</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lang w:val="en-US"/>
              </w:rPr>
              <w:t>1.4</w:t>
            </w:r>
            <w:r>
              <w:t>MHz</w:t>
            </w:r>
          </w:p>
        </w:tc>
      </w:tr>
      <w:tr>
        <w:tblPrEx>
          <w:tblCellMar>
            <w:top w:w="0" w:type="dxa"/>
            <w:left w:w="70" w:type="dxa"/>
            <w:bottom w:w="0" w:type="dxa"/>
            <w:right w:w="70" w:type="dxa"/>
          </w:tblCellMar>
        </w:tblPrEx>
        <w:trPr>
          <w:jc w:val="center"/>
        </w:trPr>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Parameters for Channel Bandwidths and Narrowband positions</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Downlink Configuration</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Uplink Configuration</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right w:val="single" w:color="auto" w:sz="4" w:space="0"/>
            </w:tcBorders>
            <w:shd w:val="clear" w:color="auto" w:fill="auto"/>
            <w:vAlign w:val="center"/>
          </w:tcPr>
          <w:p>
            <w:pPr>
              <w:pStyle w:val="104"/>
            </w:pPr>
            <w:r>
              <w:t>Configuration ID</w:t>
            </w:r>
          </w:p>
        </w:tc>
        <w:tc>
          <w:tcPr>
            <w:tcW w:w="1134" w:type="dxa"/>
            <w:tcBorders>
              <w:top w:val="single" w:color="auto" w:sz="4" w:space="0"/>
              <w:left w:val="single" w:color="auto" w:sz="4" w:space="0"/>
              <w:right w:val="single" w:color="auto" w:sz="4" w:space="0"/>
            </w:tcBorders>
            <w:shd w:val="clear" w:color="auto" w:fill="auto"/>
            <w:vAlign w:val="center"/>
          </w:tcPr>
          <w:p>
            <w:pPr>
              <w:pStyle w:val="104"/>
            </w:pPr>
            <w:r>
              <w:t>Ch BW</w:t>
            </w:r>
          </w:p>
        </w:tc>
        <w:tc>
          <w:tcPr>
            <w:tcW w:w="2734" w:type="dxa"/>
            <w:tcBorders>
              <w:top w:val="single" w:color="auto" w:sz="4" w:space="0"/>
              <w:left w:val="single" w:color="auto" w:sz="4" w:space="0"/>
              <w:right w:val="single" w:color="auto" w:sz="4" w:space="0"/>
            </w:tcBorders>
            <w:shd w:val="clear" w:color="auto" w:fill="auto"/>
            <w:vAlign w:val="center"/>
          </w:tcPr>
          <w:p>
            <w:pPr>
              <w:pStyle w:val="105"/>
            </w:pPr>
            <w:r>
              <w:t>N/A for Maximum Power Reduction (MPR) test case</w:t>
            </w:r>
          </w:p>
        </w:tc>
        <w:tc>
          <w:tcPr>
            <w:tcW w:w="1304" w:type="dxa"/>
            <w:tcBorders>
              <w:top w:val="single" w:color="auto" w:sz="4" w:space="0"/>
              <w:left w:val="single" w:color="auto" w:sz="4" w:space="0"/>
              <w:right w:val="single" w:color="auto" w:sz="4" w:space="0"/>
            </w:tcBorders>
            <w:shd w:val="clear" w:color="auto" w:fill="auto"/>
            <w:vAlign w:val="center"/>
          </w:tcPr>
          <w:p>
            <w:pPr>
              <w:pStyle w:val="104"/>
            </w:pPr>
            <w:r>
              <w:t>Mod'n</w:t>
            </w:r>
          </w:p>
        </w:tc>
        <w:tc>
          <w:tcPr>
            <w:tcW w:w="317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RB allocation</w:t>
            </w:r>
          </w:p>
        </w:tc>
      </w:tr>
      <w:tr>
        <w:tblPrEx>
          <w:tblCellMar>
            <w:top w:w="0" w:type="dxa"/>
            <w:left w:w="70" w:type="dxa"/>
            <w:bottom w:w="0" w:type="dxa"/>
            <w:right w:w="70" w:type="dxa"/>
          </w:tblCellMar>
        </w:tblPrEx>
        <w:trPr>
          <w:jc w:val="center"/>
        </w:trPr>
        <w:tc>
          <w:tcPr>
            <w:tcW w:w="1212" w:type="dxa"/>
            <w:tcBorders>
              <w:left w:val="single" w:color="auto" w:sz="4" w:space="0"/>
              <w:bottom w:val="single" w:color="auto" w:sz="4" w:space="0"/>
              <w:right w:val="single" w:color="auto" w:sz="4" w:space="0"/>
            </w:tcBorders>
            <w:shd w:val="clear" w:color="auto" w:fill="auto"/>
            <w:vAlign w:val="center"/>
          </w:tcPr>
          <w:p>
            <w:pPr>
              <w:pStyle w:val="105"/>
            </w:pPr>
          </w:p>
        </w:tc>
        <w:tc>
          <w:tcPr>
            <w:tcW w:w="1134" w:type="dxa"/>
            <w:tcBorders>
              <w:left w:val="single" w:color="auto" w:sz="4" w:space="0"/>
              <w:bottom w:val="single" w:color="auto" w:sz="4" w:space="0"/>
              <w:right w:val="single" w:color="auto" w:sz="4" w:space="0"/>
            </w:tcBorders>
            <w:shd w:val="clear" w:color="auto" w:fill="auto"/>
            <w:vAlign w:val="center"/>
          </w:tcPr>
          <w:p>
            <w:pPr>
              <w:pStyle w:val="105"/>
            </w:pPr>
          </w:p>
        </w:tc>
        <w:tc>
          <w:tcPr>
            <w:tcW w:w="2734" w:type="dxa"/>
            <w:tcBorders>
              <w:left w:val="single" w:color="auto" w:sz="4" w:space="0"/>
              <w:right w:val="single" w:color="auto" w:sz="4" w:space="0"/>
            </w:tcBorders>
            <w:shd w:val="clear" w:color="auto" w:fill="auto"/>
            <w:vAlign w:val="center"/>
          </w:tcPr>
          <w:p>
            <w:pPr>
              <w:pStyle w:val="105"/>
            </w:pPr>
          </w:p>
        </w:tc>
        <w:tc>
          <w:tcPr>
            <w:tcW w:w="1304" w:type="dxa"/>
            <w:tcBorders>
              <w:left w:val="single" w:color="auto" w:sz="4" w:space="0"/>
              <w:bottom w:val="single" w:color="auto" w:sz="4" w:space="0"/>
              <w:right w:val="single" w:color="auto" w:sz="4" w:space="0"/>
            </w:tcBorders>
            <w:shd w:val="clear" w:color="auto" w:fill="auto"/>
            <w:vAlign w:val="center"/>
          </w:tcPr>
          <w:p>
            <w:pPr>
              <w:pStyle w:val="105"/>
            </w:pP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FDD and HD-FDD</w:t>
            </w: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Narrowband index (Note 1)</w:t>
            </w:r>
          </w:p>
        </w:tc>
      </w:tr>
      <w:tr>
        <w:tblPrEx>
          <w:tblCellMar>
            <w:top w:w="0" w:type="dxa"/>
            <w:left w:w="70" w:type="dxa"/>
            <w:bottom w:w="0" w:type="dxa"/>
            <w:right w:w="70" w:type="dxa"/>
          </w:tblCellMar>
        </w:tblPrEx>
        <w:trPr>
          <w:jc w:val="center"/>
        </w:trPr>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 range, Mid range</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5"/>
            </w:pPr>
            <w:r>
              <w:t>1.4MHz</w:t>
            </w:r>
          </w:p>
        </w:tc>
        <w:tc>
          <w:tcPr>
            <w:tcW w:w="2734" w:type="dxa"/>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tcPr>
          <w:p>
            <w:pPr>
              <w:pStyle w:val="105"/>
            </w:pPr>
            <w:r>
              <w:t>QPSK</w:t>
            </w:r>
          </w:p>
        </w:tc>
        <w:tc>
          <w:tcPr>
            <w:tcW w:w="1585" w:type="dxa"/>
            <w:tcBorders>
              <w:top w:val="single" w:color="auto" w:sz="4" w:space="0"/>
              <w:left w:val="single" w:color="auto" w:sz="4" w:space="0"/>
              <w:bottom w:val="single" w:color="auto" w:sz="4" w:space="0"/>
              <w:right w:val="single" w:color="auto" w:sz="4" w:space="0"/>
            </w:tcBorders>
            <w:shd w:val="clear" w:color="auto" w:fill="auto"/>
          </w:tcPr>
          <w:p>
            <w:pPr>
              <w:pStyle w:val="105"/>
            </w:pPr>
            <w:r>
              <w:t>½ (6 SCs)</w:t>
            </w: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r>
      <w:tr>
        <w:tblPrEx>
          <w:tblCellMar>
            <w:top w:w="0" w:type="dxa"/>
            <w:left w:w="70" w:type="dxa"/>
            <w:bottom w:w="0" w:type="dxa"/>
            <w:right w:w="70" w:type="dxa"/>
          </w:tblCellMar>
        </w:tblPrEx>
        <w:trPr>
          <w:jc w:val="center"/>
        </w:trPr>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rPr>
                <w:lang w:eastAsia="zh-CN"/>
              </w:rPr>
              <w:t>High range</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5"/>
            </w:pPr>
            <w:r>
              <w:t>1.4MHz</w:t>
            </w:r>
          </w:p>
        </w:tc>
        <w:tc>
          <w:tcPr>
            <w:tcW w:w="2734" w:type="dxa"/>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tcPr>
          <w:p>
            <w:pPr>
              <w:pStyle w:val="105"/>
            </w:pPr>
            <w:r>
              <w:t>QPSK</w:t>
            </w:r>
          </w:p>
        </w:tc>
        <w:tc>
          <w:tcPr>
            <w:tcW w:w="1585" w:type="dxa"/>
            <w:tcBorders>
              <w:top w:val="single" w:color="auto" w:sz="4" w:space="0"/>
              <w:left w:val="single" w:color="auto" w:sz="4" w:space="0"/>
              <w:bottom w:val="single" w:color="auto" w:sz="4" w:space="0"/>
              <w:right w:val="single" w:color="auto" w:sz="4" w:space="0"/>
            </w:tcBorders>
            <w:shd w:val="clear" w:color="auto" w:fill="auto"/>
          </w:tcPr>
          <w:p>
            <w:pPr>
              <w:pStyle w:val="105"/>
            </w:pPr>
            <w:r>
              <w:t>½ (6 SCs)</w:t>
            </w: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r>
      <w:tr>
        <w:tblPrEx>
          <w:tblCellMar>
            <w:top w:w="0" w:type="dxa"/>
            <w:left w:w="70" w:type="dxa"/>
            <w:bottom w:w="0" w:type="dxa"/>
            <w:right w:w="70" w:type="dxa"/>
          </w:tblCellMar>
        </w:tblPrEx>
        <w:trPr>
          <w:jc w:val="center"/>
        </w:trPr>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18"/>
              <w:rPr>
                <w:szCs w:val="18"/>
              </w:rPr>
            </w:pPr>
            <w:r>
              <w:rPr>
                <w:szCs w:val="18"/>
              </w:rPr>
              <w:t>NOTE 1:</w:t>
            </w:r>
            <w:r>
              <w:tab/>
            </w:r>
            <w:r>
              <w:rPr>
                <w:szCs w:val="18"/>
              </w:rPr>
              <w:t>Denotes the lowest narrowband index in the channel bandwidth where the wideband shall be placed. The allocation is contiguous, starting from the lowest narrowband index. Narrowband, Narrowband index and Wideband are defined in TS 36.211 [3], 5.2.7.</w:t>
            </w:r>
          </w:p>
          <w:p>
            <w:pPr>
              <w:pStyle w:val="118"/>
            </w:pPr>
            <w:r>
              <w:t>N</w:t>
            </w:r>
            <w:r>
              <w:rPr>
                <w:szCs w:val="18"/>
              </w:rPr>
              <w:t>OTE</w:t>
            </w:r>
            <w:r>
              <w:t xml:space="preserve"> 2:</w:t>
            </w:r>
            <w:r>
              <w:tab/>
            </w:r>
            <w:r>
              <w:t>Test Channel Bandwidths are checked separately for each E-UTRA band, the applicable channel bandwidths are specified in Table 5.4.2.1-1.</w:t>
            </w:r>
          </w:p>
          <w:p>
            <w:pPr>
              <w:pStyle w:val="118"/>
            </w:pPr>
            <w:r>
              <w:rPr>
                <w:lang w:eastAsia="sv-SE"/>
              </w:rPr>
              <w:t>N</w:t>
            </w:r>
            <w:r>
              <w:rPr>
                <w:szCs w:val="18"/>
              </w:rPr>
              <w:t>OTE</w:t>
            </w:r>
            <w:r>
              <w:rPr>
                <w:lang w:eastAsia="sv-SE"/>
              </w:rPr>
              <w:t xml:space="preserve"> 3:</w:t>
            </w:r>
            <w:r>
              <w:rPr>
                <w:lang w:eastAsia="sv-SE"/>
              </w:rPr>
              <w:tab/>
            </w:r>
            <w:r>
              <w:rPr>
                <w:lang w:eastAsia="sv-SE"/>
              </w:rPr>
              <w:t>The SC</w:t>
            </w:r>
            <w:r>
              <w:rPr>
                <w:vertAlign w:val="subscript"/>
                <w:lang w:eastAsia="sv-SE"/>
              </w:rPr>
              <w:t>start</w:t>
            </w:r>
            <w:r>
              <w:rPr>
                <w:lang w:eastAsia="sv-SE"/>
              </w:rPr>
              <w:t xml:space="preserve"> shall be SC#0 and SC# (72 – RB allocation) of the narrowband, when RB allocation is defined as #SCs</w:t>
            </w:r>
          </w:p>
        </w:tc>
      </w:tr>
    </w:tbl>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6.2A.4.1-1.</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Annex B.0.</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w:t>
      </w:r>
      <w:r>
        <w:rPr>
          <w:rFonts w:eastAsia="Malgun Gothic"/>
          <w:lang w:eastAsia="en-GB"/>
        </w:rPr>
        <w:t>5</w:t>
      </w:r>
      <w:r>
        <w:rPr>
          <w:rFonts w:hint="eastAsia" w:eastAsia="Malgun Gothic"/>
          <w:lang w:eastAsia="en-GB"/>
        </w:rPr>
        <w:t>.</w:t>
      </w:r>
      <w:r>
        <w:rPr>
          <w:rFonts w:eastAsia="Malgun Gothic"/>
          <w:lang w:eastAsia="en-GB"/>
        </w:rPr>
        <w:t>6.1</w:t>
      </w:r>
      <w:r>
        <w:rPr>
          <w:rFonts w:hint="eastAsia" w:eastAsia="Malgun Gothic"/>
          <w:lang w:eastAsia="en-GB"/>
        </w:rPr>
        <w:t xml:space="preserve"> is provided to the UE through any preconfigured means. </w:t>
      </w:r>
    </w:p>
    <w:p>
      <w:pPr>
        <w:pStyle w:val="111"/>
        <w:overflowPunct w:val="0"/>
        <w:autoSpaceDE w:val="0"/>
        <w:autoSpaceDN w:val="0"/>
        <w:adjustRightInd w:val="0"/>
        <w:contextualSpacing w:val="0"/>
        <w:textAlignment w:val="baseline"/>
      </w:pPr>
      <w:r>
        <w:rPr>
          <w:rFonts w:hint="eastAsia" w:eastAsia="Malgun Gothic"/>
          <w:lang w:eastAsia="en-GB"/>
        </w:rPr>
        <w:t>7.</w:t>
      </w:r>
      <w:r>
        <w:rPr>
          <w:rFonts w:hint="eastAsia" w:eastAsia="Malgun Gothic"/>
          <w:lang w:eastAsia="en-GB"/>
        </w:rPr>
        <w:tab/>
      </w:r>
      <w:r>
        <w:t>Test equipment shall emul</w:t>
      </w:r>
      <w:r>
        <w:rPr>
          <w:color w:val="000000" w:themeColor="text1"/>
          <w14:textFill>
            <w14:solidFill>
              <w14:schemeClr w14:val="tx1"/>
            </w14:solidFill>
          </w14:textFill>
        </w:rPr>
        <w:t xml:space="preserve">ate </w:t>
      </w:r>
      <w:r>
        <w:rPr>
          <w:color w:val="000000" w:themeColor="text1"/>
          <w:lang w:eastAsia="en-GB"/>
          <w14:textFill>
            <w14:solidFill>
              <w14:schemeClr w14:val="tx1"/>
            </w14:solidFill>
          </w14:textFill>
        </w:rPr>
        <w:t>the signal with doppler and delay according to ephemeris defined in TS 36.508 [12] table 5.6.2.1-1 for GSO if UE supports only GSO or both GSO and NGSO satellites and table 5.6.2.1-3 for NGSO (LEO-1200) if UE supports only NGSO satellites</w:t>
      </w:r>
      <w:r>
        <w:rPr>
          <w:color w:val="000000" w:themeColor="text1"/>
          <w14:textFill>
            <w14:solidFill>
              <w14:schemeClr w14:val="tx1"/>
            </w14:solidFill>
          </w14:textFill>
        </w:rPr>
        <w:t xml:space="preserve">. </w:t>
      </w:r>
      <w:r>
        <w:t>Test system shall send same SIB31 information during the duration of the test as define in TS 36.508[12] clause 5.6.3.1</w:t>
      </w:r>
      <w:r>
        <w:rPr>
          <w:rFonts w:hint="eastAsia" w:eastAsia="宋体"/>
          <w:lang w:val="en-US" w:eastAsia="zh-CN"/>
        </w:rPr>
        <w:t>.</w:t>
      </w:r>
    </w:p>
    <w:p>
      <w:pPr>
        <w:pStyle w:val="111"/>
        <w:rPr>
          <w:rFonts w:eastAsia="宋体"/>
          <w:lang w:val="en-US" w:eastAsia="zh-CN"/>
        </w:rPr>
      </w:pPr>
      <w:r>
        <w:rPr>
          <w:lang w:eastAsia="en-GB"/>
        </w:rPr>
        <w:t>8</w:t>
      </w:r>
      <w:r>
        <w:rPr>
          <w:rFonts w:hint="eastAsia"/>
          <w:lang w:eastAsia="en-GB"/>
        </w:rPr>
        <w:t>.</w:t>
      </w:r>
      <w:r>
        <w:rPr>
          <w:rFonts w:hint="eastAsia"/>
          <w:lang w:eastAsia="en-GB"/>
        </w:rP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hint="eastAsia" w:eastAsia="Malgun Gothic"/>
          <w:lang w:eastAsia="en-GB"/>
        </w:rPr>
        <w:t>.</w:t>
      </w:r>
      <w:r>
        <w:rPr>
          <w:rFonts w:hint="eastAsia" w:eastAsia="Malgun Gothic"/>
          <w:lang w:eastAsia="en-GB"/>
        </w:rPr>
        <w:tab/>
      </w:r>
      <w:r>
        <w:rPr>
          <w:rFonts w:hint="eastAsia" w:eastAsia="Malgun Gothic"/>
          <w:lang w:eastAsia="en-GB"/>
        </w:rPr>
        <w:t>Ensure the UE is in State 3A-RF-CE according to TS 36.508 [12] clause 5.2A.2AA. Message contents are defined in clause 6.2A.4.3.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val="en-US" w:eastAsia="en-GB"/>
        </w:rPr>
        <w:t>10.</w:t>
      </w:r>
      <w:r>
        <w:rPr>
          <w:rFonts w:eastAsia="Malgun Gothic"/>
          <w:lang w:val="en-US" w:eastAsia="en-GB"/>
        </w:rPr>
        <w:tab/>
      </w:r>
      <w:r>
        <w:rPr>
          <w:rFonts w:eastAsia="Malgun Gothic"/>
          <w:lang w:eastAsia="en-GB"/>
        </w:rPr>
        <w:t>For UE supporting subPRB allocation, repeat step 1-6 with UL RMC according to Table 6.2A.2.4.1-2</w:t>
      </w:r>
    </w:p>
    <w:p>
      <w:pPr>
        <w:pStyle w:val="9"/>
      </w:pPr>
      <w:r>
        <w:t>6.2A.2.4.2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SS sends uplink scheduling information for each UL HARQ process via MPDCCH DCI format 6-0A for C_RNTI to schedule the UL RMC according to Table 6.2A.4.1-1.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Measure the mean power of the UE in the channel bandwidth of the radio access mode. The period of measurement shall be at least the continuous duration of one sub-frame (1ms). For HD-FDD slots with transient periods and Half-duplex guard subframe are not under test.</w:t>
      </w:r>
    </w:p>
    <w:p>
      <w:pPr>
        <w:pStyle w:val="9"/>
      </w:pPr>
      <w:r>
        <w:t>6.2A.2.4.3</w:t>
      </w:r>
      <w:r>
        <w:tab/>
      </w:r>
      <w:r>
        <w:rPr>
          <w:snapToGrid w:val="0"/>
        </w:rPr>
        <w:t>Message contents</w:t>
      </w:r>
    </w:p>
    <w:p>
      <w:r>
        <w:t>Message contents are according to TS 36.508 [12] subclause 4.6 with the condition CEModeA.</w:t>
      </w:r>
    </w:p>
    <w:p>
      <w:pPr>
        <w:pStyle w:val="9"/>
      </w:pPr>
      <w:r>
        <w:t>6.2A.2.4.4</w:t>
      </w:r>
      <w:r>
        <w:tab/>
      </w:r>
      <w:r>
        <w:t>Test requirements</w:t>
      </w:r>
    </w:p>
    <w:p>
      <w:r>
        <w:t xml:space="preserve">The maximum output power, derived in step </w:t>
      </w:r>
      <w:r>
        <w:rPr>
          <w:lang w:eastAsia="ja-JP"/>
        </w:rPr>
        <w:t>3</w:t>
      </w:r>
      <w:r>
        <w:t xml:space="preserve"> shall be within the range prescribed by the nominal maximum output power and tolerance in Table 6.2A.2.4.4-1</w:t>
      </w:r>
    </w:p>
    <w:p>
      <w:pPr>
        <w:pStyle w:val="113"/>
      </w:pPr>
      <w:r>
        <w:t>Table 6.2A.2.4.4-1: UE Power Class 3 and 5 test requirements</w:t>
      </w:r>
    </w:p>
    <w:tbl>
      <w:tblPr>
        <w:tblStyle w:val="89"/>
        <w:tblW w:w="10276" w:type="dxa"/>
        <w:jc w:val="center"/>
        <w:tblLayout w:type="fixed"/>
        <w:tblCellMar>
          <w:top w:w="0" w:type="dxa"/>
          <w:left w:w="70" w:type="dxa"/>
          <w:bottom w:w="0" w:type="dxa"/>
          <w:right w:w="70" w:type="dxa"/>
        </w:tblCellMar>
      </w:tblPr>
      <w:tblGrid>
        <w:gridCol w:w="964"/>
        <w:gridCol w:w="917"/>
        <w:gridCol w:w="918"/>
        <w:gridCol w:w="1132"/>
        <w:gridCol w:w="890"/>
        <w:gridCol w:w="892"/>
        <w:gridCol w:w="944"/>
        <w:gridCol w:w="943"/>
        <w:gridCol w:w="1134"/>
        <w:gridCol w:w="851"/>
        <w:gridCol w:w="691"/>
      </w:tblGrid>
      <w:tr>
        <w:tblPrEx>
          <w:tblCellMar>
            <w:top w:w="0" w:type="dxa"/>
            <w:left w:w="70" w:type="dxa"/>
            <w:bottom w:w="0" w:type="dxa"/>
            <w:right w:w="70" w:type="dxa"/>
          </w:tblCellMar>
        </w:tblPrEx>
        <w:trPr>
          <w:trHeight w:val="20" w:hRule="atLeast"/>
          <w:jc w:val="center"/>
        </w:trPr>
        <w:tc>
          <w:tcPr>
            <w:tcW w:w="96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Configuration ID</w:t>
            </w:r>
          </w:p>
        </w:tc>
        <w:tc>
          <w:tcPr>
            <w:tcW w:w="4749" w:type="dxa"/>
            <w:gridSpan w:val="5"/>
            <w:tcBorders>
              <w:top w:val="single" w:color="auto" w:sz="4" w:space="0"/>
              <w:left w:val="single" w:color="auto" w:sz="4" w:space="0"/>
              <w:bottom w:val="single" w:color="auto" w:sz="4" w:space="0"/>
              <w:right w:val="single" w:color="auto" w:sz="4" w:space="0"/>
            </w:tcBorders>
          </w:tcPr>
          <w:p>
            <w:pPr>
              <w:pStyle w:val="104"/>
            </w:pPr>
            <w:r>
              <w:t>Power class 3</w:t>
            </w:r>
          </w:p>
        </w:tc>
        <w:tc>
          <w:tcPr>
            <w:tcW w:w="4563" w:type="dxa"/>
            <w:gridSpan w:val="5"/>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20" w:hRule="atLeast"/>
          <w:jc w:val="center"/>
        </w:trPr>
        <w:tc>
          <w:tcPr>
            <w:tcW w:w="96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917" w:type="dxa"/>
            <w:tcBorders>
              <w:top w:val="single" w:color="auto" w:sz="4" w:space="0"/>
              <w:left w:val="single" w:color="auto" w:sz="4" w:space="0"/>
              <w:bottom w:val="single" w:color="auto" w:sz="4" w:space="0"/>
              <w:right w:val="single" w:color="auto" w:sz="4" w:space="0"/>
            </w:tcBorders>
          </w:tcPr>
          <w:p>
            <w:pPr>
              <w:pStyle w:val="104"/>
            </w:pPr>
            <w:r>
              <w:t>MPR (dB)</w:t>
            </w:r>
          </w:p>
        </w:tc>
        <w:tc>
          <w:tcPr>
            <w:tcW w:w="91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113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944" w:type="dxa"/>
            <w:tcBorders>
              <w:top w:val="single" w:color="auto" w:sz="4" w:space="0"/>
              <w:left w:val="single" w:color="auto" w:sz="4" w:space="0"/>
              <w:bottom w:val="single" w:color="auto" w:sz="4" w:space="0"/>
              <w:right w:val="single" w:color="auto" w:sz="4" w:space="0"/>
            </w:tcBorders>
          </w:tcPr>
          <w:p>
            <w:pPr>
              <w:pStyle w:val="104"/>
            </w:pPr>
            <w:r>
              <w:t>MPR (dB)</w:t>
            </w:r>
          </w:p>
        </w:tc>
        <w:tc>
          <w:tcPr>
            <w:tcW w:w="943"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CMAX_L,c</w:t>
            </w:r>
            <w:r>
              <w:t xml:space="preserve"> (dBm)</w:t>
            </w:r>
          </w:p>
        </w:tc>
        <w:tc>
          <w:tcPr>
            <w:tcW w:w="1134"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851"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691"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20" w:hRule="atLeast"/>
          <w:jc w:val="center"/>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1</w:t>
            </w:r>
          </w:p>
        </w:tc>
        <w:tc>
          <w:tcPr>
            <w:tcW w:w="917" w:type="dxa"/>
            <w:tcBorders>
              <w:top w:val="single" w:color="auto" w:sz="4" w:space="0"/>
              <w:left w:val="single" w:color="auto" w:sz="4" w:space="0"/>
              <w:bottom w:val="single" w:color="auto" w:sz="4" w:space="0"/>
              <w:right w:val="single" w:color="auto" w:sz="4" w:space="0"/>
            </w:tcBorders>
          </w:tcPr>
          <w:p>
            <w:pPr>
              <w:pStyle w:val="105"/>
            </w:pPr>
            <w:r>
              <w:t>0</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c>
          <w:tcPr>
            <w:tcW w:w="944" w:type="dxa"/>
            <w:tcBorders>
              <w:top w:val="single" w:color="auto" w:sz="4" w:space="0"/>
              <w:left w:val="single" w:color="auto" w:sz="4" w:space="0"/>
              <w:bottom w:val="single" w:color="auto" w:sz="4" w:space="0"/>
              <w:right w:val="single" w:color="auto" w:sz="4" w:space="0"/>
            </w:tcBorders>
          </w:tcPr>
          <w:p>
            <w:pPr>
              <w:pStyle w:val="105"/>
            </w:pPr>
            <w:r>
              <w:t>0</w:t>
            </w:r>
          </w:p>
        </w:tc>
        <w:tc>
          <w:tcPr>
            <w:tcW w:w="943" w:type="dxa"/>
            <w:tcBorders>
              <w:top w:val="single" w:color="auto" w:sz="4" w:space="0"/>
              <w:left w:val="single" w:color="auto" w:sz="4" w:space="0"/>
              <w:bottom w:val="single" w:color="auto" w:sz="4" w:space="0"/>
              <w:right w:val="single" w:color="auto" w:sz="4" w:space="0"/>
            </w:tcBorders>
          </w:tcPr>
          <w:p>
            <w:pPr>
              <w:pStyle w:val="105"/>
            </w:pPr>
            <w:r>
              <w:t>20</w:t>
            </w:r>
          </w:p>
        </w:tc>
        <w:tc>
          <w:tcPr>
            <w:tcW w:w="1134" w:type="dxa"/>
            <w:tcBorders>
              <w:top w:val="single" w:color="auto" w:sz="4" w:space="0"/>
              <w:left w:val="single" w:color="auto" w:sz="4" w:space="0"/>
              <w:bottom w:val="single" w:color="auto" w:sz="4" w:space="0"/>
              <w:right w:val="single" w:color="auto" w:sz="4" w:space="0"/>
            </w:tcBorders>
          </w:tcPr>
          <w:p>
            <w:pPr>
              <w:pStyle w:val="105"/>
            </w:pPr>
            <w:r>
              <w:t>2.0</w:t>
            </w:r>
          </w:p>
        </w:tc>
        <w:tc>
          <w:tcPr>
            <w:tcW w:w="851" w:type="dxa"/>
            <w:tcBorders>
              <w:top w:val="single" w:color="auto" w:sz="4" w:space="0"/>
              <w:left w:val="single" w:color="auto" w:sz="4" w:space="0"/>
              <w:bottom w:val="single" w:color="auto" w:sz="4" w:space="0"/>
              <w:right w:val="single" w:color="auto" w:sz="4" w:space="0"/>
            </w:tcBorders>
          </w:tcPr>
          <w:p>
            <w:pPr>
              <w:pStyle w:val="105"/>
            </w:pPr>
            <w:r>
              <w:t>22.7</w:t>
            </w:r>
          </w:p>
        </w:tc>
        <w:tc>
          <w:tcPr>
            <w:tcW w:w="691" w:type="dxa"/>
            <w:tcBorders>
              <w:top w:val="single" w:color="auto" w:sz="4" w:space="0"/>
              <w:left w:val="single" w:color="auto" w:sz="4" w:space="0"/>
              <w:bottom w:val="single" w:color="auto" w:sz="4" w:space="0"/>
              <w:right w:val="single" w:color="auto" w:sz="4" w:space="0"/>
            </w:tcBorders>
          </w:tcPr>
          <w:p>
            <w:pPr>
              <w:pStyle w:val="105"/>
            </w:pPr>
            <w:r>
              <w:t>17.3</w:t>
            </w:r>
          </w:p>
        </w:tc>
      </w:tr>
      <w:tr>
        <w:tblPrEx>
          <w:tblCellMar>
            <w:top w:w="0" w:type="dxa"/>
            <w:left w:w="70" w:type="dxa"/>
            <w:bottom w:w="0" w:type="dxa"/>
            <w:right w:w="70" w:type="dxa"/>
          </w:tblCellMar>
        </w:tblPrEx>
        <w:trPr>
          <w:trHeight w:val="20" w:hRule="atLeast"/>
          <w:jc w:val="center"/>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917" w:type="dxa"/>
            <w:tcBorders>
              <w:top w:val="single" w:color="auto" w:sz="4" w:space="0"/>
              <w:left w:val="single" w:color="auto" w:sz="4" w:space="0"/>
              <w:bottom w:val="single" w:color="auto" w:sz="4" w:space="0"/>
              <w:right w:val="single" w:color="auto" w:sz="4" w:space="0"/>
            </w:tcBorders>
          </w:tcPr>
          <w:p>
            <w:pPr>
              <w:pStyle w:val="105"/>
            </w:pPr>
            <w:r>
              <w:t>1</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22</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19.3</w:t>
            </w:r>
          </w:p>
        </w:tc>
        <w:tc>
          <w:tcPr>
            <w:tcW w:w="944" w:type="dxa"/>
            <w:tcBorders>
              <w:top w:val="single" w:color="auto" w:sz="4" w:space="0"/>
              <w:left w:val="single" w:color="auto" w:sz="4" w:space="0"/>
              <w:bottom w:val="single" w:color="auto" w:sz="4" w:space="0"/>
              <w:right w:val="single" w:color="auto" w:sz="4" w:space="0"/>
            </w:tcBorders>
          </w:tcPr>
          <w:p>
            <w:pPr>
              <w:pStyle w:val="105"/>
            </w:pPr>
            <w:r>
              <w:t>1</w:t>
            </w:r>
          </w:p>
        </w:tc>
        <w:tc>
          <w:tcPr>
            <w:tcW w:w="943" w:type="dxa"/>
            <w:tcBorders>
              <w:top w:val="single" w:color="auto" w:sz="4" w:space="0"/>
              <w:left w:val="single" w:color="auto" w:sz="4" w:space="0"/>
              <w:bottom w:val="single" w:color="auto" w:sz="4" w:space="0"/>
              <w:right w:val="single" w:color="auto" w:sz="4" w:space="0"/>
            </w:tcBorders>
          </w:tcPr>
          <w:p>
            <w:pPr>
              <w:pStyle w:val="105"/>
            </w:pPr>
            <w:r>
              <w:t>19</w:t>
            </w:r>
          </w:p>
        </w:tc>
        <w:tc>
          <w:tcPr>
            <w:tcW w:w="1134" w:type="dxa"/>
            <w:tcBorders>
              <w:top w:val="single" w:color="auto" w:sz="4" w:space="0"/>
              <w:left w:val="single" w:color="auto" w:sz="4" w:space="0"/>
              <w:bottom w:val="single" w:color="auto" w:sz="4" w:space="0"/>
              <w:right w:val="single" w:color="auto" w:sz="4" w:space="0"/>
            </w:tcBorders>
          </w:tcPr>
          <w:p>
            <w:pPr>
              <w:pStyle w:val="105"/>
            </w:pPr>
            <w:r>
              <w:t>3.5</w:t>
            </w:r>
          </w:p>
        </w:tc>
        <w:tc>
          <w:tcPr>
            <w:tcW w:w="851" w:type="dxa"/>
            <w:tcBorders>
              <w:top w:val="single" w:color="auto" w:sz="4" w:space="0"/>
              <w:left w:val="single" w:color="auto" w:sz="4" w:space="0"/>
              <w:bottom w:val="single" w:color="auto" w:sz="4" w:space="0"/>
              <w:right w:val="single" w:color="auto" w:sz="4" w:space="0"/>
            </w:tcBorders>
          </w:tcPr>
          <w:p>
            <w:pPr>
              <w:pStyle w:val="105"/>
            </w:pPr>
            <w:r>
              <w:t>22.7</w:t>
            </w:r>
          </w:p>
        </w:tc>
        <w:tc>
          <w:tcPr>
            <w:tcW w:w="691" w:type="dxa"/>
            <w:tcBorders>
              <w:top w:val="single" w:color="auto" w:sz="4" w:space="0"/>
              <w:left w:val="single" w:color="auto" w:sz="4" w:space="0"/>
              <w:bottom w:val="single" w:color="auto" w:sz="4" w:space="0"/>
              <w:right w:val="single" w:color="auto" w:sz="4" w:space="0"/>
            </w:tcBorders>
          </w:tcPr>
          <w:p>
            <w:pPr>
              <w:pStyle w:val="105"/>
            </w:pPr>
            <w:r>
              <w:t>14.8</w:t>
            </w:r>
          </w:p>
        </w:tc>
      </w:tr>
      <w:tr>
        <w:tblPrEx>
          <w:tblCellMar>
            <w:top w:w="0" w:type="dxa"/>
            <w:left w:w="70" w:type="dxa"/>
            <w:bottom w:w="0" w:type="dxa"/>
            <w:right w:w="70" w:type="dxa"/>
          </w:tblCellMar>
        </w:tblPrEx>
        <w:trPr>
          <w:trHeight w:val="20" w:hRule="atLeast"/>
          <w:jc w:val="center"/>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3</w:t>
            </w:r>
          </w:p>
        </w:tc>
        <w:tc>
          <w:tcPr>
            <w:tcW w:w="917" w:type="dxa"/>
            <w:tcBorders>
              <w:top w:val="single" w:color="auto" w:sz="4" w:space="0"/>
              <w:left w:val="single" w:color="auto" w:sz="4" w:space="0"/>
              <w:bottom w:val="single" w:color="auto" w:sz="4" w:space="0"/>
              <w:right w:val="single" w:color="auto" w:sz="4" w:space="0"/>
            </w:tcBorders>
          </w:tcPr>
          <w:p>
            <w:pPr>
              <w:pStyle w:val="105"/>
            </w:pPr>
            <w:r>
              <w:t>2</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21</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18.3</w:t>
            </w:r>
          </w:p>
        </w:tc>
        <w:tc>
          <w:tcPr>
            <w:tcW w:w="944" w:type="dxa"/>
            <w:tcBorders>
              <w:top w:val="single" w:color="auto" w:sz="4" w:space="0"/>
              <w:left w:val="single" w:color="auto" w:sz="4" w:space="0"/>
              <w:bottom w:val="single" w:color="auto" w:sz="4" w:space="0"/>
              <w:right w:val="single" w:color="auto" w:sz="4" w:space="0"/>
            </w:tcBorders>
          </w:tcPr>
          <w:p>
            <w:pPr>
              <w:pStyle w:val="105"/>
            </w:pPr>
            <w:r>
              <w:t>2</w:t>
            </w:r>
          </w:p>
        </w:tc>
        <w:tc>
          <w:tcPr>
            <w:tcW w:w="943" w:type="dxa"/>
            <w:tcBorders>
              <w:top w:val="single" w:color="auto" w:sz="4" w:space="0"/>
              <w:left w:val="single" w:color="auto" w:sz="4" w:space="0"/>
              <w:bottom w:val="single" w:color="auto" w:sz="4" w:space="0"/>
              <w:right w:val="single" w:color="auto" w:sz="4" w:space="0"/>
            </w:tcBorders>
          </w:tcPr>
          <w:p>
            <w:pPr>
              <w:pStyle w:val="105"/>
            </w:pPr>
            <w:r>
              <w:t>18</w:t>
            </w:r>
          </w:p>
        </w:tc>
        <w:tc>
          <w:tcPr>
            <w:tcW w:w="1134" w:type="dxa"/>
            <w:tcBorders>
              <w:top w:val="single" w:color="auto" w:sz="4" w:space="0"/>
              <w:left w:val="single" w:color="auto" w:sz="4" w:space="0"/>
              <w:bottom w:val="single" w:color="auto" w:sz="4" w:space="0"/>
              <w:right w:val="single" w:color="auto" w:sz="4" w:space="0"/>
            </w:tcBorders>
          </w:tcPr>
          <w:p>
            <w:pPr>
              <w:pStyle w:val="105"/>
            </w:pPr>
            <w:r>
              <w:t>4.0</w:t>
            </w:r>
          </w:p>
        </w:tc>
        <w:tc>
          <w:tcPr>
            <w:tcW w:w="851" w:type="dxa"/>
            <w:tcBorders>
              <w:top w:val="single" w:color="auto" w:sz="4" w:space="0"/>
              <w:left w:val="single" w:color="auto" w:sz="4" w:space="0"/>
              <w:bottom w:val="single" w:color="auto" w:sz="4" w:space="0"/>
              <w:right w:val="single" w:color="auto" w:sz="4" w:space="0"/>
            </w:tcBorders>
          </w:tcPr>
          <w:p>
            <w:pPr>
              <w:pStyle w:val="105"/>
            </w:pPr>
            <w:r>
              <w:t>22.7</w:t>
            </w:r>
          </w:p>
        </w:tc>
        <w:tc>
          <w:tcPr>
            <w:tcW w:w="691" w:type="dxa"/>
            <w:tcBorders>
              <w:top w:val="single" w:color="auto" w:sz="4" w:space="0"/>
              <w:left w:val="single" w:color="auto" w:sz="4" w:space="0"/>
              <w:bottom w:val="single" w:color="auto" w:sz="4" w:space="0"/>
              <w:right w:val="single" w:color="auto" w:sz="4" w:space="0"/>
            </w:tcBorders>
          </w:tcPr>
          <w:p>
            <w:pPr>
              <w:pStyle w:val="105"/>
            </w:pPr>
            <w:r>
              <w:t>13.3</w:t>
            </w:r>
          </w:p>
        </w:tc>
      </w:tr>
      <w:tr>
        <w:tblPrEx>
          <w:tblCellMar>
            <w:top w:w="0" w:type="dxa"/>
            <w:left w:w="70" w:type="dxa"/>
            <w:bottom w:w="0" w:type="dxa"/>
            <w:right w:w="70" w:type="dxa"/>
          </w:tblCellMar>
        </w:tblPrEx>
        <w:trPr>
          <w:trHeight w:val="20" w:hRule="atLeast"/>
          <w:jc w:val="center"/>
        </w:trPr>
        <w:tc>
          <w:tcPr>
            <w:tcW w:w="10276" w:type="dxa"/>
            <w:gridSpan w:val="11"/>
            <w:tcBorders>
              <w:top w:val="single" w:color="auto" w:sz="4" w:space="0"/>
              <w:left w:val="single" w:color="auto" w:sz="4" w:space="0"/>
              <w:bottom w:val="single" w:color="auto" w:sz="4" w:space="0"/>
              <w:right w:val="single" w:color="auto" w:sz="4" w:space="0"/>
            </w:tcBorders>
            <w:shd w:val="clear" w:color="auto" w:fill="auto"/>
            <w:vAlign w:val="center"/>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36.102 [11]  clause 6.2A.4</w:t>
            </w:r>
            <w:r>
              <w:rPr>
                <w:rFonts w:hint="eastAsia"/>
              </w:rPr>
              <w:t>.</w:t>
            </w:r>
          </w:p>
        </w:tc>
      </w:tr>
    </w:tbl>
    <w:p/>
    <w:p>
      <w:pPr>
        <w:pStyle w:val="113"/>
      </w:pPr>
      <w:r>
        <w:t>Table 6.2A.2.4.4-1a: UE Power Class 3 test requirements for bands, subPRB allocation</w:t>
      </w:r>
    </w:p>
    <w:tbl>
      <w:tblPr>
        <w:tblStyle w:val="89"/>
        <w:tblW w:w="5713" w:type="dxa"/>
        <w:jc w:val="center"/>
        <w:tblLayout w:type="fixed"/>
        <w:tblCellMar>
          <w:top w:w="0" w:type="dxa"/>
          <w:left w:w="70" w:type="dxa"/>
          <w:bottom w:w="0" w:type="dxa"/>
          <w:right w:w="70" w:type="dxa"/>
        </w:tblCellMar>
      </w:tblPr>
      <w:tblGrid>
        <w:gridCol w:w="964"/>
        <w:gridCol w:w="917"/>
        <w:gridCol w:w="918"/>
        <w:gridCol w:w="1132"/>
        <w:gridCol w:w="890"/>
        <w:gridCol w:w="892"/>
      </w:tblGrid>
      <w:tr>
        <w:tblPrEx>
          <w:tblCellMar>
            <w:top w:w="0" w:type="dxa"/>
            <w:left w:w="70" w:type="dxa"/>
            <w:bottom w:w="0" w:type="dxa"/>
            <w:right w:w="70" w:type="dxa"/>
          </w:tblCellMar>
        </w:tblPrEx>
        <w:trPr>
          <w:trHeight w:val="20" w:hRule="atLeast"/>
          <w:jc w:val="center"/>
        </w:trPr>
        <w:tc>
          <w:tcPr>
            <w:tcW w:w="96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Configuration ID</w:t>
            </w:r>
          </w:p>
        </w:tc>
        <w:tc>
          <w:tcPr>
            <w:tcW w:w="4749" w:type="dxa"/>
            <w:gridSpan w:val="5"/>
            <w:tcBorders>
              <w:top w:val="single" w:color="auto" w:sz="4" w:space="0"/>
              <w:left w:val="single" w:color="auto" w:sz="4" w:space="0"/>
              <w:bottom w:val="single" w:color="auto" w:sz="4" w:space="0"/>
              <w:right w:val="single" w:color="auto" w:sz="4" w:space="0"/>
            </w:tcBorders>
          </w:tcPr>
          <w:p>
            <w:pPr>
              <w:pStyle w:val="104"/>
            </w:pPr>
            <w:r>
              <w:t>Power class 3</w:t>
            </w:r>
          </w:p>
        </w:tc>
      </w:tr>
      <w:tr>
        <w:tblPrEx>
          <w:tblCellMar>
            <w:top w:w="0" w:type="dxa"/>
            <w:left w:w="70" w:type="dxa"/>
            <w:bottom w:w="0" w:type="dxa"/>
            <w:right w:w="70" w:type="dxa"/>
          </w:tblCellMar>
        </w:tblPrEx>
        <w:trPr>
          <w:trHeight w:val="20" w:hRule="atLeast"/>
          <w:jc w:val="center"/>
        </w:trPr>
        <w:tc>
          <w:tcPr>
            <w:tcW w:w="96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917" w:type="dxa"/>
            <w:tcBorders>
              <w:top w:val="single" w:color="auto" w:sz="4" w:space="0"/>
              <w:left w:val="single" w:color="auto" w:sz="4" w:space="0"/>
              <w:bottom w:val="single" w:color="auto" w:sz="4" w:space="0"/>
              <w:right w:val="single" w:color="auto" w:sz="4" w:space="0"/>
            </w:tcBorders>
          </w:tcPr>
          <w:p>
            <w:pPr>
              <w:pStyle w:val="104"/>
            </w:pPr>
            <w:r>
              <w:t>MPR (dB)</w:t>
            </w:r>
          </w:p>
        </w:tc>
        <w:tc>
          <w:tcPr>
            <w:tcW w:w="91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113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r>
      <w:tr>
        <w:tblPrEx>
          <w:tblCellMar>
            <w:top w:w="0" w:type="dxa"/>
            <w:left w:w="70" w:type="dxa"/>
            <w:bottom w:w="0" w:type="dxa"/>
            <w:right w:w="70" w:type="dxa"/>
          </w:tblCellMar>
        </w:tblPrEx>
        <w:trPr>
          <w:trHeight w:val="20" w:hRule="atLeast"/>
          <w:jc w:val="center"/>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1</w:t>
            </w:r>
          </w:p>
        </w:tc>
        <w:tc>
          <w:tcPr>
            <w:tcW w:w="917" w:type="dxa"/>
            <w:tcBorders>
              <w:top w:val="single" w:color="auto" w:sz="4" w:space="0"/>
              <w:left w:val="single" w:color="auto" w:sz="4" w:space="0"/>
              <w:bottom w:val="single" w:color="auto" w:sz="4" w:space="0"/>
              <w:right w:val="single" w:color="auto" w:sz="4" w:space="0"/>
            </w:tcBorders>
          </w:tcPr>
          <w:p>
            <w:pPr>
              <w:pStyle w:val="105"/>
            </w:pPr>
            <w:r>
              <w:t>0</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r>
      <w:tr>
        <w:tblPrEx>
          <w:tblCellMar>
            <w:top w:w="0" w:type="dxa"/>
            <w:left w:w="70" w:type="dxa"/>
            <w:bottom w:w="0" w:type="dxa"/>
            <w:right w:w="70" w:type="dxa"/>
          </w:tblCellMar>
        </w:tblPrEx>
        <w:trPr>
          <w:trHeight w:val="20" w:hRule="atLeast"/>
          <w:jc w:val="center"/>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917" w:type="dxa"/>
            <w:tcBorders>
              <w:top w:val="single" w:color="auto" w:sz="4" w:space="0"/>
              <w:left w:val="single" w:color="auto" w:sz="4" w:space="0"/>
              <w:bottom w:val="single" w:color="auto" w:sz="4" w:space="0"/>
              <w:right w:val="single" w:color="auto" w:sz="4" w:space="0"/>
            </w:tcBorders>
          </w:tcPr>
          <w:p>
            <w:pPr>
              <w:pStyle w:val="105"/>
            </w:pPr>
            <w:r>
              <w:t>0</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r>
      <w:tr>
        <w:tblPrEx>
          <w:tblCellMar>
            <w:top w:w="0" w:type="dxa"/>
            <w:left w:w="70" w:type="dxa"/>
            <w:bottom w:w="0" w:type="dxa"/>
            <w:right w:w="70" w:type="dxa"/>
          </w:tblCellMar>
        </w:tblPrEx>
        <w:trPr>
          <w:trHeight w:val="20" w:hRule="atLeast"/>
          <w:jc w:val="center"/>
        </w:trPr>
        <w:tc>
          <w:tcPr>
            <w:tcW w:w="5713" w:type="dxa"/>
            <w:gridSpan w:val="6"/>
            <w:tcBorders>
              <w:top w:val="single" w:color="auto" w:sz="4" w:space="0"/>
              <w:left w:val="single" w:color="auto" w:sz="4" w:space="0"/>
              <w:bottom w:val="single" w:color="auto" w:sz="4" w:space="0"/>
              <w:right w:val="single" w:color="auto" w:sz="4" w:space="0"/>
            </w:tcBorders>
            <w:shd w:val="clear" w:color="auto" w:fill="auto"/>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36.102 [11]  clause 6.2A.4.</w:t>
            </w:r>
          </w:p>
        </w:tc>
      </w:tr>
    </w:tbl>
    <w:p/>
    <w:p>
      <w:pPr>
        <w:pStyle w:val="5"/>
      </w:pPr>
      <w:bookmarkStart w:id="400" w:name="_Toc7021"/>
      <w:bookmarkStart w:id="401" w:name="_Toc17731"/>
      <w:bookmarkStart w:id="402" w:name="_Toc15902"/>
      <w:bookmarkStart w:id="403" w:name="_Toc120570027"/>
      <w:bookmarkStart w:id="404" w:name="_Toc18738"/>
      <w:bookmarkStart w:id="405" w:name="_Toc31100"/>
      <w:bookmarkStart w:id="406" w:name="_Toc10474"/>
      <w:bookmarkStart w:id="407" w:name="_Toc121162819"/>
      <w:bookmarkStart w:id="408" w:name="_Toc4144"/>
      <w:r>
        <w:t>6.2A.3</w:t>
      </w:r>
      <w:r>
        <w:tab/>
      </w:r>
      <w:r>
        <w:t>UE additional maximum output power reduction for category M1 UE</w:t>
      </w:r>
      <w:bookmarkEnd w:id="400"/>
      <w:bookmarkEnd w:id="401"/>
      <w:bookmarkEnd w:id="402"/>
      <w:bookmarkEnd w:id="403"/>
      <w:bookmarkEnd w:id="404"/>
      <w:bookmarkEnd w:id="405"/>
      <w:bookmarkEnd w:id="406"/>
      <w:bookmarkEnd w:id="407"/>
      <w:bookmarkEnd w:id="408"/>
    </w:p>
    <w:p>
      <w:pPr>
        <w:pStyle w:val="112"/>
        <w:rPr>
          <w:i w:val="0"/>
          <w:iCs w:val="0"/>
          <w:lang w:val="en-US"/>
        </w:rPr>
      </w:pPr>
      <w:r>
        <w:rPr>
          <w:i w:val="0"/>
          <w:iCs w:val="0"/>
        </w:rPr>
        <w:t>Editor’s Note: Addition to applicability spec is pending.</w:t>
      </w:r>
    </w:p>
    <w:p>
      <w:pPr>
        <w:pStyle w:val="9"/>
      </w:pPr>
      <w:r>
        <w:t>6.2A.3.1</w:t>
      </w:r>
      <w:r>
        <w:tab/>
      </w:r>
      <w:r>
        <w:t>Test purpose</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Pr>
          <w:lang w:eastAsia="ja-JP"/>
        </w:rPr>
        <w:t>A.1</w:t>
      </w:r>
      <w:r>
        <w:t>-1. Unless stated otherwise, an A-MPR of 0 dB shall be used.</w:t>
      </w:r>
    </w:p>
    <w:p>
      <w:pPr>
        <w:pStyle w:val="9"/>
      </w:pPr>
      <w:r>
        <w:t>6.2A.3.2</w:t>
      </w:r>
      <w:r>
        <w:tab/>
      </w:r>
      <w:r>
        <w:t>Test applicability</w:t>
      </w:r>
    </w:p>
    <w:p>
      <w:r>
        <w:t>The requirements of this test apply in test case 6.5</w:t>
      </w:r>
      <w:r>
        <w:rPr>
          <w:lang w:eastAsia="ja-JP"/>
        </w:rPr>
        <w:t>A.3.3</w:t>
      </w:r>
      <w:r>
        <w:t xml:space="preserve"> Additional Spectrum Emission Mask for network signalled values NS_02N and NS-24 to all types of E-UTRA UE release 17 and forward of UE category M1 that support satellite access operation.</w:t>
      </w:r>
    </w:p>
    <w:p>
      <w:r>
        <w:t>The requirements of this test apply in test case 6.5A.4.4 Additional Spurious Emissions for network signalled values NS_02N and NS_24 to all types of E-UTRA UE release 17 and forward of UE category M1 that support satellite access operation.</w:t>
      </w:r>
    </w:p>
    <w:p>
      <w:pPr>
        <w:pStyle w:val="9"/>
      </w:pPr>
      <w:r>
        <w:t>6.2A.3.3</w:t>
      </w:r>
      <w:r>
        <w:tab/>
      </w:r>
      <w:r>
        <w:t>Minimum conformance requirements</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r>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pPr>
        <w:pStyle w:val="113"/>
      </w:pPr>
      <w:r>
        <w:t>Table 6.2A.3-1: Additional Maximum Power Reduction (A-MPR) for category M1 UE</w:t>
      </w:r>
    </w:p>
    <w:tbl>
      <w:tblPr>
        <w:tblStyle w:val="89"/>
        <w:tblW w:w="71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0"/>
        <w:gridCol w:w="1509"/>
        <w:gridCol w:w="1644"/>
        <w:gridCol w:w="1446"/>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1100" w:type="dxa"/>
          </w:tcPr>
          <w:p>
            <w:pPr>
              <w:pStyle w:val="104"/>
              <w:rPr>
                <w:rFonts w:cs="Arial"/>
              </w:rPr>
            </w:pPr>
            <w:r>
              <w:rPr>
                <w:rFonts w:cs="Arial"/>
              </w:rPr>
              <w:t>Network Signalling value</w:t>
            </w:r>
          </w:p>
        </w:tc>
        <w:tc>
          <w:tcPr>
            <w:tcW w:w="1509" w:type="dxa"/>
            <w:shd w:val="clear" w:color="auto" w:fill="auto"/>
          </w:tcPr>
          <w:p>
            <w:pPr>
              <w:pStyle w:val="104"/>
              <w:rPr>
                <w:rFonts w:cs="Arial"/>
              </w:rPr>
            </w:pPr>
            <w:r>
              <w:rPr>
                <w:rFonts w:cs="Arial"/>
              </w:rPr>
              <w:t>Requirements (subclause)</w:t>
            </w:r>
          </w:p>
        </w:tc>
        <w:tc>
          <w:tcPr>
            <w:tcW w:w="1644" w:type="dxa"/>
            <w:shd w:val="clear" w:color="auto" w:fill="auto"/>
          </w:tcPr>
          <w:p>
            <w:pPr>
              <w:pStyle w:val="104"/>
              <w:rPr>
                <w:rFonts w:cs="Arial"/>
              </w:rPr>
            </w:pPr>
            <w:r>
              <w:rPr>
                <w:rFonts w:cs="Arial"/>
              </w:rPr>
              <w:t>E-UTRA Band</w:t>
            </w:r>
          </w:p>
        </w:tc>
        <w:tc>
          <w:tcPr>
            <w:tcW w:w="1446" w:type="dxa"/>
            <w:shd w:val="clear" w:color="auto" w:fill="auto"/>
          </w:tcPr>
          <w:p>
            <w:pPr>
              <w:pStyle w:val="104"/>
              <w:rPr>
                <w:rFonts w:cs="Arial"/>
              </w:rPr>
            </w:pPr>
            <w:r>
              <w:rPr>
                <w:rFonts w:cs="Arial"/>
              </w:rPr>
              <w:t>Resources Blocks</w:t>
            </w:r>
            <w:r>
              <w:rPr>
                <w:rFonts w:cs="Arial"/>
                <w:lang w:eastAsia="zh-CN"/>
              </w:rPr>
              <w:t xml:space="preserve"> </w:t>
            </w:r>
            <w:r>
              <w:rPr>
                <w:rFonts w:cs="Arial"/>
              </w:rPr>
              <w:t>(</w:t>
            </w:r>
            <w:r>
              <w:rPr>
                <w:rFonts w:cs="Arial"/>
                <w:i/>
                <w:iCs/>
              </w:rPr>
              <w:t>N</w:t>
            </w:r>
            <w:r>
              <w:rPr>
                <w:rFonts w:cs="Arial"/>
                <w:vertAlign w:val="subscript"/>
              </w:rPr>
              <w:t>RB</w:t>
            </w:r>
            <w:r>
              <w:rPr>
                <w:rFonts w:cs="Arial"/>
              </w:rPr>
              <w:t>)</w:t>
            </w:r>
          </w:p>
        </w:tc>
        <w:tc>
          <w:tcPr>
            <w:tcW w:w="1417" w:type="dxa"/>
          </w:tcPr>
          <w:p>
            <w:pPr>
              <w:pStyle w:val="104"/>
              <w:rPr>
                <w:rFonts w:cs="Arial"/>
              </w:rPr>
            </w:pPr>
            <w:r>
              <w:rPr>
                <w:rFonts w:cs="Arial"/>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rPr>
                <w:rFonts w:cs="Arial"/>
              </w:rPr>
            </w:pPr>
            <w:r>
              <w:rPr>
                <w:rFonts w:cs="Arial"/>
              </w:rPr>
              <w:t>NS_01</w:t>
            </w:r>
          </w:p>
        </w:tc>
        <w:tc>
          <w:tcPr>
            <w:tcW w:w="1509" w:type="dxa"/>
            <w:shd w:val="clear" w:color="auto" w:fill="auto"/>
            <w:vAlign w:val="center"/>
          </w:tcPr>
          <w:p>
            <w:pPr>
              <w:pStyle w:val="105"/>
              <w:rPr>
                <w:rFonts w:cs="Arial"/>
              </w:rPr>
            </w:pPr>
            <w:r>
              <w:t>6.5A.4.2</w:t>
            </w:r>
          </w:p>
        </w:tc>
        <w:tc>
          <w:tcPr>
            <w:tcW w:w="1644" w:type="dxa"/>
            <w:shd w:val="clear" w:color="auto" w:fill="auto"/>
            <w:vAlign w:val="center"/>
          </w:tcPr>
          <w:p>
            <w:pPr>
              <w:pStyle w:val="105"/>
              <w:rPr>
                <w:rFonts w:cs="Arial"/>
              </w:rPr>
            </w:pPr>
            <w:r>
              <w:t>Table 5.2-1</w:t>
            </w:r>
          </w:p>
        </w:tc>
        <w:tc>
          <w:tcPr>
            <w:tcW w:w="1446" w:type="dxa"/>
            <w:shd w:val="clear" w:color="auto" w:fill="auto"/>
            <w:vAlign w:val="center"/>
          </w:tcPr>
          <w:p>
            <w:pPr>
              <w:pStyle w:val="105"/>
              <w:rPr>
                <w:rFonts w:cs="Arial"/>
              </w:rPr>
            </w:pPr>
            <w:r>
              <w:rPr>
                <w:rFonts w:cs="Arial"/>
              </w:rPr>
              <w:t>Table 5.3.1-1</w:t>
            </w:r>
          </w:p>
        </w:tc>
        <w:tc>
          <w:tcPr>
            <w:tcW w:w="1417" w:type="dxa"/>
            <w:vAlign w:val="center"/>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rPr>
                <w:rFonts w:cs="Arial"/>
              </w:rPr>
            </w:pPr>
            <w:r>
              <w:rPr>
                <w:rFonts w:cs="Arial"/>
              </w:rPr>
              <w:t>NS_02N</w:t>
            </w:r>
          </w:p>
        </w:tc>
        <w:tc>
          <w:tcPr>
            <w:tcW w:w="1509" w:type="dxa"/>
            <w:vAlign w:val="center"/>
          </w:tcPr>
          <w:p>
            <w:pPr>
              <w:pStyle w:val="105"/>
              <w:rPr>
                <w:rFonts w:cs="Arial"/>
              </w:rPr>
            </w:pPr>
            <w:r>
              <w:rPr>
                <w:rFonts w:cs="Arial"/>
              </w:rPr>
              <w:t>6.5A.4.4.2</w:t>
            </w:r>
          </w:p>
        </w:tc>
        <w:tc>
          <w:tcPr>
            <w:tcW w:w="1644" w:type="dxa"/>
            <w:vAlign w:val="center"/>
          </w:tcPr>
          <w:p>
            <w:pPr>
              <w:pStyle w:val="105"/>
              <w:rPr>
                <w:rFonts w:cs="Arial"/>
              </w:rPr>
            </w:pPr>
            <w:r>
              <w:rPr>
                <w:rFonts w:cs="Arial"/>
              </w:rPr>
              <w:t>255</w:t>
            </w:r>
          </w:p>
        </w:tc>
        <w:tc>
          <w:tcPr>
            <w:tcW w:w="1446" w:type="dxa"/>
            <w:vAlign w:val="center"/>
          </w:tcPr>
          <w:p>
            <w:pPr>
              <w:pStyle w:val="105"/>
              <w:rPr>
                <w:rFonts w:cs="Arial"/>
              </w:rPr>
            </w:pPr>
            <w:r>
              <w:rPr>
                <w:rFonts w:cs="Arial"/>
              </w:rPr>
              <w:t>Table 5.3.1-1</w:t>
            </w:r>
          </w:p>
        </w:tc>
        <w:tc>
          <w:tcPr>
            <w:tcW w:w="1417" w:type="dxa"/>
            <w:vAlign w:val="center"/>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rPr>
                <w:rFonts w:cs="Arial"/>
              </w:rPr>
            </w:pPr>
            <w:r>
              <w:rPr>
                <w:rFonts w:cs="Arial"/>
              </w:rPr>
              <w:t>NS_24</w:t>
            </w:r>
          </w:p>
        </w:tc>
        <w:tc>
          <w:tcPr>
            <w:tcW w:w="1509" w:type="dxa"/>
            <w:vAlign w:val="center"/>
          </w:tcPr>
          <w:p>
            <w:pPr>
              <w:pStyle w:val="105"/>
              <w:rPr>
                <w:rFonts w:cs="Arial"/>
              </w:rPr>
            </w:pPr>
            <w:r>
              <w:rPr>
                <w:rFonts w:cs="Arial"/>
              </w:rPr>
              <w:t>6.5A.4.4.3</w:t>
            </w:r>
          </w:p>
        </w:tc>
        <w:tc>
          <w:tcPr>
            <w:tcW w:w="1644" w:type="dxa"/>
            <w:vAlign w:val="center"/>
          </w:tcPr>
          <w:p>
            <w:pPr>
              <w:pStyle w:val="105"/>
              <w:rPr>
                <w:rFonts w:cs="Arial"/>
              </w:rPr>
            </w:pPr>
            <w:r>
              <w:t>256</w:t>
            </w:r>
          </w:p>
        </w:tc>
        <w:tc>
          <w:tcPr>
            <w:tcW w:w="1446" w:type="dxa"/>
            <w:vAlign w:val="center"/>
          </w:tcPr>
          <w:p>
            <w:pPr>
              <w:pStyle w:val="105"/>
            </w:pPr>
            <w:r>
              <w:rPr>
                <w:rFonts w:cs="Arial"/>
              </w:rPr>
              <w:t>Table 5.3.1-1</w:t>
            </w:r>
          </w:p>
        </w:tc>
        <w:tc>
          <w:tcPr>
            <w:tcW w:w="1417" w:type="dxa"/>
            <w:vAlign w:val="center"/>
          </w:tcPr>
          <w:p>
            <w:pPr>
              <w:pStyle w:val="105"/>
            </w:pPr>
            <w:r>
              <w:rPr>
                <w:rFonts w:cs="Arial"/>
              </w:rPr>
              <w:t>[3.5]</w:t>
            </w:r>
          </w:p>
        </w:tc>
      </w:tr>
    </w:tbl>
    <w:p/>
    <w:p>
      <w:r>
        <w:t>For subPRB allocation, the allowed A-MPR values specified below in Table 6.2A.3-2 for category M1 UE are in addition to the allowed MPR requirements specified in subclause 6.2A.2.</w:t>
      </w:r>
    </w:p>
    <w:p>
      <w:pPr>
        <w:pStyle w:val="113"/>
      </w:pPr>
      <w:r>
        <w:t>Table 6.2A.3-2: Additional Maximum Power Reduction (A-MPR) for category M1 UE for subPRB allocation</w:t>
      </w:r>
    </w:p>
    <w:tbl>
      <w:tblPr>
        <w:tblStyle w:val="89"/>
        <w:tblW w:w="60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0"/>
        <w:gridCol w:w="1510"/>
        <w:gridCol w:w="1645"/>
        <w:gridCol w:w="1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1100" w:type="dxa"/>
          </w:tcPr>
          <w:p>
            <w:pPr>
              <w:pStyle w:val="104"/>
            </w:pPr>
            <w:r>
              <w:t>Network Signalling value</w:t>
            </w:r>
          </w:p>
        </w:tc>
        <w:tc>
          <w:tcPr>
            <w:tcW w:w="1510" w:type="dxa"/>
            <w:shd w:val="clear" w:color="auto" w:fill="auto"/>
          </w:tcPr>
          <w:p>
            <w:pPr>
              <w:pStyle w:val="104"/>
            </w:pPr>
            <w:r>
              <w:t>Requirements (subclause)</w:t>
            </w:r>
          </w:p>
        </w:tc>
        <w:tc>
          <w:tcPr>
            <w:tcW w:w="1645" w:type="dxa"/>
            <w:shd w:val="clear" w:color="auto" w:fill="auto"/>
          </w:tcPr>
          <w:p>
            <w:pPr>
              <w:pStyle w:val="104"/>
            </w:pPr>
            <w:r>
              <w:t>E-UTRA Band</w:t>
            </w:r>
          </w:p>
        </w:tc>
        <w:tc>
          <w:tcPr>
            <w:tcW w:w="1804" w:type="dxa"/>
          </w:tcPr>
          <w:p>
            <w:pPr>
              <w:pStyle w:val="104"/>
            </w:pPr>
            <w: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pPr>
            <w:r>
              <w:rPr>
                <w:rFonts w:cs="Arial"/>
              </w:rPr>
              <w:t>NS_01</w:t>
            </w:r>
          </w:p>
        </w:tc>
        <w:tc>
          <w:tcPr>
            <w:tcW w:w="1510" w:type="dxa"/>
            <w:shd w:val="clear" w:color="auto" w:fill="auto"/>
            <w:vAlign w:val="center"/>
          </w:tcPr>
          <w:p>
            <w:pPr>
              <w:pStyle w:val="105"/>
            </w:pPr>
            <w:r>
              <w:t>6.5A.4.2</w:t>
            </w:r>
          </w:p>
        </w:tc>
        <w:tc>
          <w:tcPr>
            <w:tcW w:w="1645" w:type="dxa"/>
            <w:shd w:val="clear" w:color="auto" w:fill="auto"/>
            <w:vAlign w:val="center"/>
          </w:tcPr>
          <w:p>
            <w:pPr>
              <w:pStyle w:val="105"/>
            </w:pPr>
            <w:r>
              <w:t>Table 5.2-1</w:t>
            </w:r>
          </w:p>
        </w:tc>
        <w:tc>
          <w:tcPr>
            <w:tcW w:w="1804" w:type="dxa"/>
            <w:vAlign w:val="center"/>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rPr>
                <w:rFonts w:cs="Arial"/>
              </w:rPr>
            </w:pPr>
            <w:r>
              <w:rPr>
                <w:rFonts w:cs="Arial"/>
              </w:rPr>
              <w:t>NS_02N</w:t>
            </w:r>
          </w:p>
        </w:tc>
        <w:tc>
          <w:tcPr>
            <w:tcW w:w="1510" w:type="dxa"/>
            <w:shd w:val="clear" w:color="auto" w:fill="auto"/>
            <w:vAlign w:val="center"/>
          </w:tcPr>
          <w:p>
            <w:pPr>
              <w:pStyle w:val="105"/>
              <w:rPr>
                <w:rFonts w:cs="Arial"/>
              </w:rPr>
            </w:pPr>
            <w:r>
              <w:rPr>
                <w:rFonts w:cs="Arial"/>
              </w:rPr>
              <w:t>6.5A.4.4.2</w:t>
            </w:r>
          </w:p>
        </w:tc>
        <w:tc>
          <w:tcPr>
            <w:tcW w:w="1645" w:type="dxa"/>
            <w:shd w:val="clear" w:color="auto" w:fill="auto"/>
            <w:vAlign w:val="center"/>
          </w:tcPr>
          <w:p>
            <w:pPr>
              <w:pStyle w:val="105"/>
              <w:rPr>
                <w:rFonts w:cs="Arial"/>
              </w:rPr>
            </w:pPr>
            <w:r>
              <w:rPr>
                <w:rFonts w:cs="Arial"/>
              </w:rPr>
              <w:t>255</w:t>
            </w:r>
          </w:p>
        </w:tc>
        <w:tc>
          <w:tcPr>
            <w:tcW w:w="1804" w:type="dxa"/>
            <w:vAlign w:val="center"/>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rPr>
                <w:rFonts w:cs="Arial"/>
              </w:rPr>
            </w:pPr>
            <w:r>
              <w:rPr>
                <w:rFonts w:cs="Arial"/>
              </w:rPr>
              <w:t>NS_24</w:t>
            </w:r>
          </w:p>
        </w:tc>
        <w:tc>
          <w:tcPr>
            <w:tcW w:w="1510" w:type="dxa"/>
            <w:shd w:val="clear" w:color="auto" w:fill="auto"/>
            <w:vAlign w:val="center"/>
          </w:tcPr>
          <w:p>
            <w:pPr>
              <w:pStyle w:val="105"/>
              <w:rPr>
                <w:rFonts w:cs="Arial"/>
              </w:rPr>
            </w:pPr>
            <w:r>
              <w:rPr>
                <w:rFonts w:cs="Arial"/>
              </w:rPr>
              <w:t>6.5A.4.4.3</w:t>
            </w:r>
          </w:p>
        </w:tc>
        <w:tc>
          <w:tcPr>
            <w:tcW w:w="1645" w:type="dxa"/>
            <w:shd w:val="clear" w:color="auto" w:fill="auto"/>
            <w:vAlign w:val="center"/>
          </w:tcPr>
          <w:p>
            <w:pPr>
              <w:pStyle w:val="105"/>
              <w:rPr>
                <w:rFonts w:cs="Arial"/>
              </w:rPr>
            </w:pPr>
            <w:r>
              <w:t>256</w:t>
            </w:r>
          </w:p>
        </w:tc>
        <w:tc>
          <w:tcPr>
            <w:tcW w:w="1804" w:type="dxa"/>
            <w:vAlign w:val="center"/>
          </w:tcPr>
          <w:p>
            <w:pPr>
              <w:pStyle w:val="105"/>
            </w:pPr>
            <w:r>
              <w:rPr>
                <w:rFonts w:cs="Arial"/>
              </w:rPr>
              <w:t>[3.5]</w:t>
            </w:r>
          </w:p>
        </w:tc>
      </w:tr>
    </w:tbl>
    <w:p/>
    <w:p>
      <w:pPr>
        <w:rPr>
          <w:lang w:eastAsia="zh-CN"/>
        </w:rPr>
      </w:pPr>
      <w:r>
        <w:t>The normative reference for this requirement is TS 36.102 [11] subclause 6.2A.3</w:t>
      </w:r>
    </w:p>
    <w:p>
      <w:pPr>
        <w:pStyle w:val="9"/>
      </w:pPr>
      <w:r>
        <w:t>6.2A.3.4</w:t>
      </w:r>
      <w:r>
        <w:tab/>
      </w:r>
      <w:r>
        <w:t>Test description</w:t>
      </w:r>
    </w:p>
    <w:p>
      <w:pPr>
        <w:pStyle w:val="9"/>
      </w:pPr>
      <w:r>
        <w:t>6.2A.3.4.1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sub-clause 5.2E. All of these configurations shall be tested with applicable test parameters for each channel bandwidth and are shown in Table 6.2.4EA.4.1-1 to 6.2.4EA.4.1-</w:t>
      </w:r>
      <w:r>
        <w:rPr>
          <w:lang w:eastAsia="ja-JP"/>
        </w:rPr>
        <w:t>20</w:t>
      </w:r>
      <w:r>
        <w:t>. The details of the uplink reference measurement channels (RMCs) are specified in Annex A.2. Configurations of PDSCH and MPDCCH before measurement are specified in Annex C.2.</w:t>
      </w:r>
    </w:p>
    <w:p>
      <w:pPr>
        <w:pStyle w:val="113"/>
      </w:pPr>
      <w:r>
        <w:t>Table 6.2A.3.4.1-1: Test Configuration Table (network signalled value “NS_02N”)</w:t>
      </w:r>
    </w:p>
    <w:tbl>
      <w:tblPr>
        <w:tblStyle w:val="89"/>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212"/>
        <w:gridCol w:w="1134"/>
        <w:gridCol w:w="2734"/>
        <w:gridCol w:w="1304"/>
        <w:gridCol w:w="30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426" w:type="dxa"/>
            <w:gridSpan w:val="5"/>
            <w:shd w:val="clear" w:color="auto" w:fill="auto"/>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t>Test Environment as specified in</w:t>
            </w:r>
          </w:p>
          <w:p>
            <w:pPr>
              <w:pStyle w:val="103"/>
            </w:pPr>
            <w:r>
              <w:t>TS 36.508 [12] subclause 4.1</w:t>
            </w:r>
          </w:p>
        </w:tc>
        <w:tc>
          <w:tcPr>
            <w:tcW w:w="4346" w:type="dxa"/>
            <w:gridSpan w:val="2"/>
            <w:shd w:val="clear" w:color="auto" w:fill="auto"/>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rPr>
                <w:bCs/>
              </w:rPr>
              <w:t>Test Frequencies as specified in</w:t>
            </w:r>
          </w:p>
          <w:p>
            <w:pPr>
              <w:pStyle w:val="103"/>
            </w:pPr>
            <w:r>
              <w:t>TS 36.508 [12] subclause 4.3.1</w:t>
            </w:r>
          </w:p>
        </w:tc>
        <w:tc>
          <w:tcPr>
            <w:tcW w:w="4346" w:type="dxa"/>
            <w:gridSpan w:val="2"/>
            <w:shd w:val="clear" w:color="auto" w:fill="auto"/>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rPr>
                <w:bCs/>
              </w:rPr>
              <w:t>Test Channel Bandwidths as specified in</w:t>
            </w:r>
          </w:p>
          <w:p>
            <w:pPr>
              <w:pStyle w:val="103"/>
            </w:pPr>
            <w:r>
              <w:t>TS 36.508 [12] subclause 4.3.1</w:t>
            </w:r>
          </w:p>
        </w:tc>
        <w:tc>
          <w:tcPr>
            <w:tcW w:w="4346" w:type="dxa"/>
            <w:gridSpan w:val="2"/>
            <w:shd w:val="clear" w:color="auto" w:fill="auto"/>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426" w:type="dxa"/>
            <w:gridSpan w:val="5"/>
            <w:shd w:val="clear" w:color="auto" w:fill="auto"/>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4"/>
            </w:pPr>
          </w:p>
        </w:tc>
        <w:tc>
          <w:tcPr>
            <w:tcW w:w="1134" w:type="dxa"/>
            <w:shd w:val="clear" w:color="auto" w:fill="auto"/>
            <w:vAlign w:val="center"/>
          </w:tcPr>
          <w:p>
            <w:pPr>
              <w:pStyle w:val="104"/>
            </w:pPr>
          </w:p>
        </w:tc>
        <w:tc>
          <w:tcPr>
            <w:tcW w:w="2734" w:type="dxa"/>
            <w:shd w:val="clear" w:color="auto" w:fill="auto"/>
            <w:vAlign w:val="center"/>
          </w:tcPr>
          <w:p>
            <w:pPr>
              <w:pStyle w:val="104"/>
            </w:pPr>
            <w:r>
              <w:t>Downlink Configuration</w:t>
            </w:r>
          </w:p>
        </w:tc>
        <w:tc>
          <w:tcPr>
            <w:tcW w:w="4346" w:type="dxa"/>
            <w:gridSpan w:val="2"/>
            <w:shd w:val="clear" w:color="auto" w:fill="auto"/>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Configuration ID</w:t>
            </w:r>
          </w:p>
        </w:tc>
        <w:tc>
          <w:tcPr>
            <w:tcW w:w="1134" w:type="dxa"/>
            <w:shd w:val="clear" w:color="auto" w:fill="auto"/>
            <w:vAlign w:val="center"/>
          </w:tcPr>
          <w:p>
            <w:pPr>
              <w:pStyle w:val="105"/>
            </w:pPr>
            <w:r>
              <w:t>Ch BW</w:t>
            </w:r>
          </w:p>
        </w:tc>
        <w:tc>
          <w:tcPr>
            <w:tcW w:w="2734" w:type="dxa"/>
            <w:vMerge w:val="restart"/>
            <w:shd w:val="clear" w:color="auto" w:fill="auto"/>
            <w:vAlign w:val="center"/>
          </w:tcPr>
          <w:p>
            <w:pPr>
              <w:pStyle w:val="105"/>
            </w:pPr>
            <w:r>
              <w:t>N/A</w:t>
            </w:r>
          </w:p>
        </w:tc>
        <w:tc>
          <w:tcPr>
            <w:tcW w:w="1304" w:type="dxa"/>
            <w:shd w:val="clear" w:color="auto" w:fill="auto"/>
            <w:vAlign w:val="center"/>
          </w:tcPr>
          <w:p>
            <w:pPr>
              <w:pStyle w:val="105"/>
            </w:pPr>
            <w:r>
              <w:t>Mod'n</w:t>
            </w:r>
          </w:p>
        </w:tc>
        <w:tc>
          <w:tcPr>
            <w:tcW w:w="3042" w:type="dxa"/>
            <w:shd w:val="clear" w:color="auto" w:fill="auto"/>
            <w:vAlign w:val="center"/>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212" w:type="dxa"/>
            <w:vMerge w:val="restart"/>
            <w:shd w:val="clear" w:color="auto" w:fill="auto"/>
            <w:vAlign w:val="center"/>
          </w:tcPr>
          <w:p>
            <w:pPr>
              <w:pStyle w:val="105"/>
            </w:pPr>
          </w:p>
        </w:tc>
        <w:tc>
          <w:tcPr>
            <w:tcW w:w="1134" w:type="dxa"/>
            <w:vMerge w:val="restart"/>
            <w:shd w:val="clear" w:color="auto" w:fill="auto"/>
            <w:vAlign w:val="center"/>
          </w:tcPr>
          <w:p>
            <w:pPr>
              <w:pStyle w:val="105"/>
            </w:pPr>
          </w:p>
        </w:tc>
        <w:tc>
          <w:tcPr>
            <w:tcW w:w="2734" w:type="dxa"/>
            <w:vMerge w:val="continue"/>
            <w:vAlign w:val="center"/>
          </w:tcPr>
          <w:p>
            <w:pPr>
              <w:pStyle w:val="105"/>
            </w:pPr>
          </w:p>
        </w:tc>
        <w:tc>
          <w:tcPr>
            <w:tcW w:w="1304" w:type="dxa"/>
            <w:vMerge w:val="restart"/>
            <w:shd w:val="clear" w:color="auto" w:fill="auto"/>
            <w:vAlign w:val="center"/>
          </w:tcPr>
          <w:p>
            <w:pPr>
              <w:pStyle w:val="105"/>
            </w:pPr>
          </w:p>
        </w:tc>
        <w:tc>
          <w:tcPr>
            <w:tcW w:w="3042" w:type="dxa"/>
            <w:vMerge w:val="restart"/>
            <w:shd w:val="clear" w:color="auto" w:fill="auto"/>
            <w:vAlign w:val="center"/>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212" w:type="dxa"/>
            <w:vMerge w:val="continue"/>
            <w:vAlign w:val="center"/>
          </w:tcPr>
          <w:p>
            <w:pPr>
              <w:pStyle w:val="105"/>
            </w:pPr>
          </w:p>
        </w:tc>
        <w:tc>
          <w:tcPr>
            <w:tcW w:w="1134" w:type="dxa"/>
            <w:vMerge w:val="continue"/>
            <w:vAlign w:val="center"/>
          </w:tcPr>
          <w:p>
            <w:pPr>
              <w:pStyle w:val="105"/>
            </w:pPr>
          </w:p>
        </w:tc>
        <w:tc>
          <w:tcPr>
            <w:tcW w:w="2734" w:type="dxa"/>
            <w:vMerge w:val="continue"/>
            <w:vAlign w:val="center"/>
          </w:tcPr>
          <w:p>
            <w:pPr>
              <w:pStyle w:val="105"/>
            </w:pPr>
          </w:p>
        </w:tc>
        <w:tc>
          <w:tcPr>
            <w:tcW w:w="1304" w:type="dxa"/>
            <w:vMerge w:val="continue"/>
            <w:vAlign w:val="center"/>
          </w:tcPr>
          <w:p>
            <w:pPr>
              <w:pStyle w:val="105"/>
            </w:pPr>
          </w:p>
        </w:tc>
        <w:tc>
          <w:tcPr>
            <w:tcW w:w="3042" w:type="dxa"/>
            <w:vMerge w:val="continue"/>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1</w:t>
            </w:r>
          </w:p>
        </w:tc>
        <w:tc>
          <w:tcPr>
            <w:tcW w:w="1134" w:type="dxa"/>
            <w:shd w:val="clear" w:color="auto" w:fill="auto"/>
            <w:vAlign w:val="center"/>
          </w:tcPr>
          <w:p>
            <w:pPr>
              <w:pStyle w:val="105"/>
            </w:pPr>
            <w:r>
              <w:t>1.4MHz</w:t>
            </w:r>
          </w:p>
        </w:tc>
        <w:tc>
          <w:tcPr>
            <w:tcW w:w="2734" w:type="dxa"/>
            <w:vMerge w:val="restart"/>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2</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3</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4</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16QAM</w:t>
            </w:r>
          </w:p>
        </w:tc>
        <w:tc>
          <w:tcPr>
            <w:tcW w:w="3042" w:type="dxa"/>
            <w:shd w:val="clear" w:color="auto" w:fill="auto"/>
            <w:vAlign w:val="center"/>
          </w:tcPr>
          <w:p>
            <w:pPr>
              <w:pStyle w:val="105"/>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5</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16QAM</w:t>
            </w:r>
          </w:p>
        </w:tc>
        <w:tc>
          <w:tcPr>
            <w:tcW w:w="3042" w:type="dxa"/>
            <w:shd w:val="clear" w:color="auto" w:fill="auto"/>
            <w:vAlign w:val="center"/>
          </w:tcPr>
          <w:p>
            <w:pPr>
              <w:pStyle w:val="105"/>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426" w:type="dxa"/>
            <w:gridSpan w:val="5"/>
            <w:shd w:val="clear" w:color="auto" w:fill="auto"/>
            <w:vAlign w:val="center"/>
          </w:tcPr>
          <w:p>
            <w:pPr>
              <w:pStyle w:val="118"/>
              <w:rPr>
                <w:lang w:eastAsia="sv-SE"/>
              </w:rPr>
            </w:pPr>
            <w:r>
              <w:rPr>
                <w:lang w:eastAsia="sv-SE"/>
              </w:rPr>
              <w:t>Note 1:</w:t>
            </w:r>
            <w:r>
              <w:rPr>
                <w:lang w:eastAsia="sv-SE"/>
              </w:rPr>
              <w:tab/>
            </w:r>
            <w:r>
              <w:rPr>
                <w:lang w:eastAsia="sv-SE"/>
              </w:rPr>
              <w:t>The RB</w:t>
            </w:r>
            <w:r>
              <w:rPr>
                <w:vertAlign w:val="subscript"/>
                <w:lang w:eastAsia="sv-SE"/>
              </w:rPr>
              <w:t>start</w:t>
            </w:r>
            <w:r>
              <w:rPr>
                <w:lang w:eastAsia="sv-SE"/>
              </w:rPr>
              <w:t xml:space="preserve"> of partial RB allocation shall be RB#0</w:t>
            </w:r>
          </w:p>
        </w:tc>
      </w:tr>
    </w:tbl>
    <w:p/>
    <w:p>
      <w:pPr>
        <w:pStyle w:val="113"/>
      </w:pPr>
      <w:r>
        <w:t>Table 6.2A.3.4.1-1a: Test Configuration Table, subPRB allocation (network signalled value “NS_02N”)</w:t>
      </w:r>
    </w:p>
    <w:tbl>
      <w:tblPr>
        <w:tblStyle w:val="89"/>
        <w:tblpPr w:leftFromText="180" w:rightFromText="180" w:vertAnchor="text" w:tblpY="1"/>
        <w:tblOverlap w:val="never"/>
        <w:tblW w:w="95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320"/>
        <w:gridCol w:w="1124"/>
        <w:gridCol w:w="2695"/>
        <w:gridCol w:w="1286"/>
        <w:gridCol w:w="3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t>Test Environment as specified in</w:t>
            </w:r>
          </w:p>
          <w:p>
            <w:pPr>
              <w:pStyle w:val="103"/>
            </w:pPr>
            <w:r>
              <w:t>TS 36.508 [12] subclause 4.1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Frequencies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Channel Bandwidths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
          <w:p>
            <w:pPr>
              <w:pStyle w:val="104"/>
            </w:pPr>
            <w:r>
              <w:t>Downlink Configuration</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4"/>
            </w:pPr>
            <w:r>
              <w:t>Configuration ID</w:t>
            </w:r>
          </w:p>
        </w:tc>
        <w:tc>
          <w:tcPr>
            <w:tcW w:w="1124" w:type="dxa"/>
            <w:tcBorders>
              <w:top w:val="single" w:color="auto" w:sz="4" w:space="0"/>
              <w:left w:val="single" w:color="auto" w:sz="4" w:space="0"/>
              <w:bottom w:val="single" w:color="auto" w:sz="4" w:space="0"/>
              <w:right w:val="single" w:color="auto" w:sz="4" w:space="0"/>
            </w:tcBorders>
            <w:vAlign w:val="center"/>
          </w:tcPr>
          <w:p>
            <w:pPr>
              <w:pStyle w:val="104"/>
            </w:pPr>
            <w:r>
              <w:t>Ch BW</w:t>
            </w:r>
          </w:p>
        </w:tc>
        <w:tc>
          <w:tcPr>
            <w:tcW w:w="2695" w:type="dxa"/>
            <w:vMerge w:val="restart"/>
            <w:tcBorders>
              <w:top w:val="single" w:color="auto" w:sz="4" w:space="0"/>
              <w:left w:val="single" w:color="auto" w:sz="4" w:space="0"/>
              <w:bottom w:val="single" w:color="auto" w:sz="4" w:space="0"/>
              <w:right w:val="single" w:color="auto" w:sz="4" w:space="0"/>
            </w:tcBorders>
            <w:vAlign w:val="center"/>
          </w:tcPr>
          <w:p>
            <w:pPr>
              <w:pStyle w:val="105"/>
            </w:pPr>
            <w:r>
              <w:t>N/A</w:t>
            </w:r>
          </w:p>
        </w:tc>
        <w:tc>
          <w:tcPr>
            <w:tcW w:w="1286" w:type="dxa"/>
            <w:tcBorders>
              <w:top w:val="single" w:color="auto" w:sz="4" w:space="0"/>
              <w:left w:val="single" w:color="auto" w:sz="4" w:space="0"/>
              <w:bottom w:val="single" w:color="auto" w:sz="4" w:space="0"/>
              <w:right w:val="single" w:color="auto" w:sz="4" w:space="0"/>
            </w:tcBorders>
            <w:vAlign w:val="center"/>
          </w:tcPr>
          <w:p>
            <w:pPr>
              <w:pStyle w:val="104"/>
            </w:pPr>
            <w:r>
              <w:t>Mod'n</w:t>
            </w:r>
          </w:p>
        </w:tc>
        <w:tc>
          <w:tcPr>
            <w:tcW w:w="3129" w:type="dxa"/>
            <w:tcBorders>
              <w:top w:val="single" w:color="auto" w:sz="4" w:space="0"/>
              <w:left w:val="single" w:color="auto" w:sz="4" w:space="0"/>
              <w:bottom w:val="single" w:color="auto" w:sz="4" w:space="0"/>
              <w:right w:val="single" w:color="auto" w:sz="4" w:space="0"/>
            </w:tcBorders>
            <w:vAlign w:val="center"/>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320" w:type="dxa"/>
            <w:vMerge w:val="restart"/>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320"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124" w:type="dxa"/>
            <w:tcBorders>
              <w:top w:val="single" w:color="auto" w:sz="4" w:space="0"/>
              <w:left w:val="single" w:color="auto" w:sz="4" w:space="0"/>
              <w:bottom w:val="single" w:color="auto" w:sz="4" w:space="0"/>
              <w:right w:val="single" w:color="auto" w:sz="4" w:space="0"/>
            </w:tcBorders>
          </w:tcPr>
          <w:p>
            <w:pPr>
              <w:pStyle w:val="105"/>
            </w:pPr>
            <w:r>
              <w:t>1.4MHz</w:t>
            </w:r>
          </w:p>
        </w:tc>
        <w:tc>
          <w:tcPr>
            <w:tcW w:w="2695" w:type="dxa"/>
            <w:tcBorders>
              <w:top w:val="single" w:color="auto" w:sz="4" w:space="0"/>
              <w:left w:val="single" w:color="auto" w:sz="4" w:space="0"/>
              <w:bottom w:val="single" w:color="auto" w:sz="4" w:space="0"/>
              <w:right w:val="single" w:color="auto" w:sz="4" w:space="0"/>
            </w:tcBorders>
            <w:vAlign w:val="center"/>
          </w:tcPr>
          <w:p>
            <w:pPr>
              <w:pStyle w:val="105"/>
            </w:pPr>
          </w:p>
        </w:tc>
        <w:tc>
          <w:tcPr>
            <w:tcW w:w="1286" w:type="dxa"/>
            <w:tcBorders>
              <w:top w:val="single" w:color="auto" w:sz="4" w:space="0"/>
              <w:left w:val="single" w:color="auto" w:sz="4" w:space="0"/>
              <w:bottom w:val="single" w:color="auto" w:sz="4" w:space="0"/>
              <w:right w:val="single" w:color="auto" w:sz="4" w:space="0"/>
            </w:tcBorders>
            <w:vAlign w:val="center"/>
          </w:tcPr>
          <w:p>
            <w:pPr>
              <w:pStyle w:val="105"/>
            </w:pPr>
            <w:r>
              <w:t>QPSK</w:t>
            </w:r>
          </w:p>
        </w:tc>
        <w:tc>
          <w:tcPr>
            <w:tcW w:w="3129" w:type="dxa"/>
            <w:tcBorders>
              <w:top w:val="single" w:color="auto" w:sz="4" w:space="0"/>
              <w:left w:val="single" w:color="auto" w:sz="4" w:space="0"/>
              <w:bottom w:val="single" w:color="auto" w:sz="4" w:space="0"/>
              <w:right w:val="single" w:color="auto" w:sz="4" w:space="0"/>
            </w:tcBorders>
            <w:vAlign w:val="center"/>
          </w:tcPr>
          <w:p>
            <w:pPr>
              <w:pStyle w:val="105"/>
            </w:pPr>
            <w:r>
              <w:t>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18"/>
              <w:rPr>
                <w:lang w:eastAsia="sv-SE"/>
              </w:rPr>
            </w:pPr>
            <w:r>
              <w:rPr>
                <w:lang w:eastAsia="sv-SE"/>
              </w:rPr>
              <w:t>Note 1:</w:t>
            </w:r>
            <w:r>
              <w:rPr>
                <w:lang w:eastAsia="sv-SE"/>
              </w:rPr>
              <w:tab/>
            </w:r>
            <w:r>
              <w:rPr>
                <w:lang w:eastAsia="sv-SE"/>
              </w:rPr>
              <w:t>the SC</w:t>
            </w:r>
            <w:r>
              <w:rPr>
                <w:vertAlign w:val="subscript"/>
                <w:lang w:eastAsia="sv-SE"/>
              </w:rPr>
              <w:t>start</w:t>
            </w:r>
            <w:r>
              <w:rPr>
                <w:lang w:eastAsia="sv-SE"/>
              </w:rPr>
              <w:t xml:space="preserve"> shall be 0. </w:t>
            </w:r>
          </w:p>
        </w:tc>
      </w:tr>
    </w:tbl>
    <w:p/>
    <w:p>
      <w:pPr>
        <w:pStyle w:val="113"/>
      </w:pPr>
      <w:r>
        <w:t>Table 6.2A.3.4.1-2: Test Configuration Table (network signalled value "NS_24")</w:t>
      </w:r>
    </w:p>
    <w:tbl>
      <w:tblPr>
        <w:tblStyle w:val="89"/>
        <w:tblpPr w:leftFromText="180" w:rightFromText="180" w:vertAnchor="text"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212"/>
        <w:gridCol w:w="1134"/>
        <w:gridCol w:w="2734"/>
        <w:gridCol w:w="1304"/>
        <w:gridCol w:w="30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426" w:type="dxa"/>
            <w:gridSpan w:val="5"/>
            <w:shd w:val="clear" w:color="auto" w:fill="auto"/>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t>Test Environment as specified in</w:t>
            </w:r>
          </w:p>
          <w:p>
            <w:pPr>
              <w:pStyle w:val="103"/>
            </w:pPr>
            <w:r>
              <w:t>TS 36.508 [12] subclause 4.1</w:t>
            </w:r>
          </w:p>
        </w:tc>
        <w:tc>
          <w:tcPr>
            <w:tcW w:w="4346" w:type="dxa"/>
            <w:gridSpan w:val="2"/>
            <w:shd w:val="clear" w:color="auto" w:fill="auto"/>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rPr>
                <w:bCs/>
              </w:rPr>
              <w:t>Test Frequencies as specified in</w:t>
            </w:r>
          </w:p>
          <w:p>
            <w:pPr>
              <w:pStyle w:val="103"/>
            </w:pPr>
            <w:r>
              <w:t>TS 36.508 [12] subclause 4.3.1</w:t>
            </w:r>
          </w:p>
        </w:tc>
        <w:tc>
          <w:tcPr>
            <w:tcW w:w="4346" w:type="dxa"/>
            <w:gridSpan w:val="2"/>
            <w:shd w:val="clear" w:color="auto" w:fill="auto"/>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rPr>
                <w:bCs/>
              </w:rPr>
              <w:t>Test Channel Bandwidths as specified in</w:t>
            </w:r>
          </w:p>
          <w:p>
            <w:pPr>
              <w:pStyle w:val="103"/>
            </w:pPr>
            <w:r>
              <w:t>TS 36.508 [12] subclause 4.3.1</w:t>
            </w:r>
          </w:p>
        </w:tc>
        <w:tc>
          <w:tcPr>
            <w:tcW w:w="4346" w:type="dxa"/>
            <w:gridSpan w:val="2"/>
            <w:shd w:val="clear" w:color="auto" w:fill="auto"/>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426" w:type="dxa"/>
            <w:gridSpan w:val="5"/>
            <w:shd w:val="clear" w:color="auto" w:fill="auto"/>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4"/>
            </w:pPr>
          </w:p>
        </w:tc>
        <w:tc>
          <w:tcPr>
            <w:tcW w:w="1134" w:type="dxa"/>
            <w:shd w:val="clear" w:color="auto" w:fill="auto"/>
            <w:vAlign w:val="center"/>
          </w:tcPr>
          <w:p>
            <w:pPr>
              <w:pStyle w:val="104"/>
            </w:pPr>
          </w:p>
        </w:tc>
        <w:tc>
          <w:tcPr>
            <w:tcW w:w="2734" w:type="dxa"/>
            <w:shd w:val="clear" w:color="auto" w:fill="auto"/>
            <w:vAlign w:val="center"/>
          </w:tcPr>
          <w:p>
            <w:pPr>
              <w:pStyle w:val="104"/>
            </w:pPr>
            <w:r>
              <w:t>Downlink Configuration</w:t>
            </w:r>
          </w:p>
        </w:tc>
        <w:tc>
          <w:tcPr>
            <w:tcW w:w="4346" w:type="dxa"/>
            <w:gridSpan w:val="2"/>
            <w:shd w:val="clear" w:color="auto" w:fill="auto"/>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Configuration ID</w:t>
            </w:r>
          </w:p>
        </w:tc>
        <w:tc>
          <w:tcPr>
            <w:tcW w:w="1134" w:type="dxa"/>
            <w:shd w:val="clear" w:color="auto" w:fill="auto"/>
            <w:vAlign w:val="center"/>
          </w:tcPr>
          <w:p>
            <w:pPr>
              <w:pStyle w:val="105"/>
            </w:pPr>
            <w:r>
              <w:t>Ch BW</w:t>
            </w:r>
          </w:p>
        </w:tc>
        <w:tc>
          <w:tcPr>
            <w:tcW w:w="2734" w:type="dxa"/>
            <w:vMerge w:val="restart"/>
            <w:shd w:val="clear" w:color="auto" w:fill="auto"/>
            <w:vAlign w:val="center"/>
          </w:tcPr>
          <w:p>
            <w:pPr>
              <w:pStyle w:val="105"/>
            </w:pPr>
            <w:r>
              <w:t>N/A</w:t>
            </w:r>
          </w:p>
        </w:tc>
        <w:tc>
          <w:tcPr>
            <w:tcW w:w="1304" w:type="dxa"/>
            <w:shd w:val="clear" w:color="auto" w:fill="auto"/>
            <w:vAlign w:val="center"/>
          </w:tcPr>
          <w:p>
            <w:pPr>
              <w:pStyle w:val="105"/>
            </w:pPr>
            <w:r>
              <w:t>Mod'n</w:t>
            </w:r>
          </w:p>
        </w:tc>
        <w:tc>
          <w:tcPr>
            <w:tcW w:w="3042" w:type="dxa"/>
            <w:shd w:val="clear" w:color="auto" w:fill="auto"/>
            <w:vAlign w:val="center"/>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212" w:type="dxa"/>
            <w:vMerge w:val="restart"/>
            <w:shd w:val="clear" w:color="auto" w:fill="auto"/>
            <w:vAlign w:val="center"/>
          </w:tcPr>
          <w:p>
            <w:pPr>
              <w:pStyle w:val="105"/>
            </w:pPr>
          </w:p>
        </w:tc>
        <w:tc>
          <w:tcPr>
            <w:tcW w:w="1134" w:type="dxa"/>
            <w:vMerge w:val="restart"/>
            <w:shd w:val="clear" w:color="auto" w:fill="auto"/>
            <w:vAlign w:val="center"/>
          </w:tcPr>
          <w:p>
            <w:pPr>
              <w:pStyle w:val="105"/>
            </w:pPr>
          </w:p>
        </w:tc>
        <w:tc>
          <w:tcPr>
            <w:tcW w:w="2734" w:type="dxa"/>
            <w:vMerge w:val="continue"/>
            <w:vAlign w:val="center"/>
          </w:tcPr>
          <w:p>
            <w:pPr>
              <w:pStyle w:val="105"/>
            </w:pPr>
          </w:p>
        </w:tc>
        <w:tc>
          <w:tcPr>
            <w:tcW w:w="1304" w:type="dxa"/>
            <w:vMerge w:val="restart"/>
            <w:shd w:val="clear" w:color="auto" w:fill="auto"/>
            <w:vAlign w:val="center"/>
          </w:tcPr>
          <w:p>
            <w:pPr>
              <w:pStyle w:val="105"/>
            </w:pPr>
          </w:p>
        </w:tc>
        <w:tc>
          <w:tcPr>
            <w:tcW w:w="3042" w:type="dxa"/>
            <w:vMerge w:val="restart"/>
            <w:shd w:val="clear" w:color="auto" w:fill="auto"/>
            <w:vAlign w:val="center"/>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212" w:type="dxa"/>
            <w:vMerge w:val="continue"/>
            <w:vAlign w:val="center"/>
          </w:tcPr>
          <w:p>
            <w:pPr>
              <w:pStyle w:val="105"/>
            </w:pPr>
          </w:p>
        </w:tc>
        <w:tc>
          <w:tcPr>
            <w:tcW w:w="1134" w:type="dxa"/>
            <w:vMerge w:val="continue"/>
            <w:vAlign w:val="center"/>
          </w:tcPr>
          <w:p>
            <w:pPr>
              <w:pStyle w:val="105"/>
            </w:pPr>
          </w:p>
        </w:tc>
        <w:tc>
          <w:tcPr>
            <w:tcW w:w="2734" w:type="dxa"/>
            <w:vMerge w:val="continue"/>
            <w:vAlign w:val="center"/>
          </w:tcPr>
          <w:p>
            <w:pPr>
              <w:pStyle w:val="105"/>
            </w:pPr>
          </w:p>
        </w:tc>
        <w:tc>
          <w:tcPr>
            <w:tcW w:w="1304" w:type="dxa"/>
            <w:vMerge w:val="continue"/>
            <w:vAlign w:val="center"/>
          </w:tcPr>
          <w:p>
            <w:pPr>
              <w:pStyle w:val="105"/>
            </w:pPr>
          </w:p>
        </w:tc>
        <w:tc>
          <w:tcPr>
            <w:tcW w:w="3042" w:type="dxa"/>
            <w:vMerge w:val="continue"/>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1</w:t>
            </w:r>
          </w:p>
        </w:tc>
        <w:tc>
          <w:tcPr>
            <w:tcW w:w="1134" w:type="dxa"/>
            <w:shd w:val="clear" w:color="auto" w:fill="auto"/>
            <w:vAlign w:val="center"/>
          </w:tcPr>
          <w:p>
            <w:pPr>
              <w:pStyle w:val="105"/>
            </w:pPr>
            <w:r>
              <w:t>1.4MHz</w:t>
            </w:r>
          </w:p>
        </w:tc>
        <w:tc>
          <w:tcPr>
            <w:tcW w:w="2734" w:type="dxa"/>
            <w:vMerge w:val="restart"/>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2</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3</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4</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16QAM</w:t>
            </w:r>
          </w:p>
        </w:tc>
        <w:tc>
          <w:tcPr>
            <w:tcW w:w="3042" w:type="dxa"/>
            <w:shd w:val="clear" w:color="auto" w:fill="auto"/>
            <w:vAlign w:val="center"/>
          </w:tcPr>
          <w:p>
            <w:pPr>
              <w:pStyle w:val="105"/>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5</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16QAM</w:t>
            </w:r>
          </w:p>
        </w:tc>
        <w:tc>
          <w:tcPr>
            <w:tcW w:w="3042" w:type="dxa"/>
            <w:shd w:val="clear" w:color="auto" w:fill="auto"/>
            <w:vAlign w:val="center"/>
          </w:tcPr>
          <w:p>
            <w:pPr>
              <w:pStyle w:val="105"/>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426" w:type="dxa"/>
            <w:gridSpan w:val="5"/>
            <w:shd w:val="clear" w:color="auto" w:fill="auto"/>
            <w:vAlign w:val="center"/>
          </w:tcPr>
          <w:p>
            <w:pPr>
              <w:pStyle w:val="118"/>
              <w:rPr>
                <w:lang w:eastAsia="sv-SE"/>
              </w:rPr>
            </w:pPr>
            <w:r>
              <w:rPr>
                <w:lang w:eastAsia="sv-SE"/>
              </w:rPr>
              <w:t>Note 1:</w:t>
            </w:r>
            <w:r>
              <w:rPr>
                <w:lang w:eastAsia="sv-SE"/>
              </w:rPr>
              <w:tab/>
            </w:r>
            <w:r>
              <w:rPr>
                <w:lang w:eastAsia="sv-SE"/>
              </w:rPr>
              <w:t>The RB</w:t>
            </w:r>
            <w:r>
              <w:rPr>
                <w:vertAlign w:val="subscript"/>
                <w:lang w:eastAsia="sv-SE"/>
              </w:rPr>
              <w:t>start</w:t>
            </w:r>
            <w:r>
              <w:rPr>
                <w:lang w:eastAsia="sv-SE"/>
              </w:rPr>
              <w:t xml:space="preserve"> of partial RB allocation shall be RB#0</w:t>
            </w:r>
          </w:p>
        </w:tc>
      </w:tr>
    </w:tbl>
    <w:p>
      <w:pPr>
        <w:rPr>
          <w:rFonts w:hint="eastAsia" w:eastAsiaTheme="minorEastAsia"/>
          <w:lang w:eastAsia="zh-CN"/>
        </w:rPr>
      </w:pPr>
    </w:p>
    <w:p>
      <w:pPr>
        <w:pStyle w:val="113"/>
      </w:pPr>
      <w:r>
        <w:t>Table 6.2A.3.4.1-2a: Test Configuration Table, subPRB allocation (network signalled value "NS_24")</w:t>
      </w:r>
    </w:p>
    <w:tbl>
      <w:tblPr>
        <w:tblStyle w:val="89"/>
        <w:tblpPr w:leftFromText="180" w:rightFromText="180" w:vertAnchor="text" w:tblpY="1"/>
        <w:tblOverlap w:val="never"/>
        <w:tblW w:w="95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320"/>
        <w:gridCol w:w="1124"/>
        <w:gridCol w:w="2695"/>
        <w:gridCol w:w="1286"/>
        <w:gridCol w:w="3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t>Test Environment as specified in</w:t>
            </w:r>
          </w:p>
          <w:p>
            <w:pPr>
              <w:pStyle w:val="103"/>
            </w:pPr>
            <w:r>
              <w:t>TS 36.508 [12] subclause 4.1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Frequencies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Channel Bandwidths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
          <w:p>
            <w:pPr>
              <w:pStyle w:val="104"/>
            </w:pPr>
            <w:r>
              <w:t>Downlink Configuration</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4"/>
            </w:pPr>
            <w:r>
              <w:t>Configuration ID</w:t>
            </w:r>
          </w:p>
        </w:tc>
        <w:tc>
          <w:tcPr>
            <w:tcW w:w="1124" w:type="dxa"/>
            <w:tcBorders>
              <w:top w:val="single" w:color="auto" w:sz="4" w:space="0"/>
              <w:left w:val="single" w:color="auto" w:sz="4" w:space="0"/>
              <w:bottom w:val="single" w:color="auto" w:sz="4" w:space="0"/>
              <w:right w:val="single" w:color="auto" w:sz="4" w:space="0"/>
            </w:tcBorders>
            <w:vAlign w:val="center"/>
          </w:tcPr>
          <w:p>
            <w:pPr>
              <w:pStyle w:val="104"/>
            </w:pPr>
            <w:r>
              <w:t>Ch BW</w:t>
            </w:r>
          </w:p>
        </w:tc>
        <w:tc>
          <w:tcPr>
            <w:tcW w:w="2695" w:type="dxa"/>
            <w:vMerge w:val="restart"/>
            <w:tcBorders>
              <w:top w:val="single" w:color="auto" w:sz="4" w:space="0"/>
              <w:left w:val="single" w:color="auto" w:sz="4" w:space="0"/>
              <w:bottom w:val="single" w:color="auto" w:sz="4" w:space="0"/>
              <w:right w:val="single" w:color="auto" w:sz="4" w:space="0"/>
            </w:tcBorders>
            <w:vAlign w:val="center"/>
          </w:tcPr>
          <w:p>
            <w:pPr>
              <w:pStyle w:val="105"/>
            </w:pPr>
            <w:r>
              <w:t>N/A</w:t>
            </w:r>
          </w:p>
        </w:tc>
        <w:tc>
          <w:tcPr>
            <w:tcW w:w="1286" w:type="dxa"/>
            <w:tcBorders>
              <w:top w:val="single" w:color="auto" w:sz="4" w:space="0"/>
              <w:left w:val="single" w:color="auto" w:sz="4" w:space="0"/>
              <w:bottom w:val="single" w:color="auto" w:sz="4" w:space="0"/>
              <w:right w:val="single" w:color="auto" w:sz="4" w:space="0"/>
            </w:tcBorders>
            <w:vAlign w:val="center"/>
          </w:tcPr>
          <w:p>
            <w:pPr>
              <w:pStyle w:val="104"/>
            </w:pPr>
            <w:r>
              <w:t>Mod'n</w:t>
            </w:r>
          </w:p>
        </w:tc>
        <w:tc>
          <w:tcPr>
            <w:tcW w:w="3129" w:type="dxa"/>
            <w:tcBorders>
              <w:top w:val="single" w:color="auto" w:sz="4" w:space="0"/>
              <w:left w:val="single" w:color="auto" w:sz="4" w:space="0"/>
              <w:bottom w:val="single" w:color="auto" w:sz="4" w:space="0"/>
              <w:right w:val="single" w:color="auto" w:sz="4" w:space="0"/>
            </w:tcBorders>
            <w:vAlign w:val="center"/>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320" w:type="dxa"/>
            <w:vMerge w:val="restart"/>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320"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124" w:type="dxa"/>
            <w:tcBorders>
              <w:top w:val="single" w:color="auto" w:sz="4" w:space="0"/>
              <w:left w:val="single" w:color="auto" w:sz="4" w:space="0"/>
              <w:bottom w:val="single" w:color="auto" w:sz="4" w:space="0"/>
              <w:right w:val="single" w:color="auto" w:sz="4" w:space="0"/>
            </w:tcBorders>
          </w:tcPr>
          <w:p>
            <w:pPr>
              <w:pStyle w:val="105"/>
            </w:pPr>
            <w:r>
              <w:t>1.4MHz</w:t>
            </w:r>
          </w:p>
        </w:tc>
        <w:tc>
          <w:tcPr>
            <w:tcW w:w="2695" w:type="dxa"/>
            <w:tcBorders>
              <w:top w:val="single" w:color="auto" w:sz="4" w:space="0"/>
              <w:left w:val="single" w:color="auto" w:sz="4" w:space="0"/>
              <w:bottom w:val="single" w:color="auto" w:sz="4" w:space="0"/>
              <w:right w:val="single" w:color="auto" w:sz="4" w:space="0"/>
            </w:tcBorders>
            <w:vAlign w:val="center"/>
          </w:tcPr>
          <w:p>
            <w:pPr>
              <w:pStyle w:val="105"/>
            </w:pPr>
          </w:p>
        </w:tc>
        <w:tc>
          <w:tcPr>
            <w:tcW w:w="1286" w:type="dxa"/>
            <w:tcBorders>
              <w:top w:val="single" w:color="auto" w:sz="4" w:space="0"/>
              <w:left w:val="single" w:color="auto" w:sz="4" w:space="0"/>
              <w:bottom w:val="single" w:color="auto" w:sz="4" w:space="0"/>
              <w:right w:val="single" w:color="auto" w:sz="4" w:space="0"/>
            </w:tcBorders>
            <w:vAlign w:val="center"/>
          </w:tcPr>
          <w:p>
            <w:pPr>
              <w:pStyle w:val="105"/>
            </w:pPr>
            <w:r>
              <w:t>QPSK</w:t>
            </w:r>
          </w:p>
        </w:tc>
        <w:tc>
          <w:tcPr>
            <w:tcW w:w="3129" w:type="dxa"/>
            <w:tcBorders>
              <w:top w:val="single" w:color="auto" w:sz="4" w:space="0"/>
              <w:left w:val="single" w:color="auto" w:sz="4" w:space="0"/>
              <w:bottom w:val="single" w:color="auto" w:sz="4" w:space="0"/>
              <w:right w:val="single" w:color="auto" w:sz="4" w:space="0"/>
            </w:tcBorders>
            <w:vAlign w:val="center"/>
          </w:tcPr>
          <w:p>
            <w:pPr>
              <w:pStyle w:val="105"/>
            </w:pPr>
            <w:r>
              <w:t>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18"/>
              <w:rPr>
                <w:lang w:eastAsia="sv-SE"/>
              </w:rPr>
            </w:pPr>
            <w:r>
              <w:rPr>
                <w:lang w:eastAsia="sv-SE"/>
              </w:rPr>
              <w:t>Note 1:</w:t>
            </w:r>
            <w:r>
              <w:rPr>
                <w:lang w:eastAsia="sv-SE"/>
              </w:rPr>
              <w:tab/>
            </w:r>
            <w:r>
              <w:rPr>
                <w:lang w:eastAsia="sv-SE"/>
              </w:rPr>
              <w:t>the SC</w:t>
            </w:r>
            <w:r>
              <w:rPr>
                <w:vertAlign w:val="subscript"/>
                <w:lang w:eastAsia="sv-SE"/>
              </w:rPr>
              <w:t>start</w:t>
            </w:r>
            <w:r>
              <w:rPr>
                <w:lang w:eastAsia="sv-SE"/>
              </w:rPr>
              <w:t xml:space="preserve"> shall be 0. </w:t>
            </w:r>
          </w:p>
        </w:tc>
      </w:tr>
    </w:tbl>
    <w:p>
      <w:pPr>
        <w:rPr>
          <w:rFonts w:hint="eastAsia" w:eastAsiaTheme="minorEastAsia"/>
          <w:lang w:eastAsia="zh-CN"/>
        </w:rPr>
      </w:pP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6.2A.3.4.1-1 to Table 6.2A.3.4.1-2.</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Annex B.0.</w:t>
      </w:r>
    </w:p>
    <w:p>
      <w:pPr>
        <w:pStyle w:val="111"/>
        <w:overflowPunct w:val="0"/>
        <w:autoSpaceDE w:val="0"/>
        <w:autoSpaceDN w:val="0"/>
        <w:adjustRightInd w:val="0"/>
        <w:contextualSpacing w:val="0"/>
        <w:textAlignment w:val="baseline"/>
        <w:rPr>
          <w:rFonts w:eastAsia="Malgun Gothic"/>
          <w:color w:val="000000" w:themeColor="text1"/>
          <w:lang w:eastAsia="en-GB"/>
          <w14:textFill>
            <w14:solidFill>
              <w14:schemeClr w14:val="tx1"/>
            </w14:solidFill>
          </w14:textFill>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w:t>
      </w:r>
      <w:r>
        <w:rPr>
          <w:rFonts w:eastAsia="Malgun Gothic"/>
          <w:lang w:eastAsia="en-GB"/>
        </w:rPr>
        <w:t>5</w:t>
      </w:r>
      <w:r>
        <w:rPr>
          <w:rFonts w:hint="eastAsia" w:eastAsia="Malgun Gothic"/>
          <w:lang w:eastAsia="en-GB"/>
        </w:rPr>
        <w:t>.</w:t>
      </w:r>
      <w:r>
        <w:rPr>
          <w:rFonts w:eastAsia="Malgun Gothic"/>
          <w:lang w:eastAsia="en-GB"/>
        </w:rPr>
        <w:t>6.1</w:t>
      </w:r>
      <w:r>
        <w:rPr>
          <w:rFonts w:hint="eastAsia" w:eastAsia="Malgun Gothic"/>
          <w:lang w:eastAsia="en-GB"/>
        </w:rPr>
        <w:t xml:space="preserve"> is pro</w:t>
      </w:r>
      <w:r>
        <w:rPr>
          <w:rFonts w:hint="eastAsia" w:eastAsia="Malgun Gothic"/>
          <w:color w:val="000000" w:themeColor="text1"/>
          <w:lang w:eastAsia="en-GB"/>
          <w14:textFill>
            <w14:solidFill>
              <w14:schemeClr w14:val="tx1"/>
            </w14:solidFill>
          </w14:textFill>
        </w:rPr>
        <w:t xml:space="preserve">vided to the UE through any preconfigured means. </w:t>
      </w:r>
    </w:p>
    <w:p>
      <w:pPr>
        <w:pStyle w:val="111"/>
        <w:overflowPunct w:val="0"/>
        <w:autoSpaceDE w:val="0"/>
        <w:autoSpaceDN w:val="0"/>
        <w:adjustRightInd w:val="0"/>
        <w:contextualSpacing w:val="0"/>
        <w:textAlignment w:val="baseline"/>
        <w:rPr>
          <w:rFonts w:eastAsia="宋体"/>
          <w:lang w:val="en-US" w:eastAsia="zh-CN"/>
        </w:rPr>
      </w:pPr>
      <w:r>
        <w:rPr>
          <w:rFonts w:hint="eastAsia" w:eastAsia="Malgun Gothic"/>
          <w:color w:val="000000" w:themeColor="text1"/>
          <w:lang w:eastAsia="en-GB"/>
          <w14:textFill>
            <w14:solidFill>
              <w14:schemeClr w14:val="tx1"/>
            </w14:solidFill>
          </w14:textFill>
        </w:rPr>
        <w:t>7.</w:t>
      </w:r>
      <w:r>
        <w:rPr>
          <w:rFonts w:hint="eastAsia" w:eastAsia="Malgun Gothic"/>
          <w:color w:val="000000" w:themeColor="text1"/>
          <w:lang w:eastAsia="en-GB"/>
          <w14:textFill>
            <w14:solidFill>
              <w14:schemeClr w14:val="tx1"/>
            </w14:solidFill>
          </w14:textFill>
        </w:rPr>
        <w:tab/>
      </w:r>
      <w:r>
        <w:rPr>
          <w:color w:val="000000" w:themeColor="text1"/>
          <w14:textFill>
            <w14:solidFill>
              <w14:schemeClr w14:val="tx1"/>
            </w14:solidFill>
          </w14:textFill>
        </w:rPr>
        <w:t xml:space="preserve"> Test equipment shall emulate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xml:space="preserve">. Test system shall send same SIB31 information during the duration of the test as define in TS 36.508[12] clause </w:t>
      </w:r>
      <w:r>
        <w:t>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rFonts w:eastAsia="Malgun Gothic"/>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hint="eastAsia" w:eastAsia="Malgun Gothic"/>
          <w:lang w:eastAsia="en-GB"/>
        </w:rPr>
        <w:t>.</w:t>
      </w:r>
      <w:r>
        <w:rPr>
          <w:rFonts w:hint="eastAsia" w:eastAsia="Malgun Gothic"/>
          <w:lang w:eastAsia="en-GB"/>
        </w:rPr>
        <w:tab/>
      </w:r>
      <w:r>
        <w:rPr>
          <w:rFonts w:hint="eastAsia" w:eastAsia="Malgun Gothic"/>
          <w:lang w:eastAsia="en-GB"/>
        </w:rPr>
        <w:t>Ensure the UE is in State 3A-RF-CE according to TS 36.508 [12] clause 5.2A.2AA. Message contents are defined in clause 6.2A.3.4.3.</w:t>
      </w:r>
    </w:p>
    <w:p>
      <w:pPr>
        <w:pStyle w:val="9"/>
      </w:pPr>
      <w:r>
        <w:t>6.2A.3.4.2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 xml:space="preserve">Send continuously uplink power control "up" commands in the uplink scheduling information to the UE until the UE transmits at </w:t>
      </w:r>
      <w:r>
        <w:t>P</w:t>
      </w:r>
      <w:r>
        <w:rPr>
          <w:vertAlign w:val="subscript"/>
        </w:rPr>
        <w:t>UMAX</w:t>
      </w:r>
      <w:r>
        <w:rPr>
          <w:rFonts w:eastAsia="Malgun Gothic"/>
          <w:lang w:eastAsia="en-GB"/>
        </w:rPr>
        <w:t xml:space="preserve"> level.</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Measure the mean power of the UE in the channel bandwidth of the radio access mode. The period of measurement shall be at least the continuous duration one sub-frame (1ms). For HD-FDD slots with transient periods and Half-duplex guard subframe are not under test.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For UE supporting subPRB allocation, repeat step 1-3 with UL RMC according to applicable Table from Table 6.2A.3.4.1-1a to Table 6.2A.3.4.1-2a.</w:t>
      </w:r>
    </w:p>
    <w:p>
      <w:pPr>
        <w:pStyle w:val="9"/>
        <w:rPr>
          <w:snapToGrid w:val="0"/>
        </w:rPr>
      </w:pPr>
      <w:r>
        <w:t>6.2A.3.4.3</w:t>
      </w:r>
      <w:r>
        <w:tab/>
      </w:r>
      <w:r>
        <w:rPr>
          <w:snapToGrid w:val="0"/>
        </w:rPr>
        <w:t>Message contents</w:t>
      </w:r>
    </w:p>
    <w:p>
      <w:r>
        <w:t>Message contents are according to TS 36.508 [12] subclause 4.6 with the condition CEModeA and with the following exceptions for each network signalled value.</w:t>
      </w:r>
    </w:p>
    <w:p>
      <w:pPr>
        <w:pStyle w:val="9"/>
      </w:pPr>
      <w:r>
        <w:t>6.2A.3.4.3.1</w:t>
      </w:r>
      <w:r>
        <w:tab/>
      </w:r>
      <w:r>
        <w:t>Message contents exceptions (network signalled value “NS_02N”)</w:t>
      </w:r>
    </w:p>
    <w:p>
      <w:pPr>
        <w:pStyle w:val="111"/>
      </w:pPr>
      <w:r>
        <w:t>1.</w:t>
      </w:r>
      <w:r>
        <w:tab/>
      </w:r>
      <w:r>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6.2A.3.4.3.1</w:t>
      </w:r>
      <w:r>
        <w:t xml:space="preserve">-1: </w:t>
      </w:r>
      <w:r>
        <w:rPr>
          <w:i/>
        </w:rPr>
        <w:t>SystemInformationBlockType2</w:t>
      </w:r>
      <w:r>
        <w:t>: Additional spurious emissions test requirement for “NS_02N”</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7" w:type="dxa"/>
            <w:gridSpan w:val="4"/>
          </w:tcPr>
          <w:p>
            <w:pPr>
              <w:pStyle w:val="103"/>
            </w:pPr>
            <w:r>
              <w:t>Derivation Path: TS 36.508 [12] clause 4.4.3.3, Table 4.4.3.3-1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3"/>
            </w:pPr>
            <w:r>
              <w:t xml:space="preserve">    additionalSpectrumEmission</w:t>
            </w:r>
          </w:p>
        </w:tc>
        <w:tc>
          <w:tcPr>
            <w:tcW w:w="2267" w:type="dxa"/>
          </w:tcPr>
          <w:p>
            <w:pPr>
              <w:pStyle w:val="103"/>
            </w:pPr>
            <w:r>
              <w:t>2(NS-02N)</w:t>
            </w:r>
          </w:p>
        </w:tc>
        <w:tc>
          <w:tcPr>
            <w:tcW w:w="1700" w:type="dxa"/>
          </w:tcPr>
          <w:p/>
        </w:tc>
        <w:tc>
          <w:tcPr>
            <w:tcW w:w="1133" w:type="dxa"/>
          </w:tcPr>
          <w:p>
            <w:pPr>
              <w:pStyle w:val="103"/>
            </w:pPr>
          </w:p>
        </w:tc>
      </w:tr>
    </w:tbl>
    <w:p/>
    <w:p>
      <w:pPr>
        <w:pStyle w:val="9"/>
      </w:pPr>
      <w:r>
        <w:t>6.2A.3.4.3.2</w:t>
      </w:r>
      <w:r>
        <w:tab/>
      </w:r>
      <w:r>
        <w:t>Message contents exceptions (network signalled value "NS_24")</w:t>
      </w:r>
    </w:p>
    <w:p>
      <w:pPr>
        <w:pStyle w:val="111"/>
      </w:pPr>
      <w:r>
        <w:t>1.</w:t>
      </w:r>
      <w:r>
        <w:tab/>
      </w:r>
      <w:r>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6.2A.3.4.3.2</w:t>
      </w:r>
      <w:r>
        <w:t xml:space="preserve">-1: </w:t>
      </w:r>
      <w:r>
        <w:rPr>
          <w:i/>
        </w:rPr>
        <w:t>SystemInformationBlockType2</w:t>
      </w:r>
      <w:r>
        <w:t>: Additional spurious emissions test requirement for "NS_24"</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7" w:type="dxa"/>
            <w:gridSpan w:val="4"/>
          </w:tcPr>
          <w:p>
            <w:pPr>
              <w:pStyle w:val="103"/>
            </w:pPr>
            <w:r>
              <w:t>Derivation Path: TS 36.508 [12] clause 4.4.3.3, Table 4.4.3.3-1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3"/>
            </w:pPr>
            <w:r>
              <w:t xml:space="preserve">    additionalSpectrumEmission</w:t>
            </w:r>
          </w:p>
        </w:tc>
        <w:tc>
          <w:tcPr>
            <w:tcW w:w="2267" w:type="dxa"/>
          </w:tcPr>
          <w:p>
            <w:pPr>
              <w:pStyle w:val="103"/>
            </w:pPr>
            <w:r>
              <w:t>24 (NS_24)</w:t>
            </w:r>
          </w:p>
        </w:tc>
        <w:tc>
          <w:tcPr>
            <w:tcW w:w="1700" w:type="dxa"/>
          </w:tcPr>
          <w:p/>
        </w:tc>
        <w:tc>
          <w:tcPr>
            <w:tcW w:w="1133" w:type="dxa"/>
          </w:tcPr>
          <w:p>
            <w:pPr>
              <w:pStyle w:val="103"/>
            </w:pPr>
          </w:p>
        </w:tc>
      </w:tr>
    </w:tbl>
    <w:p/>
    <w:p>
      <w:pPr>
        <w:pStyle w:val="9"/>
      </w:pPr>
      <w:r>
        <w:t>6.2A.3.5</w:t>
      </w:r>
      <w:r>
        <w:tab/>
      </w:r>
      <w:r>
        <w:t>Test requirements</w:t>
      </w:r>
    </w:p>
    <w:p>
      <w:r>
        <w:t xml:space="preserve">The maximum output power derived in step 3 shall be within the range prescribed by the nominal maximum output power and tolerance in the applicable table from Table 6.2.4EA.5-1 to Table </w:t>
      </w:r>
      <w:r>
        <w:rPr>
          <w:lang w:eastAsia="zh-CN"/>
        </w:rPr>
        <w:t>6.2.4EA.5-22</w:t>
      </w:r>
      <w:r>
        <w:t>. The allowed A-MPR values specified in Table 6.2.4EA-1 are in addition to the allowed MPR requirements specified in clause 6.2.3</w:t>
      </w:r>
      <w:r>
        <w:rPr>
          <w:lang w:eastAsia="ja-JP"/>
        </w:rPr>
        <w:t xml:space="preserve"> EA</w:t>
      </w:r>
      <w:r>
        <w:t>. For the UE maximum output power modified by MPR and/or A-MPR, the power limits specified in Table 6.2.5</w:t>
      </w:r>
      <w:r>
        <w:rPr>
          <w:lang w:eastAsia="ja-JP"/>
        </w:rPr>
        <w:t xml:space="preserve"> EA</w:t>
      </w:r>
      <w:r>
        <w:t xml:space="preserve">.3-1 </w:t>
      </w:r>
      <w:r>
        <w:rPr>
          <w:lang w:eastAsia="ja-JP"/>
        </w:rPr>
        <w:t xml:space="preserve">and </w:t>
      </w:r>
      <w:r>
        <w:t>6.2.5</w:t>
      </w:r>
      <w:r>
        <w:rPr>
          <w:lang w:eastAsia="ja-JP"/>
        </w:rPr>
        <w:t>EA</w:t>
      </w:r>
      <w:r>
        <w:t>.3-</w:t>
      </w:r>
      <w:r>
        <w:rPr>
          <w:lang w:eastAsia="ja-JP"/>
        </w:rPr>
        <w:t xml:space="preserve">2 </w:t>
      </w:r>
      <w:r>
        <w:t>apply.</w:t>
      </w:r>
    </w:p>
    <w:p>
      <w:pPr>
        <w:pStyle w:val="113"/>
      </w:pPr>
      <w:r>
        <w:rPr>
          <w:rFonts w:cs="v5.0.0"/>
        </w:rPr>
        <w:t>Table 6.2A.3.5-</w:t>
      </w:r>
      <w:r>
        <w:t>1</w:t>
      </w:r>
      <w:r>
        <w:rPr>
          <w:rFonts w:cs="v5.0.0"/>
        </w:rPr>
        <w:t xml:space="preserve">: UE Power Class test requirements </w:t>
      </w:r>
      <w:r>
        <w:t>(network signalled value “NS_02N”)</w:t>
      </w:r>
    </w:p>
    <w:tbl>
      <w:tblPr>
        <w:tblStyle w:val="89"/>
        <w:tblW w:w="9568" w:type="dxa"/>
        <w:jc w:val="center"/>
        <w:tblLayout w:type="fixed"/>
        <w:tblCellMar>
          <w:top w:w="0" w:type="dxa"/>
          <w:left w:w="70" w:type="dxa"/>
          <w:bottom w:w="0" w:type="dxa"/>
          <w:right w:w="70" w:type="dxa"/>
        </w:tblCellMar>
      </w:tblPr>
      <w:tblGrid>
        <w:gridCol w:w="851"/>
        <w:gridCol w:w="709"/>
        <w:gridCol w:w="637"/>
        <w:gridCol w:w="708"/>
        <w:gridCol w:w="851"/>
        <w:gridCol w:w="850"/>
        <w:gridCol w:w="851"/>
        <w:gridCol w:w="567"/>
        <w:gridCol w:w="567"/>
        <w:gridCol w:w="709"/>
        <w:gridCol w:w="850"/>
        <w:gridCol w:w="709"/>
        <w:gridCol w:w="709"/>
      </w:tblGrid>
      <w:tr>
        <w:tblPrEx>
          <w:tblCellMar>
            <w:top w:w="0" w:type="dxa"/>
            <w:left w:w="70" w:type="dxa"/>
            <w:bottom w:w="0" w:type="dxa"/>
            <w:right w:w="70" w:type="dxa"/>
          </w:tblCellMar>
        </w:tblPrEx>
        <w:trPr>
          <w:trHeight w:val="525" w:hRule="atLeast"/>
          <w:jc w:val="center"/>
        </w:trPr>
        <w:tc>
          <w:tcPr>
            <w:tcW w:w="8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 ID</w:t>
            </w:r>
          </w:p>
        </w:tc>
        <w:tc>
          <w:tcPr>
            <w:tcW w:w="4606" w:type="dxa"/>
            <w:gridSpan w:val="6"/>
            <w:tcBorders>
              <w:top w:val="single" w:color="auto" w:sz="4" w:space="0"/>
              <w:left w:val="single" w:color="auto" w:sz="4" w:space="0"/>
              <w:bottom w:val="single" w:color="auto" w:sz="4" w:space="0"/>
              <w:right w:val="single" w:color="auto" w:sz="4" w:space="0"/>
            </w:tcBorders>
          </w:tcPr>
          <w:p>
            <w:pPr>
              <w:pStyle w:val="104"/>
            </w:pPr>
            <w:r>
              <w:t>Power class 3</w:t>
            </w:r>
          </w:p>
        </w:tc>
        <w:tc>
          <w:tcPr>
            <w:tcW w:w="4111" w:type="dxa"/>
            <w:gridSpan w:val="6"/>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525" w:hRule="atLeast"/>
          <w:jc w:val="center"/>
        </w:trPr>
        <w:tc>
          <w:tcPr>
            <w:tcW w:w="85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09" w:type="dxa"/>
            <w:tcBorders>
              <w:top w:val="single" w:color="auto" w:sz="4" w:space="0"/>
              <w:left w:val="single" w:color="auto" w:sz="4" w:space="0"/>
              <w:bottom w:val="single" w:color="auto" w:sz="4" w:space="0"/>
              <w:right w:val="single" w:color="auto" w:sz="4" w:space="0"/>
            </w:tcBorders>
          </w:tcPr>
          <w:p>
            <w:pPr>
              <w:pStyle w:val="104"/>
            </w:pPr>
            <w:r>
              <w:t>MPR (dB)</w:t>
            </w:r>
          </w:p>
        </w:tc>
        <w:tc>
          <w:tcPr>
            <w:tcW w:w="637" w:type="dxa"/>
            <w:tcBorders>
              <w:top w:val="single" w:color="auto" w:sz="4" w:space="0"/>
              <w:left w:val="single" w:color="auto" w:sz="4" w:space="0"/>
              <w:bottom w:val="single" w:color="auto" w:sz="4" w:space="0"/>
              <w:right w:val="single" w:color="auto" w:sz="4" w:space="0"/>
            </w:tcBorders>
          </w:tcPr>
          <w:p>
            <w:pPr>
              <w:pStyle w:val="104"/>
            </w:pPr>
            <w:r>
              <w:t>A_MPR (dB)</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567" w:type="dxa"/>
            <w:tcBorders>
              <w:top w:val="single" w:color="auto" w:sz="4" w:space="0"/>
              <w:left w:val="single" w:color="auto" w:sz="4" w:space="0"/>
              <w:bottom w:val="single" w:color="auto" w:sz="4" w:space="0"/>
              <w:right w:val="single" w:color="auto" w:sz="4" w:space="0"/>
            </w:tcBorders>
          </w:tcPr>
          <w:p>
            <w:pPr>
              <w:pStyle w:val="104"/>
            </w:pPr>
            <w:r>
              <w:t>MPR (dB)</w:t>
            </w:r>
          </w:p>
        </w:tc>
        <w:tc>
          <w:tcPr>
            <w:tcW w:w="567" w:type="dxa"/>
            <w:tcBorders>
              <w:top w:val="single" w:color="auto" w:sz="4" w:space="0"/>
              <w:left w:val="single" w:color="auto" w:sz="4" w:space="0"/>
              <w:bottom w:val="single" w:color="auto" w:sz="4" w:space="0"/>
              <w:right w:val="single" w:color="auto" w:sz="4" w:space="0"/>
            </w:tcBorders>
          </w:tcPr>
          <w:p>
            <w:pPr>
              <w:pStyle w:val="104"/>
            </w:pPr>
            <w:r>
              <w:t>A_MPR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300" w:hRule="atLeast"/>
          <w:jc w:val="center"/>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t>0</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c>
          <w:tcPr>
            <w:tcW w:w="567" w:type="dxa"/>
            <w:tcBorders>
              <w:top w:val="single" w:color="auto" w:sz="4" w:space="0"/>
              <w:left w:val="single" w:color="auto" w:sz="4" w:space="0"/>
              <w:bottom w:val="single" w:color="auto" w:sz="4" w:space="0"/>
              <w:right w:val="single" w:color="auto" w:sz="4" w:space="0"/>
            </w:tcBorders>
          </w:tcPr>
          <w:p>
            <w:pPr>
              <w:pStyle w:val="105"/>
            </w:pPr>
            <w:r>
              <w:t>0</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20</w:t>
            </w:r>
          </w:p>
        </w:tc>
        <w:tc>
          <w:tcPr>
            <w:tcW w:w="850"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17.3</w:t>
            </w:r>
          </w:p>
        </w:tc>
      </w:tr>
      <w:tr>
        <w:tblPrEx>
          <w:tblCellMar>
            <w:top w:w="0" w:type="dxa"/>
            <w:left w:w="70" w:type="dxa"/>
            <w:bottom w:w="0" w:type="dxa"/>
            <w:right w:w="70" w:type="dxa"/>
          </w:tblCellMar>
        </w:tblPrEx>
        <w:trPr>
          <w:trHeight w:val="300" w:hRule="atLeast"/>
          <w:jc w:val="center"/>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t>1</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22</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19.3</w:t>
            </w:r>
          </w:p>
        </w:tc>
        <w:tc>
          <w:tcPr>
            <w:tcW w:w="567" w:type="dxa"/>
            <w:tcBorders>
              <w:top w:val="single" w:color="auto" w:sz="4" w:space="0"/>
              <w:left w:val="single" w:color="auto" w:sz="4" w:space="0"/>
              <w:bottom w:val="single" w:color="auto" w:sz="4" w:space="0"/>
              <w:right w:val="single" w:color="auto" w:sz="4" w:space="0"/>
            </w:tcBorders>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19</w:t>
            </w:r>
          </w:p>
        </w:tc>
        <w:tc>
          <w:tcPr>
            <w:tcW w:w="850" w:type="dxa"/>
            <w:tcBorders>
              <w:top w:val="single" w:color="auto" w:sz="4" w:space="0"/>
              <w:left w:val="single" w:color="auto" w:sz="4" w:space="0"/>
              <w:bottom w:val="single" w:color="auto" w:sz="4" w:space="0"/>
              <w:right w:val="single" w:color="auto" w:sz="4" w:space="0"/>
            </w:tcBorders>
          </w:tcPr>
          <w:p>
            <w:pPr>
              <w:pStyle w:val="105"/>
            </w:pPr>
            <w:r>
              <w:t>3.5</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14.8</w:t>
            </w:r>
          </w:p>
        </w:tc>
      </w:tr>
      <w:tr>
        <w:tblPrEx>
          <w:tblCellMar>
            <w:top w:w="0" w:type="dxa"/>
            <w:left w:w="70" w:type="dxa"/>
            <w:bottom w:w="0" w:type="dxa"/>
            <w:right w:w="70" w:type="dxa"/>
          </w:tblCellMar>
        </w:tblPrEx>
        <w:trPr>
          <w:trHeight w:val="300" w:hRule="atLeast"/>
          <w:jc w:val="center"/>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709" w:type="dxa"/>
            <w:tcBorders>
              <w:top w:val="single" w:color="auto" w:sz="4" w:space="0"/>
              <w:left w:val="single" w:color="auto" w:sz="4" w:space="0"/>
              <w:bottom w:val="single" w:color="auto" w:sz="4" w:space="0"/>
              <w:right w:val="single" w:color="auto" w:sz="4" w:space="0"/>
            </w:tcBorders>
          </w:tcPr>
          <w:p>
            <w:pPr>
              <w:pStyle w:val="105"/>
            </w:pPr>
            <w:r>
              <w:t>2</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21</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18.3</w:t>
            </w:r>
          </w:p>
        </w:tc>
        <w:tc>
          <w:tcPr>
            <w:tcW w:w="567" w:type="dxa"/>
            <w:tcBorders>
              <w:top w:val="single" w:color="auto" w:sz="4" w:space="0"/>
              <w:left w:val="single" w:color="auto" w:sz="4" w:space="0"/>
              <w:bottom w:val="single" w:color="auto" w:sz="4" w:space="0"/>
              <w:right w:val="single" w:color="auto" w:sz="4" w:space="0"/>
            </w:tcBorders>
          </w:tcPr>
          <w:p>
            <w:pPr>
              <w:pStyle w:val="105"/>
            </w:pPr>
            <w:r>
              <w:t>2</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18</w:t>
            </w:r>
          </w:p>
        </w:tc>
        <w:tc>
          <w:tcPr>
            <w:tcW w:w="850" w:type="dxa"/>
            <w:tcBorders>
              <w:top w:val="single" w:color="auto" w:sz="4" w:space="0"/>
              <w:left w:val="single" w:color="auto" w:sz="4" w:space="0"/>
              <w:bottom w:val="single" w:color="auto" w:sz="4" w:space="0"/>
              <w:right w:val="single" w:color="auto" w:sz="4" w:space="0"/>
            </w:tcBorders>
          </w:tcPr>
          <w:p>
            <w:pPr>
              <w:pStyle w:val="105"/>
            </w:pPr>
            <w:r>
              <w:t>4</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13.3</w:t>
            </w:r>
          </w:p>
        </w:tc>
      </w:tr>
      <w:tr>
        <w:tblPrEx>
          <w:tblCellMar>
            <w:top w:w="0" w:type="dxa"/>
            <w:left w:w="70" w:type="dxa"/>
            <w:bottom w:w="0" w:type="dxa"/>
            <w:right w:w="70" w:type="dxa"/>
          </w:tblCellMar>
        </w:tblPrEx>
        <w:trPr>
          <w:trHeight w:val="300" w:hRule="atLeast"/>
          <w:jc w:val="center"/>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4</w:t>
            </w:r>
          </w:p>
        </w:tc>
        <w:tc>
          <w:tcPr>
            <w:tcW w:w="709" w:type="dxa"/>
            <w:tcBorders>
              <w:top w:val="single" w:color="auto" w:sz="4" w:space="0"/>
              <w:left w:val="single" w:color="auto" w:sz="4" w:space="0"/>
              <w:bottom w:val="single" w:color="auto" w:sz="4" w:space="0"/>
              <w:right w:val="single" w:color="auto" w:sz="4" w:space="0"/>
            </w:tcBorders>
          </w:tcPr>
          <w:p>
            <w:pPr>
              <w:pStyle w:val="105"/>
            </w:pPr>
            <w:r>
              <w:t>1</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22</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19.3</w:t>
            </w:r>
          </w:p>
        </w:tc>
        <w:tc>
          <w:tcPr>
            <w:tcW w:w="567" w:type="dxa"/>
            <w:tcBorders>
              <w:top w:val="single" w:color="auto" w:sz="4" w:space="0"/>
              <w:left w:val="single" w:color="auto" w:sz="4" w:space="0"/>
              <w:bottom w:val="single" w:color="auto" w:sz="4" w:space="0"/>
              <w:right w:val="single" w:color="auto" w:sz="4" w:space="0"/>
            </w:tcBorders>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19</w:t>
            </w:r>
          </w:p>
        </w:tc>
        <w:tc>
          <w:tcPr>
            <w:tcW w:w="850" w:type="dxa"/>
            <w:tcBorders>
              <w:top w:val="single" w:color="auto" w:sz="4" w:space="0"/>
              <w:left w:val="single" w:color="auto" w:sz="4" w:space="0"/>
              <w:bottom w:val="single" w:color="auto" w:sz="4" w:space="0"/>
              <w:right w:val="single" w:color="auto" w:sz="4" w:space="0"/>
            </w:tcBorders>
          </w:tcPr>
          <w:p>
            <w:pPr>
              <w:pStyle w:val="105"/>
            </w:pPr>
            <w:r>
              <w:t>3.5</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14.8</w:t>
            </w:r>
          </w:p>
        </w:tc>
      </w:tr>
      <w:tr>
        <w:tblPrEx>
          <w:tblCellMar>
            <w:top w:w="0" w:type="dxa"/>
            <w:left w:w="70" w:type="dxa"/>
            <w:bottom w:w="0" w:type="dxa"/>
            <w:right w:w="70" w:type="dxa"/>
          </w:tblCellMar>
        </w:tblPrEx>
        <w:trPr>
          <w:trHeight w:val="300" w:hRule="atLeast"/>
          <w:jc w:val="center"/>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c>
          <w:tcPr>
            <w:tcW w:w="709" w:type="dxa"/>
            <w:tcBorders>
              <w:top w:val="single" w:color="auto" w:sz="4" w:space="0"/>
              <w:left w:val="single" w:color="auto" w:sz="4" w:space="0"/>
              <w:bottom w:val="single" w:color="auto" w:sz="4" w:space="0"/>
              <w:right w:val="single" w:color="auto" w:sz="4" w:space="0"/>
            </w:tcBorders>
          </w:tcPr>
          <w:p>
            <w:pPr>
              <w:pStyle w:val="105"/>
            </w:pPr>
            <w:r>
              <w:t>2</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21</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18.3</w:t>
            </w:r>
          </w:p>
        </w:tc>
        <w:tc>
          <w:tcPr>
            <w:tcW w:w="567" w:type="dxa"/>
            <w:tcBorders>
              <w:top w:val="single" w:color="auto" w:sz="4" w:space="0"/>
              <w:left w:val="single" w:color="auto" w:sz="4" w:space="0"/>
              <w:bottom w:val="single" w:color="auto" w:sz="4" w:space="0"/>
              <w:right w:val="single" w:color="auto" w:sz="4" w:space="0"/>
            </w:tcBorders>
          </w:tcPr>
          <w:p>
            <w:pPr>
              <w:pStyle w:val="105"/>
            </w:pPr>
            <w:r>
              <w:t>2</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18</w:t>
            </w:r>
          </w:p>
        </w:tc>
        <w:tc>
          <w:tcPr>
            <w:tcW w:w="850" w:type="dxa"/>
            <w:tcBorders>
              <w:top w:val="single" w:color="auto" w:sz="4" w:space="0"/>
              <w:left w:val="single" w:color="auto" w:sz="4" w:space="0"/>
              <w:bottom w:val="single" w:color="auto" w:sz="4" w:space="0"/>
              <w:right w:val="single" w:color="auto" w:sz="4" w:space="0"/>
            </w:tcBorders>
          </w:tcPr>
          <w:p>
            <w:pPr>
              <w:pStyle w:val="105"/>
            </w:pPr>
            <w:r>
              <w:t>4</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13.3</w:t>
            </w:r>
          </w:p>
        </w:tc>
      </w:tr>
      <w:tr>
        <w:tblPrEx>
          <w:tblCellMar>
            <w:top w:w="0" w:type="dxa"/>
            <w:left w:w="70" w:type="dxa"/>
            <w:bottom w:w="0" w:type="dxa"/>
            <w:right w:w="70" w:type="dxa"/>
          </w:tblCellMar>
        </w:tblPrEx>
        <w:trPr>
          <w:trHeight w:val="300" w:hRule="atLeast"/>
          <w:jc w:val="center"/>
        </w:trPr>
        <w:tc>
          <w:tcPr>
            <w:tcW w:w="9568" w:type="dxa"/>
            <w:gridSpan w:val="13"/>
            <w:tcBorders>
              <w:top w:val="single" w:color="auto" w:sz="4" w:space="0"/>
              <w:left w:val="single" w:color="auto" w:sz="4" w:space="0"/>
              <w:bottom w:val="single" w:color="auto" w:sz="4" w:space="0"/>
              <w:right w:val="single" w:color="auto" w:sz="4" w:space="0"/>
            </w:tcBorders>
          </w:tcPr>
          <w:p>
            <w:pPr>
              <w:pStyle w:val="118"/>
              <w:ind w:left="578" w:hanging="578"/>
            </w:pPr>
            <w:r>
              <w:rPr>
                <w:rFonts w:cs="Arial"/>
                <w:szCs w:val="18"/>
              </w:rPr>
              <w:t>Note 1:</w:t>
            </w:r>
            <w:r>
              <w:tab/>
            </w:r>
            <w:r>
              <w:t>P</w:t>
            </w:r>
            <w:r>
              <w:rPr>
                <w:vertAlign w:val="subscript"/>
              </w:rPr>
              <w:t xml:space="preserve">CMAX,c </w:t>
            </w:r>
            <w:r>
              <w:t>and T(P</w:t>
            </w:r>
            <w:r>
              <w:rPr>
                <w:vertAlign w:val="subscript"/>
              </w:rPr>
              <w:t>CMAX_L,c</w:t>
            </w:r>
            <w:r>
              <w:t>) are defined in TS 36.101 [7] clause 6.2.5</w:t>
            </w:r>
          </w:p>
        </w:tc>
      </w:tr>
    </w:tbl>
    <w:p>
      <w:pPr>
        <w:rPr>
          <w:lang w:eastAsia="zh-CN"/>
        </w:rPr>
      </w:pPr>
    </w:p>
    <w:p>
      <w:pPr>
        <w:pStyle w:val="113"/>
      </w:pPr>
      <w:r>
        <w:rPr>
          <w:rFonts w:cs="v5.0.0"/>
        </w:rPr>
        <w:t>Table 6.2A.3.5-</w:t>
      </w:r>
      <w:r>
        <w:t>1a</w:t>
      </w:r>
      <w:r>
        <w:rPr>
          <w:rFonts w:cs="v5.0.0"/>
        </w:rPr>
        <w:t xml:space="preserve">: UE Power Class test requirements, subPRB allocation </w:t>
      </w:r>
      <w:r>
        <w:t>(network signalled value “NS_02N”)</w:t>
      </w:r>
    </w:p>
    <w:tbl>
      <w:tblPr>
        <w:tblStyle w:val="89"/>
        <w:tblW w:w="9568" w:type="dxa"/>
        <w:jc w:val="center"/>
        <w:tblLayout w:type="fixed"/>
        <w:tblCellMar>
          <w:top w:w="0" w:type="dxa"/>
          <w:left w:w="70" w:type="dxa"/>
          <w:bottom w:w="0" w:type="dxa"/>
          <w:right w:w="70" w:type="dxa"/>
        </w:tblCellMar>
      </w:tblPr>
      <w:tblGrid>
        <w:gridCol w:w="851"/>
        <w:gridCol w:w="709"/>
        <w:gridCol w:w="637"/>
        <w:gridCol w:w="708"/>
        <w:gridCol w:w="851"/>
        <w:gridCol w:w="850"/>
        <w:gridCol w:w="851"/>
        <w:gridCol w:w="567"/>
        <w:gridCol w:w="567"/>
        <w:gridCol w:w="709"/>
        <w:gridCol w:w="850"/>
        <w:gridCol w:w="709"/>
        <w:gridCol w:w="709"/>
      </w:tblGrid>
      <w:tr>
        <w:tblPrEx>
          <w:tblCellMar>
            <w:top w:w="0" w:type="dxa"/>
            <w:left w:w="70" w:type="dxa"/>
            <w:bottom w:w="0" w:type="dxa"/>
            <w:right w:w="70" w:type="dxa"/>
          </w:tblCellMar>
        </w:tblPrEx>
        <w:trPr>
          <w:trHeight w:val="525" w:hRule="atLeast"/>
          <w:jc w:val="center"/>
        </w:trPr>
        <w:tc>
          <w:tcPr>
            <w:tcW w:w="8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 ID</w:t>
            </w:r>
          </w:p>
        </w:tc>
        <w:tc>
          <w:tcPr>
            <w:tcW w:w="4606" w:type="dxa"/>
            <w:gridSpan w:val="6"/>
            <w:tcBorders>
              <w:top w:val="single" w:color="auto" w:sz="4" w:space="0"/>
              <w:left w:val="single" w:color="auto" w:sz="4" w:space="0"/>
              <w:bottom w:val="single" w:color="auto" w:sz="4" w:space="0"/>
              <w:right w:val="single" w:color="auto" w:sz="4" w:space="0"/>
            </w:tcBorders>
          </w:tcPr>
          <w:p>
            <w:pPr>
              <w:pStyle w:val="104"/>
            </w:pPr>
            <w:r>
              <w:t>Power class 3</w:t>
            </w:r>
          </w:p>
        </w:tc>
        <w:tc>
          <w:tcPr>
            <w:tcW w:w="4111" w:type="dxa"/>
            <w:gridSpan w:val="6"/>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525" w:hRule="atLeast"/>
          <w:jc w:val="center"/>
        </w:trPr>
        <w:tc>
          <w:tcPr>
            <w:tcW w:w="85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09" w:type="dxa"/>
            <w:tcBorders>
              <w:top w:val="single" w:color="auto" w:sz="4" w:space="0"/>
              <w:left w:val="single" w:color="auto" w:sz="4" w:space="0"/>
              <w:bottom w:val="single" w:color="auto" w:sz="4" w:space="0"/>
              <w:right w:val="single" w:color="auto" w:sz="4" w:space="0"/>
            </w:tcBorders>
          </w:tcPr>
          <w:p>
            <w:pPr>
              <w:pStyle w:val="104"/>
            </w:pPr>
            <w:r>
              <w:t>MPR (dB)</w:t>
            </w:r>
          </w:p>
        </w:tc>
        <w:tc>
          <w:tcPr>
            <w:tcW w:w="637" w:type="dxa"/>
            <w:tcBorders>
              <w:top w:val="single" w:color="auto" w:sz="4" w:space="0"/>
              <w:left w:val="single" w:color="auto" w:sz="4" w:space="0"/>
              <w:bottom w:val="single" w:color="auto" w:sz="4" w:space="0"/>
              <w:right w:val="single" w:color="auto" w:sz="4" w:space="0"/>
            </w:tcBorders>
          </w:tcPr>
          <w:p>
            <w:pPr>
              <w:pStyle w:val="104"/>
            </w:pPr>
            <w:r>
              <w:t>A_MPR (dB)</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567" w:type="dxa"/>
            <w:tcBorders>
              <w:top w:val="single" w:color="auto" w:sz="4" w:space="0"/>
              <w:left w:val="single" w:color="auto" w:sz="4" w:space="0"/>
              <w:bottom w:val="single" w:color="auto" w:sz="4" w:space="0"/>
              <w:right w:val="single" w:color="auto" w:sz="4" w:space="0"/>
            </w:tcBorders>
          </w:tcPr>
          <w:p>
            <w:pPr>
              <w:pStyle w:val="104"/>
            </w:pPr>
            <w:r>
              <w:t>MPR (dB)</w:t>
            </w:r>
          </w:p>
        </w:tc>
        <w:tc>
          <w:tcPr>
            <w:tcW w:w="567" w:type="dxa"/>
            <w:tcBorders>
              <w:top w:val="single" w:color="auto" w:sz="4" w:space="0"/>
              <w:left w:val="single" w:color="auto" w:sz="4" w:space="0"/>
              <w:bottom w:val="single" w:color="auto" w:sz="4" w:space="0"/>
              <w:right w:val="single" w:color="auto" w:sz="4" w:space="0"/>
            </w:tcBorders>
          </w:tcPr>
          <w:p>
            <w:pPr>
              <w:pStyle w:val="104"/>
            </w:pPr>
            <w:r>
              <w:t>A_MPR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300" w:hRule="atLeast"/>
          <w:jc w:val="center"/>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t>0</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c>
          <w:tcPr>
            <w:tcW w:w="567" w:type="dxa"/>
            <w:tcBorders>
              <w:top w:val="single" w:color="auto" w:sz="4" w:space="0"/>
              <w:left w:val="single" w:color="auto" w:sz="4" w:space="0"/>
              <w:bottom w:val="single" w:color="auto" w:sz="4" w:space="0"/>
              <w:right w:val="single" w:color="auto" w:sz="4" w:space="0"/>
            </w:tcBorders>
          </w:tcPr>
          <w:p>
            <w:pPr>
              <w:pStyle w:val="105"/>
            </w:pPr>
            <w:r>
              <w:t>0</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20</w:t>
            </w:r>
          </w:p>
        </w:tc>
        <w:tc>
          <w:tcPr>
            <w:tcW w:w="850"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17.3</w:t>
            </w:r>
          </w:p>
        </w:tc>
      </w:tr>
      <w:tr>
        <w:tblPrEx>
          <w:tblCellMar>
            <w:top w:w="0" w:type="dxa"/>
            <w:left w:w="70" w:type="dxa"/>
            <w:bottom w:w="0" w:type="dxa"/>
            <w:right w:w="70" w:type="dxa"/>
          </w:tblCellMar>
        </w:tblPrEx>
        <w:trPr>
          <w:trHeight w:val="300" w:hRule="atLeast"/>
          <w:jc w:val="center"/>
        </w:trPr>
        <w:tc>
          <w:tcPr>
            <w:tcW w:w="9568" w:type="dxa"/>
            <w:gridSpan w:val="13"/>
            <w:tcBorders>
              <w:top w:val="single" w:color="auto" w:sz="4" w:space="0"/>
              <w:left w:val="single" w:color="auto" w:sz="4" w:space="0"/>
              <w:bottom w:val="single" w:color="auto" w:sz="4" w:space="0"/>
              <w:right w:val="single" w:color="auto" w:sz="4" w:space="0"/>
            </w:tcBorders>
          </w:tcPr>
          <w:p>
            <w:pPr>
              <w:pStyle w:val="118"/>
              <w:ind w:left="578" w:hanging="578"/>
            </w:pPr>
            <w:r>
              <w:rPr>
                <w:rFonts w:cs="Arial"/>
                <w:szCs w:val="18"/>
              </w:rPr>
              <w:t>Note 1:</w:t>
            </w:r>
            <w:r>
              <w:tab/>
            </w:r>
            <w:r>
              <w:t>P</w:t>
            </w:r>
            <w:r>
              <w:rPr>
                <w:vertAlign w:val="subscript"/>
              </w:rPr>
              <w:t xml:space="preserve">CMAX,c </w:t>
            </w:r>
            <w:r>
              <w:t>and T(P</w:t>
            </w:r>
            <w:r>
              <w:rPr>
                <w:vertAlign w:val="subscript"/>
              </w:rPr>
              <w:t>CMAX_L,c</w:t>
            </w:r>
            <w:r>
              <w:t>) are defined in TS 36.101 [7] clause 6.2.5</w:t>
            </w:r>
          </w:p>
        </w:tc>
      </w:tr>
    </w:tbl>
    <w:p>
      <w:pPr>
        <w:rPr>
          <w:lang w:eastAsia="zh-CN"/>
        </w:rPr>
      </w:pPr>
    </w:p>
    <w:p>
      <w:pPr>
        <w:pStyle w:val="113"/>
      </w:pPr>
      <w:r>
        <w:rPr>
          <w:rFonts w:cs="v5.0.0"/>
        </w:rPr>
        <w:t>Table 6.2A.3.5-</w:t>
      </w:r>
      <w:r>
        <w:t>2</w:t>
      </w:r>
      <w:r>
        <w:rPr>
          <w:rFonts w:cs="v5.0.0"/>
        </w:rPr>
        <w:t xml:space="preserve">: UE Power Class test requirements </w:t>
      </w:r>
      <w:r>
        <w:t>(network signalled value "NS_24")</w:t>
      </w:r>
    </w:p>
    <w:tbl>
      <w:tblPr>
        <w:tblStyle w:val="89"/>
        <w:tblW w:w="9993" w:type="dxa"/>
        <w:jc w:val="center"/>
        <w:tblLayout w:type="fixed"/>
        <w:tblCellMar>
          <w:top w:w="0" w:type="dxa"/>
          <w:left w:w="70" w:type="dxa"/>
          <w:bottom w:w="0" w:type="dxa"/>
          <w:right w:w="70" w:type="dxa"/>
        </w:tblCellMar>
      </w:tblPr>
      <w:tblGrid>
        <w:gridCol w:w="496"/>
        <w:gridCol w:w="708"/>
        <w:gridCol w:w="709"/>
        <w:gridCol w:w="709"/>
        <w:gridCol w:w="850"/>
        <w:gridCol w:w="993"/>
        <w:gridCol w:w="850"/>
        <w:gridCol w:w="709"/>
        <w:gridCol w:w="709"/>
        <w:gridCol w:w="992"/>
        <w:gridCol w:w="850"/>
        <w:gridCol w:w="709"/>
        <w:gridCol w:w="709"/>
      </w:tblGrid>
      <w:tr>
        <w:tblPrEx>
          <w:tblCellMar>
            <w:top w:w="0" w:type="dxa"/>
            <w:left w:w="70" w:type="dxa"/>
            <w:bottom w:w="0" w:type="dxa"/>
            <w:right w:w="70" w:type="dxa"/>
          </w:tblCellMar>
        </w:tblPrEx>
        <w:trPr>
          <w:trHeight w:val="525" w:hRule="atLeast"/>
          <w:jc w:val="center"/>
        </w:trPr>
        <w:tc>
          <w:tcPr>
            <w:tcW w:w="49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 ID</w:t>
            </w:r>
          </w:p>
        </w:tc>
        <w:tc>
          <w:tcPr>
            <w:tcW w:w="4819" w:type="dxa"/>
            <w:gridSpan w:val="6"/>
            <w:tcBorders>
              <w:top w:val="single" w:color="auto" w:sz="4" w:space="0"/>
              <w:left w:val="single" w:color="auto" w:sz="4" w:space="0"/>
              <w:bottom w:val="single" w:color="auto" w:sz="4" w:space="0"/>
              <w:right w:val="single" w:color="auto" w:sz="4" w:space="0"/>
            </w:tcBorders>
          </w:tcPr>
          <w:p>
            <w:pPr>
              <w:pStyle w:val="104"/>
            </w:pPr>
            <w:r>
              <w:t>Power class 3</w:t>
            </w:r>
          </w:p>
        </w:tc>
        <w:tc>
          <w:tcPr>
            <w:tcW w:w="4678" w:type="dxa"/>
            <w:gridSpan w:val="6"/>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525" w:hRule="atLeast"/>
          <w:jc w:val="center"/>
        </w:trPr>
        <w:tc>
          <w:tcPr>
            <w:tcW w:w="49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08" w:type="dxa"/>
            <w:tcBorders>
              <w:top w:val="single" w:color="auto" w:sz="4" w:space="0"/>
              <w:left w:val="single" w:color="auto" w:sz="4" w:space="0"/>
              <w:bottom w:val="single" w:color="auto" w:sz="4" w:space="0"/>
              <w:right w:val="single" w:color="auto" w:sz="4" w:space="0"/>
            </w:tcBorders>
          </w:tcPr>
          <w:p>
            <w:pPr>
              <w:pStyle w:val="104"/>
            </w:pPr>
            <w:r>
              <w:t>MPR (dB)</w:t>
            </w:r>
          </w:p>
        </w:tc>
        <w:tc>
          <w:tcPr>
            <w:tcW w:w="709" w:type="dxa"/>
            <w:tcBorders>
              <w:top w:val="single" w:color="auto" w:sz="4" w:space="0"/>
              <w:left w:val="single" w:color="auto" w:sz="4" w:space="0"/>
              <w:bottom w:val="single" w:color="auto" w:sz="4" w:space="0"/>
              <w:right w:val="single" w:color="auto" w:sz="4" w:space="0"/>
            </w:tcBorders>
          </w:tcPr>
          <w:p>
            <w:pPr>
              <w:pStyle w:val="104"/>
            </w:pPr>
            <w:r>
              <w:t>A-MPR (dB)</w:t>
            </w:r>
          </w:p>
        </w:tc>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709" w:type="dxa"/>
            <w:tcBorders>
              <w:top w:val="single" w:color="auto" w:sz="4" w:space="0"/>
              <w:left w:val="single" w:color="auto" w:sz="4" w:space="0"/>
              <w:bottom w:val="single" w:color="auto" w:sz="4" w:space="0"/>
              <w:right w:val="single" w:color="auto" w:sz="4" w:space="0"/>
            </w:tcBorders>
          </w:tcPr>
          <w:p>
            <w:pPr>
              <w:pStyle w:val="104"/>
            </w:pPr>
            <w:r>
              <w:t>MPR (dB)</w:t>
            </w:r>
          </w:p>
        </w:tc>
        <w:tc>
          <w:tcPr>
            <w:tcW w:w="709" w:type="dxa"/>
            <w:tcBorders>
              <w:top w:val="single" w:color="auto" w:sz="4" w:space="0"/>
              <w:left w:val="single" w:color="auto" w:sz="4" w:space="0"/>
              <w:bottom w:val="single" w:color="auto" w:sz="4" w:space="0"/>
              <w:right w:val="single" w:color="auto" w:sz="4" w:space="0"/>
            </w:tcBorders>
          </w:tcPr>
          <w:p>
            <w:pPr>
              <w:pStyle w:val="104"/>
            </w:pPr>
            <w:r>
              <w:t>A-MPR (dB)</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300" w:hRule="atLeast"/>
          <w:jc w:val="center"/>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08" w:type="dxa"/>
            <w:tcBorders>
              <w:top w:val="single" w:color="auto" w:sz="4" w:space="0"/>
              <w:left w:val="single" w:color="auto" w:sz="4" w:space="0"/>
              <w:bottom w:val="single" w:color="auto" w:sz="4" w:space="0"/>
              <w:right w:val="single" w:color="auto" w:sz="4" w:space="0"/>
            </w:tcBorders>
          </w:tcPr>
          <w:p>
            <w:pPr>
              <w:pStyle w:val="105"/>
            </w:pPr>
            <w:r>
              <w:t>0</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0</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jc w:val="center"/>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708" w:type="dxa"/>
            <w:tcBorders>
              <w:top w:val="single" w:color="auto" w:sz="4" w:space="0"/>
              <w:left w:val="single" w:color="auto" w:sz="4" w:space="0"/>
              <w:bottom w:val="single" w:color="auto" w:sz="4" w:space="0"/>
              <w:right w:val="single" w:color="auto" w:sz="4" w:space="0"/>
            </w:tcBorders>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jc w:val="center"/>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708"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jc w:val="center"/>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4</w:t>
            </w:r>
          </w:p>
        </w:tc>
        <w:tc>
          <w:tcPr>
            <w:tcW w:w="708" w:type="dxa"/>
            <w:tcBorders>
              <w:top w:val="single" w:color="auto" w:sz="4" w:space="0"/>
              <w:left w:val="single" w:color="auto" w:sz="4" w:space="0"/>
              <w:bottom w:val="single" w:color="auto" w:sz="4" w:space="0"/>
              <w:right w:val="single" w:color="auto" w:sz="4" w:space="0"/>
            </w:tcBorders>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jc w:val="center"/>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c>
          <w:tcPr>
            <w:tcW w:w="708"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jc w:val="center"/>
        </w:trPr>
        <w:tc>
          <w:tcPr>
            <w:tcW w:w="9993" w:type="dxa"/>
            <w:gridSpan w:val="13"/>
            <w:tcBorders>
              <w:top w:val="single" w:color="auto" w:sz="4" w:space="0"/>
              <w:left w:val="single" w:color="auto" w:sz="4" w:space="0"/>
              <w:bottom w:val="single" w:color="auto" w:sz="4" w:space="0"/>
              <w:right w:val="single" w:color="auto" w:sz="4" w:space="0"/>
            </w:tcBorders>
          </w:tcPr>
          <w:p>
            <w:pPr>
              <w:pStyle w:val="118"/>
              <w:ind w:left="578" w:hanging="578"/>
            </w:pPr>
            <w:r>
              <w:rPr>
                <w:rFonts w:cs="Arial"/>
                <w:szCs w:val="18"/>
              </w:rPr>
              <w:t>Note 1:</w:t>
            </w:r>
            <w:r>
              <w:tab/>
            </w:r>
            <w:r>
              <w:t>P</w:t>
            </w:r>
            <w:r>
              <w:rPr>
                <w:vertAlign w:val="subscript"/>
              </w:rPr>
              <w:t xml:space="preserve">CMAX,c </w:t>
            </w:r>
            <w:r>
              <w:t>and T(P</w:t>
            </w:r>
            <w:r>
              <w:rPr>
                <w:vertAlign w:val="subscript"/>
              </w:rPr>
              <w:t>CMAX_L,c</w:t>
            </w:r>
            <w:r>
              <w:t>) are defined in TS 36.101 [7] clause 6.2.5</w:t>
            </w:r>
          </w:p>
        </w:tc>
      </w:tr>
    </w:tbl>
    <w:p>
      <w:pPr>
        <w:rPr>
          <w:lang w:eastAsia="zh-CN"/>
        </w:rPr>
      </w:pPr>
    </w:p>
    <w:p>
      <w:pPr>
        <w:pStyle w:val="113"/>
      </w:pPr>
      <w:r>
        <w:rPr>
          <w:rFonts w:cs="v5.0.0"/>
        </w:rPr>
        <w:t>Table 6.2A.3.5-</w:t>
      </w:r>
      <w:r>
        <w:t>1a</w:t>
      </w:r>
      <w:r>
        <w:rPr>
          <w:rFonts w:cs="v5.0.0"/>
        </w:rPr>
        <w:t xml:space="preserve">: UE Power Class test requirements, subPRB allocation </w:t>
      </w:r>
      <w:r>
        <w:t>(network signalled value "NS_24")</w:t>
      </w:r>
    </w:p>
    <w:tbl>
      <w:tblPr>
        <w:tblStyle w:val="89"/>
        <w:tblW w:w="9993" w:type="dxa"/>
        <w:jc w:val="center"/>
        <w:tblLayout w:type="fixed"/>
        <w:tblCellMar>
          <w:top w:w="0" w:type="dxa"/>
          <w:left w:w="70" w:type="dxa"/>
          <w:bottom w:w="0" w:type="dxa"/>
          <w:right w:w="70" w:type="dxa"/>
        </w:tblCellMar>
      </w:tblPr>
      <w:tblGrid>
        <w:gridCol w:w="496"/>
        <w:gridCol w:w="708"/>
        <w:gridCol w:w="709"/>
        <w:gridCol w:w="709"/>
        <w:gridCol w:w="850"/>
        <w:gridCol w:w="993"/>
        <w:gridCol w:w="850"/>
        <w:gridCol w:w="709"/>
        <w:gridCol w:w="709"/>
        <w:gridCol w:w="992"/>
        <w:gridCol w:w="850"/>
        <w:gridCol w:w="709"/>
        <w:gridCol w:w="709"/>
      </w:tblGrid>
      <w:tr>
        <w:tblPrEx>
          <w:tblCellMar>
            <w:top w:w="0" w:type="dxa"/>
            <w:left w:w="70" w:type="dxa"/>
            <w:bottom w:w="0" w:type="dxa"/>
            <w:right w:w="70" w:type="dxa"/>
          </w:tblCellMar>
        </w:tblPrEx>
        <w:trPr>
          <w:trHeight w:val="525" w:hRule="atLeast"/>
          <w:jc w:val="center"/>
        </w:trPr>
        <w:tc>
          <w:tcPr>
            <w:tcW w:w="49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 ID</w:t>
            </w:r>
          </w:p>
        </w:tc>
        <w:tc>
          <w:tcPr>
            <w:tcW w:w="4819" w:type="dxa"/>
            <w:gridSpan w:val="6"/>
            <w:tcBorders>
              <w:top w:val="single" w:color="auto" w:sz="4" w:space="0"/>
              <w:left w:val="single" w:color="auto" w:sz="4" w:space="0"/>
              <w:bottom w:val="single" w:color="auto" w:sz="4" w:space="0"/>
              <w:right w:val="single" w:color="auto" w:sz="4" w:space="0"/>
            </w:tcBorders>
          </w:tcPr>
          <w:p>
            <w:pPr>
              <w:pStyle w:val="104"/>
            </w:pPr>
            <w:r>
              <w:t>Power class 3</w:t>
            </w:r>
          </w:p>
        </w:tc>
        <w:tc>
          <w:tcPr>
            <w:tcW w:w="4678" w:type="dxa"/>
            <w:gridSpan w:val="6"/>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525" w:hRule="atLeast"/>
          <w:jc w:val="center"/>
        </w:trPr>
        <w:tc>
          <w:tcPr>
            <w:tcW w:w="49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08" w:type="dxa"/>
            <w:tcBorders>
              <w:top w:val="single" w:color="auto" w:sz="4" w:space="0"/>
              <w:left w:val="single" w:color="auto" w:sz="4" w:space="0"/>
              <w:bottom w:val="single" w:color="auto" w:sz="4" w:space="0"/>
              <w:right w:val="single" w:color="auto" w:sz="4" w:space="0"/>
            </w:tcBorders>
          </w:tcPr>
          <w:p>
            <w:pPr>
              <w:pStyle w:val="104"/>
            </w:pPr>
            <w:r>
              <w:t>MPR (dB)</w:t>
            </w:r>
          </w:p>
        </w:tc>
        <w:tc>
          <w:tcPr>
            <w:tcW w:w="709" w:type="dxa"/>
            <w:tcBorders>
              <w:top w:val="single" w:color="auto" w:sz="4" w:space="0"/>
              <w:left w:val="single" w:color="auto" w:sz="4" w:space="0"/>
              <w:bottom w:val="single" w:color="auto" w:sz="4" w:space="0"/>
              <w:right w:val="single" w:color="auto" w:sz="4" w:space="0"/>
            </w:tcBorders>
          </w:tcPr>
          <w:p>
            <w:pPr>
              <w:pStyle w:val="104"/>
            </w:pPr>
            <w:r>
              <w:t>A-MPR (dB)</w:t>
            </w:r>
          </w:p>
        </w:tc>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709" w:type="dxa"/>
            <w:tcBorders>
              <w:top w:val="single" w:color="auto" w:sz="4" w:space="0"/>
              <w:left w:val="single" w:color="auto" w:sz="4" w:space="0"/>
              <w:bottom w:val="single" w:color="auto" w:sz="4" w:space="0"/>
              <w:right w:val="single" w:color="auto" w:sz="4" w:space="0"/>
            </w:tcBorders>
          </w:tcPr>
          <w:p>
            <w:pPr>
              <w:pStyle w:val="104"/>
            </w:pPr>
            <w:r>
              <w:t>MPR (dB)</w:t>
            </w:r>
          </w:p>
        </w:tc>
        <w:tc>
          <w:tcPr>
            <w:tcW w:w="709" w:type="dxa"/>
            <w:tcBorders>
              <w:top w:val="single" w:color="auto" w:sz="4" w:space="0"/>
              <w:left w:val="single" w:color="auto" w:sz="4" w:space="0"/>
              <w:bottom w:val="single" w:color="auto" w:sz="4" w:space="0"/>
              <w:right w:val="single" w:color="auto" w:sz="4" w:space="0"/>
            </w:tcBorders>
          </w:tcPr>
          <w:p>
            <w:pPr>
              <w:pStyle w:val="104"/>
            </w:pPr>
            <w:r>
              <w:t>A-MPR (dB)</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300" w:hRule="atLeast"/>
          <w:jc w:val="center"/>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08" w:type="dxa"/>
            <w:tcBorders>
              <w:top w:val="single" w:color="auto" w:sz="4" w:space="0"/>
              <w:left w:val="single" w:color="auto" w:sz="4" w:space="0"/>
              <w:bottom w:val="single" w:color="auto" w:sz="4" w:space="0"/>
              <w:right w:val="single" w:color="auto" w:sz="4" w:space="0"/>
            </w:tcBorders>
          </w:tcPr>
          <w:p>
            <w:pPr>
              <w:pStyle w:val="105"/>
            </w:pPr>
            <w:r>
              <w:t>0</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0</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jc w:val="center"/>
        </w:trPr>
        <w:tc>
          <w:tcPr>
            <w:tcW w:w="9993" w:type="dxa"/>
            <w:gridSpan w:val="13"/>
            <w:tcBorders>
              <w:top w:val="single" w:color="auto" w:sz="4" w:space="0"/>
              <w:left w:val="single" w:color="auto" w:sz="4" w:space="0"/>
              <w:bottom w:val="single" w:color="auto" w:sz="4" w:space="0"/>
              <w:right w:val="single" w:color="auto" w:sz="4" w:space="0"/>
            </w:tcBorders>
          </w:tcPr>
          <w:p>
            <w:pPr>
              <w:pStyle w:val="118"/>
              <w:ind w:left="578" w:hanging="578"/>
            </w:pPr>
            <w:r>
              <w:rPr>
                <w:rFonts w:cs="Arial"/>
                <w:szCs w:val="18"/>
              </w:rPr>
              <w:t>Note 1:</w:t>
            </w:r>
            <w:r>
              <w:tab/>
            </w:r>
            <w:r>
              <w:t>P</w:t>
            </w:r>
            <w:r>
              <w:rPr>
                <w:vertAlign w:val="subscript"/>
              </w:rPr>
              <w:t xml:space="preserve">CMAX,c </w:t>
            </w:r>
            <w:r>
              <w:t>and T(P</w:t>
            </w:r>
            <w:r>
              <w:rPr>
                <w:vertAlign w:val="subscript"/>
              </w:rPr>
              <w:t>CMAX_L,c</w:t>
            </w:r>
            <w:r>
              <w:t>) are defined in TS 36.101 [7] clause 6.2.5</w:t>
            </w:r>
          </w:p>
        </w:tc>
      </w:tr>
    </w:tbl>
    <w:p>
      <w:pPr>
        <w:rPr>
          <w:i/>
          <w:lang w:eastAsia="zh-TW"/>
        </w:rPr>
      </w:pPr>
    </w:p>
    <w:bookmarkEnd w:id="399"/>
    <w:p>
      <w:pPr>
        <w:pStyle w:val="5"/>
      </w:pPr>
      <w:bookmarkStart w:id="409" w:name="_Toc120570028"/>
      <w:bookmarkStart w:id="410" w:name="_Toc22043"/>
      <w:bookmarkStart w:id="411" w:name="_Toc22021"/>
      <w:bookmarkStart w:id="412" w:name="_Toc3807"/>
      <w:bookmarkStart w:id="413" w:name="_Toc14966"/>
      <w:bookmarkStart w:id="414" w:name="_Toc10964"/>
      <w:bookmarkStart w:id="415" w:name="_Toc19533"/>
      <w:bookmarkStart w:id="416" w:name="_Toc121162820"/>
      <w:bookmarkStart w:id="417" w:name="_Toc18486"/>
      <w:bookmarkStart w:id="418" w:name="_Toc108616989"/>
      <w:bookmarkStart w:id="419" w:name="_Toc111062035"/>
      <w:r>
        <w:t>6.2A.4</w:t>
      </w:r>
      <w:r>
        <w:tab/>
      </w:r>
      <w:r>
        <w:t>Configured transmitted Power for category M1</w:t>
      </w:r>
      <w:bookmarkEnd w:id="409"/>
      <w:bookmarkEnd w:id="410"/>
      <w:bookmarkEnd w:id="411"/>
      <w:bookmarkEnd w:id="412"/>
      <w:bookmarkEnd w:id="413"/>
      <w:bookmarkEnd w:id="414"/>
      <w:bookmarkEnd w:id="415"/>
      <w:bookmarkEnd w:id="416"/>
      <w:bookmarkEnd w:id="417"/>
    </w:p>
    <w:p>
      <w:pPr>
        <w:pStyle w:val="112"/>
        <w:rPr>
          <w:i w:val="0"/>
          <w:iCs w:val="0"/>
          <w:lang w:val="en-US"/>
        </w:rPr>
      </w:pPr>
      <w:r>
        <w:rPr>
          <w:i w:val="0"/>
          <w:iCs w:val="0"/>
        </w:rPr>
        <w:t>Editor’s Note: Addition to applicability spec is pending.</w:t>
      </w:r>
    </w:p>
    <w:p>
      <w:pPr>
        <w:pStyle w:val="9"/>
      </w:pPr>
      <w:r>
        <w:t>6.2A.4.1</w:t>
      </w:r>
      <w:r>
        <w:tab/>
      </w:r>
      <w:r>
        <w:t>Test purpose</w:t>
      </w:r>
    </w:p>
    <w:p>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the UE power class.</w:t>
      </w:r>
    </w:p>
    <w:p>
      <w:pPr>
        <w:pStyle w:val="9"/>
      </w:pPr>
      <w:bookmarkStart w:id="420" w:name="_Toc350971757"/>
      <w:r>
        <w:t>6.2A.4.2</w:t>
      </w:r>
      <w:r>
        <w:tab/>
      </w:r>
      <w:r>
        <w:t>Test applicability</w:t>
      </w:r>
      <w:bookmarkEnd w:id="420"/>
    </w:p>
    <w:p>
      <w:r>
        <w:t>This test applies to all types of E-UTRA UE release 17 and forward that support satellite access operation.</w:t>
      </w:r>
    </w:p>
    <w:p>
      <w:pPr>
        <w:pStyle w:val="9"/>
      </w:pPr>
      <w:bookmarkStart w:id="421" w:name="_Toc350971758"/>
      <w:r>
        <w:t>6.2A.</w:t>
      </w:r>
      <w:r>
        <w:rPr>
          <w:rFonts w:hint="eastAsia"/>
        </w:rPr>
        <w:t>4</w:t>
      </w:r>
      <w:r>
        <w:t>.3</w:t>
      </w:r>
      <w:r>
        <w:tab/>
      </w:r>
      <w:r>
        <w:t>Minimum conformance requirements</w:t>
      </w:r>
      <w:bookmarkEnd w:id="421"/>
    </w:p>
    <w:p>
      <w:bookmarkStart w:id="422" w:name="_Hlk128124445"/>
      <w:r>
        <w:t>The configured transmitted power requirements in clause 6.2.5 of TS 36.101 [7] shall apply, wherein</w:t>
      </w:r>
    </w:p>
    <w:p>
      <w:pPr>
        <w:pStyle w:val="111"/>
        <w:rPr>
          <w:lang w:eastAsia="zh-CN"/>
        </w:rPr>
      </w:pPr>
      <w:r>
        <w:t>-</w:t>
      </w:r>
      <w:r>
        <w:tab/>
      </w:r>
      <w:r>
        <w:rPr>
          <w:lang w:eastAsia="zh-CN"/>
        </w:rPr>
        <w:t xml:space="preserve">The Maximum output power requirements are specified in </w:t>
      </w:r>
      <w:r>
        <w:t>TS 36.102 [11] subclause</w:t>
      </w:r>
      <w:r>
        <w:rPr>
          <w:lang w:eastAsia="zh-CN"/>
        </w:rPr>
        <w:t xml:space="preserve"> 6.2</w:t>
      </w:r>
      <w:r>
        <w:rPr>
          <w:lang w:eastAsia="zh-TW"/>
        </w:rPr>
        <w:t>A</w:t>
      </w:r>
      <w:r>
        <w:rPr>
          <w:lang w:eastAsia="zh-CN"/>
        </w:rPr>
        <w:t>.1</w:t>
      </w:r>
    </w:p>
    <w:p>
      <w:pPr>
        <w:pStyle w:val="111"/>
        <w:rPr>
          <w:lang w:eastAsia="zh-CN"/>
        </w:rPr>
      </w:pPr>
      <w:r>
        <w:t>-</w:t>
      </w:r>
      <w:r>
        <w:tab/>
      </w:r>
      <w:r>
        <w:rPr>
          <w:lang w:eastAsia="zh-CN"/>
        </w:rPr>
        <w:t xml:space="preserve">The MPR requirements are specified in </w:t>
      </w:r>
      <w:r>
        <w:t>TS 36.102 [11] </w:t>
      </w:r>
      <w:r>
        <w:rPr>
          <w:lang w:eastAsia="zh-CN"/>
        </w:rPr>
        <w:t>subclause 6.2</w:t>
      </w:r>
      <w:r>
        <w:rPr>
          <w:lang w:eastAsia="zh-TW"/>
        </w:rPr>
        <w:t>A</w:t>
      </w:r>
      <w:r>
        <w:rPr>
          <w:lang w:eastAsia="zh-CN"/>
        </w:rPr>
        <w:t>.2</w:t>
      </w:r>
    </w:p>
    <w:p>
      <w:pPr>
        <w:pStyle w:val="111"/>
        <w:rPr>
          <w:lang w:eastAsia="zh-CN"/>
        </w:rPr>
      </w:pPr>
      <w:r>
        <w:rPr>
          <w:lang w:eastAsia="zh-CN"/>
        </w:rPr>
        <w:t>-</w:t>
      </w:r>
      <w:r>
        <w:rPr>
          <w:lang w:eastAsia="zh-CN"/>
        </w:rPr>
        <w:tab/>
      </w:r>
      <w:r>
        <w:rPr>
          <w:lang w:eastAsia="zh-CN"/>
        </w:rPr>
        <w:t xml:space="preserve">The A-MPR requirements are specified in </w:t>
      </w:r>
      <w:r>
        <w:t>TS 36.102 [11] </w:t>
      </w:r>
      <w:r>
        <w:rPr>
          <w:lang w:eastAsia="zh-CN"/>
        </w:rPr>
        <w:t>subclause 6.2</w:t>
      </w:r>
      <w:r>
        <w:rPr>
          <w:lang w:eastAsia="zh-TW"/>
        </w:rPr>
        <w:t>A</w:t>
      </w:r>
      <w:r>
        <w:rPr>
          <w:lang w:eastAsia="zh-CN"/>
        </w:rPr>
        <w:t>.3.</w:t>
      </w:r>
    </w:p>
    <w:bookmarkEnd w:id="422"/>
    <w:p>
      <w:pPr>
        <w:pStyle w:val="9"/>
      </w:pPr>
      <w:r>
        <w:t>6.2A.4.4</w:t>
      </w:r>
      <w:r>
        <w:tab/>
      </w:r>
      <w:r>
        <w:t>Test description</w:t>
      </w:r>
    </w:p>
    <w:p>
      <w:pPr>
        <w:pStyle w:val="9"/>
      </w:pPr>
      <w:r>
        <w:t>6.2A.4.4.1</w:t>
      </w:r>
      <w:r>
        <w:tab/>
      </w:r>
      <w:r>
        <w:t>Initial condition</w:t>
      </w:r>
    </w:p>
    <w:p>
      <w:r>
        <w:t>Initial conditions are a set of test configurations the UE needs to be tested in and the steps for the SS to take with the UE to reach the correct measurement state.</w:t>
      </w:r>
    </w:p>
    <w:p>
      <w:pPr>
        <w:rPr>
          <w:rFonts w:cs="v5.0.0"/>
          <w:lang w:eastAsia="ja-JP"/>
        </w:rPr>
      </w:pPr>
      <w:r>
        <w:t xml:space="preserve">The initial test configurations consist of environmental conditions, </w:t>
      </w:r>
      <w:r>
        <w:rPr>
          <w:lang w:eastAsia="ja-JP"/>
        </w:rPr>
        <w:t xml:space="preserve">test </w:t>
      </w:r>
      <w:r>
        <w:t>frequencies</w:t>
      </w:r>
      <w:r>
        <w:rPr>
          <w:lang w:eastAsia="ja-JP"/>
        </w:rPr>
        <w:t>, a</w:t>
      </w:r>
      <w:r>
        <w:t xml:space="preserve">nd channel bandwidths </w:t>
      </w:r>
      <w:r>
        <w:rPr>
          <w:lang w:eastAsia="ja-JP"/>
        </w:rPr>
        <w:t xml:space="preserve">based on </w:t>
      </w:r>
      <w:r>
        <w:t xml:space="preserve">E-UTRA operating bands </w:t>
      </w:r>
      <w:r>
        <w:rPr>
          <w:lang w:eastAsia="ja-JP"/>
        </w:rPr>
        <w:t xml:space="preserve">specified in table </w:t>
      </w:r>
      <w:r>
        <w:t>5.2E. All of these configurations shall be tested with applicable test parameters for each channel bandwidth and are shown in table 6.2A.</w:t>
      </w:r>
      <w:r>
        <w:rPr>
          <w:lang w:val="en-US"/>
        </w:rPr>
        <w:t>4.</w:t>
      </w:r>
      <w:r>
        <w:t>4.1-1. The details of the uplink reference measurement channels (RMC</w:t>
      </w:r>
      <w:r>
        <w:rPr>
          <w:lang w:eastAsia="ja-JP"/>
        </w:rPr>
        <w:t>s</w:t>
      </w:r>
      <w:r>
        <w:t>) are specified in Annex A</w:t>
      </w:r>
      <w:r>
        <w:rPr>
          <w:lang w:eastAsia="ja-JP"/>
        </w:rPr>
        <w:t>.</w:t>
      </w:r>
      <w:r>
        <w:t>2</w:t>
      </w:r>
      <w:r>
        <w:rPr>
          <w:lang w:eastAsia="ja-JP"/>
        </w:rPr>
        <w:t xml:space="preserve">. </w:t>
      </w:r>
      <w:r>
        <w:rPr>
          <w:rFonts w:cs="v5.0.0"/>
          <w:lang w:eastAsia="ja-JP"/>
        </w:rPr>
        <w:t>Configurations of PDSCH and MPDCCH</w:t>
      </w:r>
      <w:r>
        <w:rPr>
          <w:rFonts w:cs="v5.0.0"/>
        </w:rPr>
        <w:t xml:space="preserve"> </w:t>
      </w:r>
      <w:r>
        <w:rPr>
          <w:rFonts w:cs="v5.0.0"/>
          <w:lang w:eastAsia="ja-JP"/>
        </w:rPr>
        <w:t>before measurement are specified in Annex C.2.</w:t>
      </w:r>
    </w:p>
    <w:p>
      <w:pPr>
        <w:pStyle w:val="113"/>
        <w:rPr>
          <w:lang w:eastAsia="zh-CN"/>
        </w:rPr>
      </w:pPr>
      <w:r>
        <w:t>Table 6.2A.4.4.1-1: Test Configuration T</w:t>
      </w:r>
      <w:r>
        <w:rPr>
          <w:lang w:eastAsia="zh-CN"/>
        </w:rPr>
        <w:t>able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3056"/>
        <w:gridCol w:w="488"/>
        <w:gridCol w:w="992"/>
        <w:gridCol w:w="1907"/>
        <w:gridCol w:w="19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22" w:type="dxa"/>
            <w:gridSpan w:val="6"/>
            <w:shd w:val="clear" w:color="auto" w:fill="auto"/>
          </w:tcPr>
          <w:p>
            <w:pPr>
              <w:pStyle w:val="104"/>
              <w:rPr>
                <w:rFonts w:eastAsia="Calibri"/>
              </w:rPr>
            </w:pPr>
            <w:r>
              <w:rPr>
                <w:rFonts w:eastAsia="Calibri"/>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327" w:type="dxa"/>
            <w:gridSpan w:val="2"/>
            <w:shd w:val="clear" w:color="auto" w:fill="auto"/>
          </w:tcPr>
          <w:p>
            <w:pPr>
              <w:pStyle w:val="103"/>
              <w:rPr>
                <w:rFonts w:eastAsia="Calibri"/>
              </w:rPr>
            </w:pPr>
            <w:r>
              <w:rPr>
                <w:rFonts w:eastAsia="Calibri"/>
              </w:rPr>
              <w:t>Test Environment as specified in TS 36.508 [12] subclause 4.1</w:t>
            </w:r>
          </w:p>
        </w:tc>
        <w:tc>
          <w:tcPr>
            <w:tcW w:w="5295" w:type="dxa"/>
            <w:gridSpan w:val="4"/>
            <w:shd w:val="clear" w:color="auto" w:fill="auto"/>
          </w:tcPr>
          <w:p>
            <w:pPr>
              <w:pStyle w:val="103"/>
              <w:rPr>
                <w:rFonts w:eastAsia="Calibri"/>
              </w:rPr>
            </w:pPr>
            <w:r>
              <w:rPr>
                <w:rFonts w:eastAsia="Calibri"/>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327" w:type="dxa"/>
            <w:gridSpan w:val="2"/>
            <w:shd w:val="clear" w:color="auto" w:fill="auto"/>
          </w:tcPr>
          <w:p>
            <w:pPr>
              <w:pStyle w:val="103"/>
              <w:rPr>
                <w:rFonts w:eastAsia="Calibri"/>
              </w:rPr>
            </w:pPr>
            <w:r>
              <w:rPr>
                <w:rFonts w:eastAsia="Calibri"/>
              </w:rPr>
              <w:t>Test Frequencies as specified in TS 36.508 [12] subclause 4.3.1</w:t>
            </w:r>
          </w:p>
        </w:tc>
        <w:tc>
          <w:tcPr>
            <w:tcW w:w="5295" w:type="dxa"/>
            <w:gridSpan w:val="4"/>
            <w:shd w:val="clear" w:color="auto" w:fill="auto"/>
          </w:tcPr>
          <w:p>
            <w:pPr>
              <w:pStyle w:val="103"/>
              <w:rPr>
                <w:rFonts w:eastAsia="Calibri"/>
              </w:rPr>
            </w:pPr>
            <w:r>
              <w:rPr>
                <w:rFonts w:eastAsia="Calibri"/>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327" w:type="dxa"/>
            <w:gridSpan w:val="2"/>
            <w:shd w:val="clear" w:color="auto" w:fill="auto"/>
          </w:tcPr>
          <w:p>
            <w:pPr>
              <w:pStyle w:val="103"/>
              <w:rPr>
                <w:rFonts w:eastAsia="Calibri"/>
              </w:rPr>
            </w:pPr>
            <w:r>
              <w:rPr>
                <w:rFonts w:eastAsia="Calibri"/>
              </w:rPr>
              <w:t>Test Channel Bandwidths as specified in TS 36.508 [12] subclause 4.3.1</w:t>
            </w:r>
          </w:p>
        </w:tc>
        <w:tc>
          <w:tcPr>
            <w:tcW w:w="5295" w:type="dxa"/>
            <w:gridSpan w:val="4"/>
            <w:shd w:val="clear" w:color="auto" w:fill="auto"/>
          </w:tcPr>
          <w:p>
            <w:pPr>
              <w:pStyle w:val="103"/>
              <w:rPr>
                <w:rFonts w:eastAsia="Calibri"/>
              </w:rPr>
            </w:pPr>
            <w:r>
              <w:rPr>
                <w:rFonts w:eastAsia="Calibri"/>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22" w:type="dxa"/>
            <w:gridSpan w:val="6"/>
            <w:shd w:val="clear" w:color="auto" w:fill="auto"/>
          </w:tcPr>
          <w:p>
            <w:pPr>
              <w:pStyle w:val="104"/>
              <w:rPr>
                <w:rFonts w:eastAsia="Calibri"/>
              </w:rPr>
            </w:pPr>
            <w:r>
              <w:rPr>
                <w:rFonts w:eastAsia="Calibri"/>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271" w:type="dxa"/>
            <w:tcBorders>
              <w:bottom w:val="single" w:color="auto" w:sz="4" w:space="0"/>
            </w:tcBorders>
            <w:shd w:val="clear" w:color="auto" w:fill="auto"/>
          </w:tcPr>
          <w:p>
            <w:pPr>
              <w:pStyle w:val="105"/>
            </w:pPr>
          </w:p>
        </w:tc>
        <w:tc>
          <w:tcPr>
            <w:tcW w:w="3544" w:type="dxa"/>
            <w:gridSpan w:val="2"/>
            <w:tcBorders>
              <w:bottom w:val="single" w:color="auto" w:sz="4" w:space="0"/>
            </w:tcBorders>
            <w:shd w:val="clear" w:color="auto" w:fill="auto"/>
          </w:tcPr>
          <w:p>
            <w:pPr>
              <w:pStyle w:val="104"/>
              <w:rPr>
                <w:rFonts w:eastAsia="Calibri"/>
              </w:rPr>
            </w:pPr>
            <w:r>
              <w:rPr>
                <w:rFonts w:eastAsia="Calibri"/>
              </w:rPr>
              <w:t>Downlink Configuration</w:t>
            </w:r>
          </w:p>
        </w:tc>
        <w:tc>
          <w:tcPr>
            <w:tcW w:w="4807" w:type="dxa"/>
            <w:gridSpan w:val="3"/>
            <w:shd w:val="clear" w:color="auto" w:fill="auto"/>
          </w:tcPr>
          <w:p>
            <w:pPr>
              <w:pStyle w:val="104"/>
              <w:rPr>
                <w:rFonts w:eastAsia="Calibri"/>
              </w:rPr>
            </w:pPr>
            <w:r>
              <w:rPr>
                <w:rFonts w:eastAsia="Calibri"/>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271" w:type="dxa"/>
            <w:tcBorders>
              <w:bottom w:val="nil"/>
            </w:tcBorders>
            <w:shd w:val="clear" w:color="auto" w:fill="auto"/>
          </w:tcPr>
          <w:p>
            <w:pPr>
              <w:pStyle w:val="104"/>
              <w:rPr>
                <w:rFonts w:eastAsia="Calibri"/>
              </w:rPr>
            </w:pPr>
            <w:r>
              <w:rPr>
                <w:rFonts w:eastAsia="Calibri"/>
              </w:rPr>
              <w:t>Ch BW</w:t>
            </w:r>
          </w:p>
        </w:tc>
        <w:tc>
          <w:tcPr>
            <w:tcW w:w="3544" w:type="dxa"/>
            <w:gridSpan w:val="2"/>
            <w:tcBorders>
              <w:bottom w:val="nil"/>
            </w:tcBorders>
            <w:shd w:val="clear" w:color="auto" w:fill="auto"/>
          </w:tcPr>
          <w:p>
            <w:pPr>
              <w:pStyle w:val="105"/>
              <w:rPr>
                <w:rFonts w:eastAsia="Calibri"/>
              </w:rPr>
            </w:pPr>
            <w:r>
              <w:t>N/A for Configured UE transmitted Output Power test case</w:t>
            </w:r>
          </w:p>
        </w:tc>
        <w:tc>
          <w:tcPr>
            <w:tcW w:w="992" w:type="dxa"/>
            <w:tcBorders>
              <w:bottom w:val="nil"/>
            </w:tcBorders>
            <w:shd w:val="clear" w:color="auto" w:fill="auto"/>
          </w:tcPr>
          <w:p>
            <w:pPr>
              <w:pStyle w:val="104"/>
              <w:rPr>
                <w:rFonts w:eastAsia="Calibri"/>
              </w:rPr>
            </w:pPr>
            <w:r>
              <w:rPr>
                <w:rFonts w:eastAsia="Calibri"/>
              </w:rPr>
              <w:t>Mod'n</w:t>
            </w:r>
          </w:p>
        </w:tc>
        <w:tc>
          <w:tcPr>
            <w:tcW w:w="3815" w:type="dxa"/>
            <w:gridSpan w:val="2"/>
            <w:shd w:val="clear" w:color="auto" w:fill="auto"/>
          </w:tcPr>
          <w:p>
            <w:pPr>
              <w:pStyle w:val="104"/>
              <w:rPr>
                <w:rFonts w:eastAsia="Calibri"/>
              </w:rPr>
            </w:pPr>
            <w:r>
              <w:rPr>
                <w:rFonts w:eastAsia="Calibri"/>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271" w:type="dxa"/>
            <w:tcBorders>
              <w:top w:val="nil"/>
            </w:tcBorders>
            <w:shd w:val="clear" w:color="auto" w:fill="auto"/>
          </w:tcPr>
          <w:p>
            <w:pPr>
              <w:pStyle w:val="104"/>
              <w:rPr>
                <w:rFonts w:eastAsia="Calibri"/>
              </w:rPr>
            </w:pPr>
          </w:p>
        </w:tc>
        <w:tc>
          <w:tcPr>
            <w:tcW w:w="3544" w:type="dxa"/>
            <w:gridSpan w:val="2"/>
            <w:tcBorders>
              <w:top w:val="nil"/>
              <w:bottom w:val="nil"/>
            </w:tcBorders>
            <w:shd w:val="clear" w:color="auto" w:fill="auto"/>
          </w:tcPr>
          <w:p>
            <w:pPr>
              <w:pStyle w:val="105"/>
              <w:rPr>
                <w:rFonts w:eastAsia="Calibri"/>
              </w:rPr>
            </w:pPr>
          </w:p>
        </w:tc>
        <w:tc>
          <w:tcPr>
            <w:tcW w:w="992" w:type="dxa"/>
            <w:tcBorders>
              <w:top w:val="nil"/>
            </w:tcBorders>
            <w:shd w:val="clear" w:color="auto" w:fill="auto"/>
          </w:tcPr>
          <w:p>
            <w:pPr>
              <w:pStyle w:val="104"/>
              <w:rPr>
                <w:rFonts w:eastAsia="Calibri"/>
              </w:rPr>
            </w:pPr>
          </w:p>
        </w:tc>
        <w:tc>
          <w:tcPr>
            <w:tcW w:w="1907" w:type="dxa"/>
            <w:shd w:val="clear" w:color="auto" w:fill="auto"/>
          </w:tcPr>
          <w:p>
            <w:pPr>
              <w:pStyle w:val="104"/>
              <w:rPr>
                <w:rFonts w:eastAsia="Calibri"/>
              </w:rPr>
            </w:pPr>
            <w:r>
              <w:t>FDD and HD-FDD</w:t>
            </w:r>
          </w:p>
        </w:tc>
        <w:tc>
          <w:tcPr>
            <w:tcW w:w="1908" w:type="dxa"/>
            <w:shd w:val="clear" w:color="auto" w:fill="auto"/>
          </w:tcPr>
          <w:p>
            <w:pPr>
              <w:pStyle w:val="104"/>
              <w:rPr>
                <w:rFonts w:cs="Arial"/>
                <w:szCs w:val="18"/>
              </w:rPr>
            </w:pPr>
            <w:r>
              <w:rPr>
                <w:rFonts w:cs="Arial"/>
                <w:szCs w:val="18"/>
              </w:rPr>
              <w:t>Narrowband index</w:t>
            </w:r>
          </w:p>
          <w:p>
            <w:pPr>
              <w:pStyle w:val="104"/>
              <w:rPr>
                <w:rFonts w:eastAsia="Calibri"/>
              </w:rPr>
            </w:pPr>
            <w:r>
              <w:rPr>
                <w:rFonts w:cs="Arial"/>
                <w:szCs w:val="18"/>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271" w:type="dxa"/>
            <w:tcBorders>
              <w:top w:val="nil"/>
            </w:tcBorders>
            <w:shd w:val="clear" w:color="auto" w:fill="auto"/>
          </w:tcPr>
          <w:p>
            <w:pPr>
              <w:pStyle w:val="105"/>
              <w:rPr>
                <w:rFonts w:eastAsia="Calibri"/>
              </w:rPr>
            </w:pPr>
            <w:r>
              <w:t>1.4MHz</w:t>
            </w:r>
          </w:p>
        </w:tc>
        <w:tc>
          <w:tcPr>
            <w:tcW w:w="3544" w:type="dxa"/>
            <w:gridSpan w:val="2"/>
            <w:tcBorders>
              <w:top w:val="nil"/>
              <w:bottom w:val="nil"/>
            </w:tcBorders>
            <w:shd w:val="clear" w:color="auto" w:fill="auto"/>
          </w:tcPr>
          <w:p>
            <w:pPr>
              <w:pStyle w:val="105"/>
              <w:rPr>
                <w:rFonts w:eastAsia="Calibri"/>
              </w:rPr>
            </w:pPr>
          </w:p>
        </w:tc>
        <w:tc>
          <w:tcPr>
            <w:tcW w:w="992" w:type="dxa"/>
            <w:tcBorders>
              <w:top w:val="nil"/>
            </w:tcBorders>
            <w:shd w:val="clear" w:color="auto" w:fill="auto"/>
          </w:tcPr>
          <w:p>
            <w:pPr>
              <w:pStyle w:val="105"/>
              <w:rPr>
                <w:rFonts w:eastAsia="Calibri"/>
              </w:rPr>
            </w:pPr>
            <w:r>
              <w:t>QPSK</w:t>
            </w:r>
          </w:p>
        </w:tc>
        <w:tc>
          <w:tcPr>
            <w:tcW w:w="1907" w:type="dxa"/>
            <w:shd w:val="clear" w:color="auto" w:fill="auto"/>
          </w:tcPr>
          <w:p>
            <w:pPr>
              <w:pStyle w:val="105"/>
            </w:pPr>
            <w:r>
              <w:t>1</w:t>
            </w:r>
            <w:r>
              <w:rPr>
                <w:vertAlign w:val="superscript"/>
              </w:rPr>
              <w:t xml:space="preserve"> </w:t>
            </w:r>
            <w:r>
              <w:t>(Note 3),</w:t>
            </w:r>
          </w:p>
          <w:p>
            <w:pPr>
              <w:pStyle w:val="105"/>
              <w:rPr>
                <w:rFonts w:eastAsia="Calibri"/>
              </w:rPr>
            </w:pPr>
            <w:r>
              <w:t>2 (Note 4)</w:t>
            </w:r>
          </w:p>
        </w:tc>
        <w:tc>
          <w:tcPr>
            <w:tcW w:w="1908" w:type="dxa"/>
            <w:shd w:val="clear" w:color="auto" w:fill="auto"/>
          </w:tcPr>
          <w:p>
            <w:pPr>
              <w:pStyle w:val="105"/>
              <w:rPr>
                <w:rFonts w:eastAsia="Calibri"/>
              </w:rPr>
            </w:pPr>
            <w:r>
              <w:rPr>
                <w:rFonts w:cs="v5.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22" w:type="dxa"/>
            <w:gridSpan w:val="6"/>
            <w:shd w:val="clear" w:color="auto" w:fill="auto"/>
          </w:tcPr>
          <w:p>
            <w:pPr>
              <w:pStyle w:val="118"/>
              <w:rPr>
                <w:rFonts w:eastAsia="Calibri"/>
              </w:rPr>
            </w:pPr>
            <w:r>
              <w:rPr>
                <w:rFonts w:eastAsia="Calibri"/>
              </w:rPr>
              <w:t>NOTE 1:</w:t>
            </w:r>
            <w:r>
              <w:rPr>
                <w:rFonts w:eastAsia="Calibri"/>
              </w:rPr>
              <w:tab/>
            </w:r>
            <w:r>
              <w:rPr>
                <w:lang w:eastAsia="zh-CN"/>
              </w:rPr>
              <w:t>Denote where in the channel bandwidth the narrowband shall be placed. Narrowband and narrowband index are defined in TS 36.211[3], 5.2.4.</w:t>
            </w:r>
          </w:p>
          <w:p>
            <w:pPr>
              <w:pStyle w:val="118"/>
              <w:rPr>
                <w:rFonts w:eastAsia="Calibri" w:cs="Arial"/>
                <w:szCs w:val="18"/>
              </w:rPr>
            </w:pPr>
            <w:r>
              <w:rPr>
                <w:rFonts w:eastAsia="Calibri"/>
              </w:rPr>
              <w:t>NOTE 2:</w:t>
            </w:r>
            <w:r>
              <w:rPr>
                <w:rFonts w:eastAsia="Calibri"/>
              </w:rPr>
              <w:tab/>
            </w:r>
            <w:r>
              <w:t>The RB</w:t>
            </w:r>
            <w:r>
              <w:rPr>
                <w:vertAlign w:val="subscript"/>
              </w:rPr>
              <w:t>start</w:t>
            </w:r>
            <w:r>
              <w:t xml:space="preserve"> of partial RB allocation shall be RB#0 of the narrowband.</w:t>
            </w:r>
          </w:p>
          <w:p>
            <w:pPr>
              <w:pStyle w:val="118"/>
            </w:pPr>
            <w:r>
              <w:rPr>
                <w:rFonts w:eastAsia="Calibri"/>
              </w:rPr>
              <w:t>NOTE 3:</w:t>
            </w:r>
            <w:r>
              <w:rPr>
                <w:rFonts w:eastAsia="Calibri"/>
              </w:rPr>
              <w:tab/>
            </w:r>
            <w:r>
              <w:t>Only applicable for Power class 3.</w:t>
            </w:r>
          </w:p>
          <w:p>
            <w:pPr>
              <w:pStyle w:val="118"/>
              <w:rPr>
                <w:rFonts w:eastAsia="Calibri"/>
              </w:rPr>
            </w:pPr>
            <w:r>
              <w:rPr>
                <w:rFonts w:eastAsia="Calibri"/>
              </w:rPr>
              <w:t>NOTE 4:</w:t>
            </w:r>
            <w:r>
              <w:rPr>
                <w:rFonts w:eastAsia="Calibri"/>
              </w:rPr>
              <w:tab/>
            </w:r>
            <w:r>
              <w:t>Only applicable for Power class 5.</w:t>
            </w:r>
          </w:p>
        </w:tc>
      </w:tr>
    </w:tbl>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in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ko-KR"/>
        </w:rPr>
      </w:pPr>
      <w:r>
        <w:rPr>
          <w:rFonts w:eastAsia="Malgun Gothic"/>
          <w:lang w:eastAsia="en-GB"/>
        </w:rPr>
        <w:t>3.</w:t>
      </w:r>
      <w:r>
        <w:rPr>
          <w:rFonts w:eastAsia="Malgun Gothic"/>
          <w:lang w:eastAsia="en-GB"/>
        </w:rPr>
        <w:tab/>
      </w:r>
      <w:r>
        <w:rPr>
          <w:rFonts w:eastAsia="Malgun Gothic"/>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6.2A.4.4.1-1</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Annex B.0.</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w:t>
      </w:r>
      <w:r>
        <w:rPr>
          <w:rFonts w:eastAsia="Malgun Gothic"/>
          <w:lang w:eastAsia="en-GB"/>
        </w:rPr>
        <w:t>5</w:t>
      </w:r>
      <w:r>
        <w:rPr>
          <w:rFonts w:hint="eastAsia" w:eastAsia="Malgun Gothic"/>
          <w:lang w:eastAsia="en-GB"/>
        </w:rPr>
        <w:t>.</w:t>
      </w:r>
      <w:r>
        <w:rPr>
          <w:rFonts w:eastAsia="Malgun Gothic"/>
          <w:lang w:eastAsia="en-GB"/>
        </w:rPr>
        <w:t>6.1</w:t>
      </w:r>
      <w:r>
        <w:rPr>
          <w:rFonts w:hint="eastAsia" w:eastAsia="Malgun Gothic"/>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eastAsia="Malgun Gothic"/>
          <w:lang w:eastAsia="en-GB"/>
        </w:rPr>
        <w:t>7.</w:t>
      </w:r>
      <w:r>
        <w:rPr>
          <w:rFonts w:hint="eastAsia" w:eastAsia="Malgun Gothic"/>
          <w:lang w:eastAsia="en-GB"/>
        </w:rPr>
        <w:tab/>
      </w:r>
      <w:r>
        <w:t>Test equipment shall em</w:t>
      </w:r>
      <w:r>
        <w:rPr>
          <w:color w:val="000000" w:themeColor="text1"/>
          <w14:textFill>
            <w14:solidFill>
              <w14:schemeClr w14:val="tx1"/>
            </w14:solidFill>
          </w14:textFill>
        </w:rPr>
        <w:t xml:space="preserve">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w:t>
      </w:r>
      <w:r>
        <w:t>on of the test as define in TS 36.508[12] clause 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rFonts w:eastAsia="Malgun Gothic"/>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hint="eastAsia" w:eastAsia="Malgun Gothic"/>
          <w:lang w:eastAsia="en-GB"/>
        </w:rPr>
        <w:t>.</w:t>
      </w:r>
      <w:r>
        <w:rPr>
          <w:rFonts w:hint="eastAsia" w:eastAsia="Malgun Gothic"/>
          <w:lang w:eastAsia="en-GB"/>
        </w:rPr>
        <w:tab/>
      </w:r>
      <w:r>
        <w:rPr>
          <w:rFonts w:hint="eastAsia" w:eastAsia="Malgun Gothic"/>
          <w:lang w:eastAsia="en-GB"/>
        </w:rPr>
        <w:t>Ensure the UE is in State 3A-RF-CE according to TS 36.508 [12] clause 5.2A.2AA. Message contents are defined in clause 6.2A.4.4.3.</w:t>
      </w:r>
    </w:p>
    <w:p>
      <w:pPr>
        <w:pStyle w:val="9"/>
      </w:pPr>
      <w:r>
        <w:t>6.2A.4.4.2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ko-KR"/>
        </w:rPr>
        <w:tab/>
      </w:r>
      <w:r>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Send transmit uplink power control "up" commands in every uplink scheduling information to the UE; allow at least 200ms for the UE to reach the Pumax level of the test point.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ko-KR"/>
        </w:rPr>
        <w:tab/>
      </w:r>
      <w:r>
        <w:rPr>
          <w:rFonts w:eastAsia="Malgun Gothic"/>
          <w:lang w:eastAsia="ko-KR"/>
        </w:rPr>
        <w:t xml:space="preserve">Measure the mean power of the UE in the channel bandwidth for each test point in table 6.2A.4.5-1 for power class 3 and table 6.2A.4.5-2 for </w:t>
      </w:r>
      <w:r>
        <w:rPr>
          <w:rFonts w:eastAsia="Malgun Gothic"/>
          <w:lang w:eastAsia="en-GB"/>
        </w:rPr>
        <w:t xml:space="preserve">power class 5 </w:t>
      </w:r>
      <w:r>
        <w:rPr>
          <w:rFonts w:eastAsia="Malgun Gothic"/>
          <w:lang w:eastAsia="ko-KR"/>
        </w:rPr>
        <w:t>a</w:t>
      </w:r>
      <w:r>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pPr>
        <w:pStyle w:val="9"/>
      </w:pPr>
      <w:r>
        <w:t>6.2A.4.4.3</w:t>
      </w:r>
      <w:r>
        <w:tab/>
      </w:r>
      <w:r>
        <w:rPr>
          <w:snapToGrid w:val="0"/>
        </w:rPr>
        <w:t>Message contents</w:t>
      </w:r>
    </w:p>
    <w:p>
      <w:pPr>
        <w:pStyle w:val="111"/>
        <w:ind w:left="0" w:firstLine="0"/>
        <w:rPr>
          <w:lang w:eastAsia="ja-JP"/>
        </w:rPr>
      </w:pPr>
      <w:r>
        <w:t>Message contents are according to TS 36.508 [12] subclause 4.6 with the following exception</w:t>
      </w:r>
      <w:r>
        <w:rPr>
          <w:lang w:eastAsia="ja-JP"/>
        </w:rPr>
        <w:t>s</w:t>
      </w:r>
    </w:p>
    <w:p>
      <w:pPr>
        <w:pStyle w:val="113"/>
      </w:pPr>
      <w:r>
        <w:t>Table 6.2</w:t>
      </w:r>
      <w:r>
        <w:rPr>
          <w:lang w:eastAsia="ko-KR"/>
        </w:rPr>
        <w:t>A</w:t>
      </w:r>
      <w:r>
        <w:t>.4.4.3-1: SystemInformationBlockType1-BR-r13: Test point 1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Pr>
        <w:rPr>
          <w:lang w:eastAsia="ja-JP"/>
        </w:rPr>
      </w:pPr>
    </w:p>
    <w:p>
      <w:pPr>
        <w:pStyle w:val="113"/>
      </w:pPr>
      <w:r>
        <w:t>Table 6.2A.4.4.3-2: SystemInformationBlockType1-BR-r13: Test point 2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
      <w:pPr>
        <w:pStyle w:val="113"/>
      </w:pPr>
      <w:r>
        <w:t>Table 6.2A.4.4.3-3: SystemInformationBlockType1-BR-r13: Test point 3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15</w:t>
            </w:r>
          </w:p>
        </w:tc>
        <w:tc>
          <w:tcPr>
            <w:tcW w:w="1700" w:type="dxa"/>
          </w:tcPr>
          <w:p>
            <w:pPr>
              <w:spacing w:after="0"/>
            </w:pPr>
          </w:p>
        </w:tc>
        <w:tc>
          <w:tcPr>
            <w:tcW w:w="1133" w:type="dxa"/>
          </w:tcPr>
          <w:p>
            <w:pPr>
              <w:pStyle w:val="103"/>
            </w:pPr>
          </w:p>
        </w:tc>
      </w:tr>
    </w:tbl>
    <w:p/>
    <w:p>
      <w:pPr>
        <w:pStyle w:val="113"/>
      </w:pPr>
      <w:r>
        <w:t>Table 6.2</w:t>
      </w:r>
      <w:r>
        <w:rPr>
          <w:lang w:eastAsia="ko-KR"/>
        </w:rPr>
        <w:t>A</w:t>
      </w:r>
      <w:r>
        <w:t>.4.4.3-4: SystemInformationBlockType1-BR-r13: Test point 1 for power class 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Pr>
        <w:rPr>
          <w:lang w:eastAsia="ja-JP"/>
        </w:rPr>
      </w:pPr>
    </w:p>
    <w:p>
      <w:pPr>
        <w:pStyle w:val="113"/>
      </w:pPr>
      <w:r>
        <w:t>Table 6.2A.4.4.3-5: SystemInformationBlockType1-BR-r13: Test point 2 for power class 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7</w:t>
            </w:r>
          </w:p>
        </w:tc>
        <w:tc>
          <w:tcPr>
            <w:tcW w:w="1700" w:type="dxa"/>
          </w:tcPr>
          <w:p>
            <w:pPr>
              <w:spacing w:after="0"/>
            </w:pPr>
          </w:p>
        </w:tc>
        <w:tc>
          <w:tcPr>
            <w:tcW w:w="1133" w:type="dxa"/>
          </w:tcPr>
          <w:p>
            <w:pPr>
              <w:pStyle w:val="103"/>
            </w:pPr>
          </w:p>
        </w:tc>
      </w:tr>
    </w:tbl>
    <w:p/>
    <w:p>
      <w:pPr>
        <w:pStyle w:val="113"/>
      </w:pPr>
      <w:r>
        <w:t>Table 6.2A.4.4.3-6: SystemInformationBlockType1-BR-r13: Test point 3 for power class 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12</w:t>
            </w:r>
          </w:p>
        </w:tc>
        <w:tc>
          <w:tcPr>
            <w:tcW w:w="1700" w:type="dxa"/>
          </w:tcPr>
          <w:p>
            <w:pPr>
              <w:spacing w:after="0"/>
            </w:pPr>
          </w:p>
        </w:tc>
        <w:tc>
          <w:tcPr>
            <w:tcW w:w="1133" w:type="dxa"/>
          </w:tcPr>
          <w:p>
            <w:pPr>
              <w:pStyle w:val="103"/>
            </w:pPr>
          </w:p>
        </w:tc>
      </w:tr>
    </w:tbl>
    <w:p/>
    <w:p>
      <w:pPr>
        <w:pStyle w:val="9"/>
      </w:pPr>
      <w:r>
        <w:t>6.2A.4.5</w:t>
      </w:r>
      <w:r>
        <w:tab/>
      </w:r>
      <w:r>
        <w:t>Test requirements</w:t>
      </w:r>
    </w:p>
    <w:p>
      <w:pPr>
        <w:rPr>
          <w:rFonts w:cs="v5.0.0"/>
        </w:rPr>
      </w:pPr>
      <w:r>
        <w:t>The maximum output power measured shall not exceed the values specified in Table 6.2A.4.5-1 for power class 3 and Table 6.2A.4.5-2 for power class 5.</w:t>
      </w:r>
    </w:p>
    <w:p>
      <w:pPr>
        <w:pStyle w:val="113"/>
        <w:rPr>
          <w:rFonts w:cs="v5.0.0"/>
        </w:rPr>
      </w:pPr>
      <w:r>
        <w:t>Table 6.2A.4.5-1: P</w:t>
      </w:r>
      <w:r>
        <w:rPr>
          <w:vertAlign w:val="subscript"/>
        </w:rPr>
        <w:t>CMAX</w:t>
      </w:r>
      <w:r>
        <w:t xml:space="preserve"> configured UE output power for UE category M1 </w:t>
      </w:r>
      <w:bookmarkStart w:id="423" w:name="_Hlk516846333"/>
      <w:r>
        <w:t>power class 3</w:t>
      </w:r>
      <w:bookmarkEnd w:id="423"/>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pStyle w:val="104"/>
            </w:pPr>
          </w:p>
        </w:tc>
        <w:tc>
          <w:tcPr>
            <w:tcW w:w="5869" w:type="dxa"/>
          </w:tcPr>
          <w:p>
            <w:pPr>
              <w:pStyle w:val="104"/>
            </w:pPr>
            <w:r>
              <w:t>Channel bandwidth / 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tc>
        <w:tc>
          <w:tcPr>
            <w:tcW w:w="5869" w:type="dxa"/>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3"/>
            </w:pPr>
            <w:r>
              <w:t>Measured UE output power test point 1</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-10 dBm ± 7.7</w:t>
            </w:r>
          </w:p>
          <w:p>
            <w:pPr>
              <w:pStyle w:val="105"/>
            </w:pPr>
            <w:r>
              <w:rPr>
                <w:rFonts w:cs="v4.2.0"/>
              </w:rPr>
              <w:t xml:space="preserve">For carrier frequency 3.0GHz &lt; f </w:t>
            </w:r>
            <w:r>
              <w:rPr>
                <w:rFonts w:cs="Arial"/>
              </w:rPr>
              <w:t>≤</w:t>
            </w:r>
            <w:r>
              <w:rPr>
                <w:rFonts w:cs="v4.2.0"/>
              </w:rPr>
              <w:t xml:space="preserve"> 4.2GHz:</w:t>
            </w:r>
            <w:r>
              <w:t xml:space="preserve"> -10 dBm ± 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3"/>
            </w:pPr>
            <w:r>
              <w:t>Measured UE output power test point 2</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10 dBm ± 6.7</w:t>
            </w:r>
          </w:p>
          <w:p>
            <w:pPr>
              <w:pStyle w:val="105"/>
            </w:pPr>
            <w:r>
              <w:rPr>
                <w:rFonts w:cs="v4.2.0"/>
              </w:rPr>
              <w:t xml:space="preserve">For carrier frequency 3.0GHz &lt; f </w:t>
            </w:r>
            <w:r>
              <w:rPr>
                <w:rFonts w:cs="Arial"/>
              </w:rPr>
              <w:t>≤</w:t>
            </w:r>
            <w:r>
              <w:rPr>
                <w:rFonts w:cs="v4.2.0"/>
              </w:rPr>
              <w:t xml:space="preserve"> 4.2GHz:</w:t>
            </w:r>
            <w:r>
              <w:t xml:space="preserve"> 10 dBm ±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3"/>
            </w:pPr>
            <w:r>
              <w:t>Measured UE output power test point 3</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15 dBm ± 5.7</w:t>
            </w:r>
          </w:p>
          <w:p>
            <w:pPr>
              <w:pStyle w:val="105"/>
            </w:pPr>
            <w:r>
              <w:rPr>
                <w:rFonts w:cs="v4.2.0"/>
              </w:rPr>
              <w:t xml:space="preserve">For carrier frequency 3.0GHz &lt; f </w:t>
            </w:r>
            <w:r>
              <w:rPr>
                <w:rFonts w:cs="Arial"/>
              </w:rPr>
              <w:t>≤</w:t>
            </w:r>
            <w:r>
              <w:rPr>
                <w:rFonts w:cs="v4.2.0"/>
              </w:rPr>
              <w:t xml:space="preserve"> 4.2GHz:</w:t>
            </w:r>
            <w:r>
              <w:t xml:space="preserve"> 15 dBm ± 6.0</w:t>
            </w:r>
          </w:p>
        </w:tc>
      </w:tr>
    </w:tbl>
    <w:p>
      <w:pPr>
        <w:rPr>
          <w:lang w:eastAsia="ko-KR"/>
        </w:rPr>
      </w:pPr>
    </w:p>
    <w:p>
      <w:pPr>
        <w:pStyle w:val="113"/>
        <w:rPr>
          <w:rFonts w:cs="v5.0.0"/>
        </w:rPr>
      </w:pPr>
      <w:r>
        <w:t>Table 6.2A.4.5-2: P</w:t>
      </w:r>
      <w:r>
        <w:rPr>
          <w:vertAlign w:val="subscript"/>
        </w:rPr>
        <w:t>CMAX</w:t>
      </w:r>
      <w:r>
        <w:t xml:space="preserve"> configured UE output power for UE category M1 power class 5</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pStyle w:val="104"/>
            </w:pPr>
          </w:p>
        </w:tc>
        <w:tc>
          <w:tcPr>
            <w:tcW w:w="5869" w:type="dxa"/>
          </w:tcPr>
          <w:p>
            <w:pPr>
              <w:pStyle w:val="104"/>
            </w:pPr>
            <w:r>
              <w:t>Channel bandwidth / 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tc>
        <w:tc>
          <w:tcPr>
            <w:tcW w:w="5869" w:type="dxa"/>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3"/>
            </w:pPr>
            <w:r>
              <w:t>Measured UE output power test point 1</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-10 dBm ± 7.7</w:t>
            </w:r>
          </w:p>
          <w:p>
            <w:pPr>
              <w:pStyle w:val="105"/>
            </w:pPr>
            <w:r>
              <w:rPr>
                <w:rFonts w:cs="v4.2.0"/>
              </w:rPr>
              <w:t xml:space="preserve">For carrier frequency 3.0GHz &lt; f </w:t>
            </w:r>
            <w:r>
              <w:rPr>
                <w:rFonts w:cs="Arial"/>
              </w:rPr>
              <w:t>≤</w:t>
            </w:r>
            <w:r>
              <w:rPr>
                <w:rFonts w:cs="v4.2.0"/>
              </w:rPr>
              <w:t xml:space="preserve"> 4.2GHz:</w:t>
            </w:r>
            <w:r>
              <w:t xml:space="preserve"> -10 dBm ± 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3"/>
            </w:pPr>
            <w:r>
              <w:t>Measured UE output power test point 2</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7 dBm ± 7.7</w:t>
            </w:r>
          </w:p>
          <w:p>
            <w:pPr>
              <w:pStyle w:val="105"/>
            </w:pPr>
            <w:r>
              <w:rPr>
                <w:rFonts w:cs="v4.2.0"/>
              </w:rPr>
              <w:t xml:space="preserve">For carrier frequency 3.0GHz &lt; f </w:t>
            </w:r>
            <w:r>
              <w:rPr>
                <w:rFonts w:cs="Arial"/>
              </w:rPr>
              <w:t>≤</w:t>
            </w:r>
            <w:r>
              <w:rPr>
                <w:rFonts w:cs="v4.2.0"/>
              </w:rPr>
              <w:t xml:space="preserve"> 4.2GHz:</w:t>
            </w:r>
            <w:r>
              <w:t xml:space="preserve"> 7 dBm ± 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3"/>
            </w:pPr>
            <w:r>
              <w:t>Measured UE output power test point 3</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12 dBm ± 6.7</w:t>
            </w:r>
          </w:p>
          <w:p>
            <w:pPr>
              <w:pStyle w:val="105"/>
            </w:pPr>
            <w:r>
              <w:rPr>
                <w:rFonts w:cs="v4.2.0"/>
              </w:rPr>
              <w:t xml:space="preserve">For carrier frequency 3.0GHz &lt; f </w:t>
            </w:r>
            <w:r>
              <w:rPr>
                <w:rFonts w:cs="Arial"/>
              </w:rPr>
              <w:t>≤</w:t>
            </w:r>
            <w:r>
              <w:rPr>
                <w:rFonts w:cs="v4.2.0"/>
              </w:rPr>
              <w:t xml:space="preserve"> 4.2GHz:</w:t>
            </w:r>
            <w:r>
              <w:t xml:space="preserve"> 12 dBm ± 7.0</w:t>
            </w:r>
          </w:p>
        </w:tc>
      </w:tr>
    </w:tbl>
    <w:p>
      <w:pPr>
        <w:rPr>
          <w:lang w:eastAsia="zh-CN"/>
        </w:rPr>
      </w:pPr>
    </w:p>
    <w:p>
      <w:pPr>
        <w:pStyle w:val="4"/>
      </w:pPr>
      <w:bookmarkStart w:id="424" w:name="_Toc30671"/>
      <w:bookmarkStart w:id="425" w:name="_Toc120570029"/>
      <w:bookmarkStart w:id="426" w:name="_Toc10540"/>
      <w:bookmarkStart w:id="427" w:name="_Toc16239"/>
      <w:bookmarkStart w:id="428" w:name="_Toc121162821"/>
      <w:bookmarkStart w:id="429" w:name="_Toc22092"/>
      <w:bookmarkStart w:id="430" w:name="_Toc1519"/>
      <w:bookmarkStart w:id="431" w:name="_Toc7398"/>
      <w:bookmarkStart w:id="432" w:name="_Toc15234"/>
      <w:r>
        <w:t>6.2B</w:t>
      </w:r>
      <w:r>
        <w:tab/>
      </w:r>
      <w:r>
        <w:t>Transmit power for category NB1 and NB2</w:t>
      </w:r>
      <w:bookmarkEnd w:id="424"/>
      <w:bookmarkEnd w:id="425"/>
      <w:bookmarkEnd w:id="426"/>
      <w:bookmarkEnd w:id="427"/>
      <w:bookmarkEnd w:id="428"/>
      <w:bookmarkEnd w:id="429"/>
      <w:bookmarkEnd w:id="430"/>
      <w:bookmarkEnd w:id="431"/>
      <w:bookmarkEnd w:id="432"/>
    </w:p>
    <w:p>
      <w:pPr>
        <w:pStyle w:val="5"/>
        <w:rPr>
          <w:lang w:val="en-US"/>
        </w:rPr>
      </w:pPr>
      <w:bookmarkStart w:id="433" w:name="_Toc11955"/>
      <w:bookmarkStart w:id="434" w:name="_Toc23187"/>
      <w:bookmarkStart w:id="435" w:name="_Toc120570030"/>
      <w:bookmarkStart w:id="436" w:name="_Toc5078"/>
      <w:bookmarkStart w:id="437" w:name="_Toc4259"/>
      <w:bookmarkStart w:id="438" w:name="_Toc31560"/>
      <w:bookmarkStart w:id="439" w:name="_Toc121162822"/>
      <w:bookmarkStart w:id="440" w:name="_Toc15670"/>
      <w:bookmarkStart w:id="441" w:name="_Toc4921"/>
      <w:r>
        <w:t>6.2B.1</w:t>
      </w:r>
      <w:r>
        <w:tab/>
      </w:r>
      <w:r>
        <w:rPr>
          <w:lang w:eastAsia="zh-CN"/>
        </w:rPr>
        <w:t xml:space="preserve">UE </w:t>
      </w:r>
      <w:r>
        <w:t xml:space="preserve">maximum output power for category </w:t>
      </w:r>
      <w:r>
        <w:rPr>
          <w:lang w:val="en-US"/>
        </w:rPr>
        <w:t>NB1 and NB2</w:t>
      </w:r>
      <w:bookmarkEnd w:id="433"/>
      <w:bookmarkEnd w:id="434"/>
      <w:bookmarkEnd w:id="435"/>
      <w:bookmarkEnd w:id="436"/>
      <w:bookmarkEnd w:id="437"/>
      <w:bookmarkEnd w:id="438"/>
      <w:bookmarkEnd w:id="439"/>
      <w:bookmarkEnd w:id="440"/>
      <w:bookmarkEnd w:id="441"/>
    </w:p>
    <w:p>
      <w:pPr>
        <w:pStyle w:val="112"/>
        <w:rPr>
          <w:i w:val="0"/>
          <w:iCs w:val="0"/>
          <w:lang w:val="en-US"/>
        </w:rPr>
      </w:pPr>
      <w:r>
        <w:rPr>
          <w:i w:val="0"/>
          <w:iCs w:val="0"/>
        </w:rPr>
        <w:t>Editor’s Note: Addition to applicability spec is pending.</w:t>
      </w:r>
    </w:p>
    <w:p>
      <w:pPr>
        <w:pStyle w:val="9"/>
      </w:pPr>
      <w:r>
        <w:t>6.2B.1.1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w:t>
      </w:r>
    </w:p>
    <w:p>
      <w:r>
        <w:t>An excess maximum output power has the possibility to interfere to other channels or other systems. A small maximum output power decreases the coverage area.</w:t>
      </w:r>
    </w:p>
    <w:p>
      <w:pPr>
        <w:pStyle w:val="9"/>
      </w:pPr>
      <w:r>
        <w:t>6.2B.1.2</w:t>
      </w:r>
      <w:r>
        <w:tab/>
      </w:r>
      <w: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w:t>
      </w:r>
      <w:r>
        <w:rPr>
          <w:lang w:eastAsia="zh-CN"/>
        </w:rPr>
        <w:t>2</w:t>
      </w:r>
      <w:r>
        <w:t xml:space="preserve"> that support satellite access operation.</w:t>
      </w:r>
    </w:p>
    <w:p>
      <w:pPr>
        <w:pStyle w:val="9"/>
      </w:pPr>
      <w:r>
        <w:t>6.2B.1.3</w:t>
      </w:r>
      <w:r>
        <w:tab/>
      </w:r>
      <w:r>
        <w:t>Minimum conformance requirements</w:t>
      </w:r>
    </w:p>
    <w:p>
      <w:r>
        <w:rPr>
          <w:rFonts w:cs="v5.0.0"/>
        </w:rPr>
        <w:t xml:space="preserve">Category NB1 </w:t>
      </w:r>
      <w:r>
        <w:rPr>
          <w:rFonts w:cs="v5.0.0"/>
          <w:lang w:eastAsia="zh-CN"/>
        </w:rPr>
        <w:t xml:space="preserve">and NB2 </w:t>
      </w:r>
      <w:r>
        <w:rPr>
          <w:rFonts w:cs="v5.0.0"/>
        </w:rPr>
        <w:t>UE Power Classes are specified in Table 6.2B</w:t>
      </w:r>
      <w:r>
        <w:rPr>
          <w:rFonts w:cs="v5.0.0"/>
          <w:lang w:eastAsia="zh-CN"/>
        </w:rPr>
        <w:t>.1.3</w:t>
      </w:r>
      <w:r>
        <w:rPr>
          <w:rFonts w:cs="v5.0.0"/>
        </w:rPr>
        <w:t xml:space="preserve">-1 and define the maximum output power for </w:t>
      </w:r>
      <w:r>
        <w:t xml:space="preserve">any transmission bandwidth within the category NB1 </w:t>
      </w:r>
      <w:r>
        <w:rPr>
          <w:lang w:eastAsia="zh-CN"/>
        </w:rPr>
        <w:t xml:space="preserve">and NB2 </w:t>
      </w:r>
      <w:r>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pPr>
        <w:pStyle w:val="113"/>
      </w:pPr>
      <w:r>
        <w:t>Table 6.2B.1.3-1: UE Power Class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008"/>
        <w:gridCol w:w="1067"/>
        <w:gridCol w:w="1008"/>
        <w:gridCol w:w="10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4"/>
              <w:rPr>
                <w:lang w:eastAsia="ja-JP"/>
              </w:rPr>
            </w:pPr>
            <w:r>
              <w:rPr>
                <w:lang w:eastAsia="ja-JP"/>
              </w:rPr>
              <w:t>EUTRA band</w:t>
            </w:r>
          </w:p>
        </w:tc>
        <w:tc>
          <w:tcPr>
            <w:tcW w:w="1008" w:type="dxa"/>
          </w:tcPr>
          <w:p>
            <w:pPr>
              <w:pStyle w:val="104"/>
              <w:rPr>
                <w:lang w:eastAsia="ja-JP"/>
              </w:rPr>
            </w:pPr>
            <w:r>
              <w:rPr>
                <w:lang w:eastAsia="ja-JP"/>
              </w:rPr>
              <w:t>Class 3 (dBm)</w:t>
            </w:r>
          </w:p>
        </w:tc>
        <w:tc>
          <w:tcPr>
            <w:tcW w:w="1067" w:type="dxa"/>
          </w:tcPr>
          <w:p>
            <w:pPr>
              <w:pStyle w:val="104"/>
              <w:rPr>
                <w:lang w:eastAsia="ja-JP"/>
              </w:rPr>
            </w:pPr>
            <w:r>
              <w:rPr>
                <w:lang w:eastAsia="ja-JP"/>
              </w:rPr>
              <w:t>Tolerance (dB)</w:t>
            </w:r>
          </w:p>
        </w:tc>
        <w:tc>
          <w:tcPr>
            <w:tcW w:w="1008" w:type="dxa"/>
          </w:tcPr>
          <w:p>
            <w:pPr>
              <w:pStyle w:val="104"/>
              <w:rPr>
                <w:lang w:eastAsia="ja-JP"/>
              </w:rPr>
            </w:pPr>
            <w:r>
              <w:rPr>
                <w:lang w:eastAsia="ja-JP"/>
              </w:rPr>
              <w:t>Class 5 (dBm)</w:t>
            </w:r>
          </w:p>
        </w:tc>
        <w:tc>
          <w:tcPr>
            <w:tcW w:w="1067" w:type="dxa"/>
          </w:tcPr>
          <w:p>
            <w:pPr>
              <w:pStyle w:val="104"/>
              <w:rPr>
                <w:lang w:eastAsia="ja-JP"/>
              </w:rPr>
            </w:pPr>
            <w:r>
              <w:rPr>
                <w:lang w:eastAsia="ja-JP"/>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56</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55</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bl>
    <w:p/>
    <w:p>
      <w:pPr>
        <w:rPr>
          <w:lang w:eastAsia="ja-JP"/>
        </w:rPr>
      </w:pPr>
      <w:r>
        <w:t>The normative reference for this requirement is TS 36.102 [11] clause 6.2B.1.</w:t>
      </w:r>
    </w:p>
    <w:p>
      <w:pPr>
        <w:pStyle w:val="9"/>
      </w:pPr>
      <w:r>
        <w:t>6.2B.1.4</w:t>
      </w:r>
      <w:r>
        <w:tab/>
      </w:r>
      <w:r>
        <w:t>Test description</w:t>
      </w:r>
    </w:p>
    <w:p>
      <w:pPr>
        <w:pStyle w:val="9"/>
      </w:pPr>
      <w:r>
        <w:t>6.2B.1.4.1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pPr>
        <w:pStyle w:val="113"/>
        <w:rPr>
          <w:lang w:eastAsia="zh-TW"/>
        </w:rPr>
      </w:pPr>
      <w:r>
        <w:t>Table 6.2B.1.4.1-1: Test Configuration Initial Conditions</w:t>
      </w:r>
      <w:r>
        <w:rPr>
          <w:lang w:eastAsia="zh-TW"/>
        </w:rPr>
        <w:t xml:space="preserve"> for FDD</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268"/>
        <w:gridCol w:w="1559"/>
        <w:gridCol w:w="1701"/>
        <w:gridCol w:w="1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Environment as specified in</w:t>
            </w:r>
          </w:p>
          <w:p>
            <w:pPr>
              <w:pStyle w:val="103"/>
              <w:rPr>
                <w:lang w:eastAsia="zh-CN"/>
              </w:rPr>
            </w:pPr>
            <w:r>
              <w:rPr>
                <w:rFonts w:eastAsia="微软雅黑" w:cs="Arial"/>
                <w:szCs w:val="18"/>
                <w:lang w:eastAsia="zh-CN"/>
              </w:rPr>
              <w:t>TS 36.508 [12] subclause 8.1.1</w:t>
            </w:r>
          </w:p>
        </w:tc>
        <w:tc>
          <w:tcPr>
            <w:tcW w:w="5212" w:type="dxa"/>
            <w:gridSpan w:val="3"/>
          </w:tcPr>
          <w:p>
            <w:pPr>
              <w:pStyle w:val="103"/>
              <w:rPr>
                <w:lang w:eastAsia="zh-CN"/>
              </w:rPr>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Frequencies as specified in</w:t>
            </w:r>
          </w:p>
          <w:p>
            <w:pPr>
              <w:pStyle w:val="103"/>
            </w:pPr>
            <w:r>
              <w:rPr>
                <w:rFonts w:eastAsia="微软雅黑" w:cs="Arial"/>
                <w:szCs w:val="18"/>
                <w:lang w:eastAsia="zh-CN"/>
              </w:rPr>
              <w:t>TS 36.508 [12] subclause 8.1.3.1</w:t>
            </w:r>
          </w:p>
        </w:tc>
        <w:tc>
          <w:tcPr>
            <w:tcW w:w="5212" w:type="dxa"/>
            <w:gridSpan w:val="3"/>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bottom w:val="nil"/>
            </w:tcBorders>
          </w:tcPr>
          <w:p>
            <w:pPr>
              <w:pStyle w:val="103"/>
              <w:jc w:val="center"/>
              <w:rPr>
                <w:b/>
              </w:rPr>
            </w:pPr>
            <w:r>
              <w:rPr>
                <w:rFonts w:eastAsia="微软雅黑" w:cs="Arial"/>
                <w:b/>
                <w:bCs/>
                <w:szCs w:val="18"/>
                <w:lang w:eastAsia="zh-CN"/>
              </w:rPr>
              <w:t>Configuration ID</w:t>
            </w:r>
          </w:p>
        </w:tc>
        <w:tc>
          <w:tcPr>
            <w:tcW w:w="2268" w:type="dxa"/>
            <w:tcBorders>
              <w:bottom w:val="single" w:color="auto" w:sz="4" w:space="0"/>
            </w:tcBorders>
          </w:tcPr>
          <w:p>
            <w:pPr>
              <w:pStyle w:val="103"/>
              <w:jc w:val="center"/>
              <w:rPr>
                <w:b/>
              </w:rPr>
            </w:pPr>
            <w:r>
              <w:rPr>
                <w:b/>
              </w:rPr>
              <w:t>Downlink Configuration</w:t>
            </w:r>
          </w:p>
        </w:tc>
        <w:tc>
          <w:tcPr>
            <w:tcW w:w="5212" w:type="dxa"/>
            <w:gridSpan w:val="3"/>
          </w:tcPr>
          <w:p>
            <w:pPr>
              <w:pStyle w:val="103"/>
              <w:jc w:val="center"/>
              <w:rPr>
                <w:b/>
                <w:lang w:eastAsia="zh-CN"/>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top w:val="nil"/>
            </w:tcBorders>
          </w:tcPr>
          <w:p>
            <w:pPr>
              <w:pStyle w:val="103"/>
              <w:jc w:val="center"/>
            </w:pPr>
          </w:p>
        </w:tc>
        <w:tc>
          <w:tcPr>
            <w:tcW w:w="2268" w:type="dxa"/>
            <w:tcBorders>
              <w:bottom w:val="nil"/>
            </w:tcBorders>
          </w:tcPr>
          <w:p>
            <w:pPr>
              <w:pStyle w:val="103"/>
              <w:jc w:val="center"/>
              <w:rPr>
                <w:lang w:eastAsia="zh-CN"/>
              </w:rPr>
            </w:pPr>
            <w:r>
              <w:t>N/A</w:t>
            </w:r>
          </w:p>
        </w:tc>
        <w:tc>
          <w:tcPr>
            <w:tcW w:w="1559" w:type="dxa"/>
          </w:tcPr>
          <w:p>
            <w:pPr>
              <w:pStyle w:val="104"/>
            </w:pPr>
            <w:r>
              <w:rPr>
                <w:rFonts w:eastAsia="微软雅黑"/>
                <w:lang w:eastAsia="zh-CN"/>
              </w:rPr>
              <w:t>Modulation</w:t>
            </w:r>
          </w:p>
        </w:tc>
        <w:tc>
          <w:tcPr>
            <w:tcW w:w="1701" w:type="dxa"/>
          </w:tcPr>
          <w:p>
            <w:pPr>
              <w:pStyle w:val="104"/>
              <w:rPr>
                <w:lang w:eastAsia="zh-CN"/>
              </w:rPr>
            </w:pPr>
            <w:r>
              <w:rPr>
                <w:rFonts w:eastAsia="微软雅黑"/>
                <w:lang w:eastAsia="zh-CN"/>
              </w:rPr>
              <w:t>N</w:t>
            </w:r>
            <w:r>
              <w:rPr>
                <w:rFonts w:eastAsia="微软雅黑"/>
                <w:vertAlign w:val="subscript"/>
                <w:lang w:eastAsia="zh-CN"/>
              </w:rPr>
              <w:t>tones</w:t>
            </w:r>
          </w:p>
        </w:tc>
        <w:tc>
          <w:tcPr>
            <w:tcW w:w="1952" w:type="dxa"/>
          </w:tcPr>
          <w:p>
            <w:pPr>
              <w:pStyle w:val="104"/>
              <w:rPr>
                <w:lang w:eastAsia="zh-CN"/>
              </w:rPr>
            </w:pPr>
            <w:r>
              <w:rPr>
                <w:rFonts w:eastAsia="微软雅黑"/>
                <w:lang w:eastAsia="zh-CN"/>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1 (Note 2)</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BPSK</w:t>
            </w:r>
          </w:p>
        </w:tc>
        <w:tc>
          <w:tcPr>
            <w:tcW w:w="1701" w:type="dxa"/>
          </w:tcPr>
          <w:p>
            <w:pPr>
              <w:pStyle w:val="105"/>
              <w:rPr>
                <w:rFonts w:eastAsia="微软雅黑" w:cs="Arial"/>
                <w:szCs w:val="18"/>
                <w:lang w:eastAsia="zh-CN"/>
              </w:rPr>
            </w:pPr>
            <w:r>
              <w:t>1@0</w:t>
            </w:r>
          </w:p>
        </w:tc>
        <w:tc>
          <w:tcPr>
            <w:tcW w:w="1952" w:type="dxa"/>
          </w:tcPr>
          <w:p>
            <w:pPr>
              <w:pStyle w:val="105"/>
              <w:rPr>
                <w:rFonts w:eastAsia="微软雅黑" w:cs="Arial"/>
                <w:szCs w:val="18"/>
                <w:lang w:eastAsia="zh-CN"/>
              </w:rP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2 (Note 3)</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BPSK</w:t>
            </w:r>
          </w:p>
        </w:tc>
        <w:tc>
          <w:tcPr>
            <w:tcW w:w="1701" w:type="dxa"/>
          </w:tcPr>
          <w:p>
            <w:pPr>
              <w:pStyle w:val="105"/>
              <w:rPr>
                <w:rFonts w:eastAsia="微软雅黑" w:cs="Arial"/>
                <w:szCs w:val="18"/>
                <w:lang w:eastAsia="zh-CN"/>
              </w:rPr>
            </w:pPr>
            <w:r>
              <w:t>1@47</w:t>
            </w:r>
          </w:p>
        </w:tc>
        <w:tc>
          <w:tcPr>
            <w:tcW w:w="1952" w:type="dxa"/>
          </w:tcPr>
          <w:p>
            <w:pPr>
              <w:pStyle w:val="105"/>
              <w:rPr>
                <w:rFonts w:eastAsia="微软雅黑" w:cs="Arial"/>
                <w:szCs w:val="18"/>
                <w:lang w:eastAsia="zh-CN"/>
              </w:rP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3 (Note 2)</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1@0</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4 (Note 3)</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1@11</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5 (Note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3@3</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pPr>
            <w:r>
              <w:t>NOTE 1:</w:t>
            </w:r>
            <w:r>
              <w:tab/>
            </w:r>
            <w:r>
              <w:t>Applicable to UE supporting UL multi-tone transmissions.</w:t>
            </w:r>
          </w:p>
          <w:p>
            <w:pPr>
              <w:pStyle w:val="118"/>
            </w:pPr>
            <w:r>
              <w:t>NOTE 2:</w:t>
            </w:r>
            <w:r>
              <w:tab/>
            </w:r>
            <w:r>
              <w:t>only applicable for low range.</w:t>
            </w:r>
          </w:p>
          <w:p>
            <w:pPr>
              <w:pStyle w:val="118"/>
              <w:rPr>
                <w:rFonts w:eastAsiaTheme="minorEastAsia"/>
                <w:lang w:eastAsia="zh-CN"/>
              </w:rPr>
            </w:pPr>
            <w:r>
              <w:t>NOTE 3:</w:t>
            </w:r>
            <w:r>
              <w:tab/>
            </w:r>
            <w:r>
              <w:t>only applicable for high range.</w:t>
            </w:r>
          </w:p>
        </w:tc>
      </w:tr>
    </w:tbl>
    <w:p>
      <w:pPr>
        <w:pStyle w:val="111"/>
        <w:ind w:left="0" w:firstLine="0"/>
      </w:pP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 xml:space="preserve">Connect the SS to the UE antenna connectors as shown in </w:t>
      </w:r>
      <w:r>
        <w:rPr>
          <w:rFonts w:eastAsia="Malgun Gothic"/>
          <w:lang w:eastAsia="zh-CN"/>
        </w:rPr>
        <w:t>TS 36.508 [12] Annex A Figure A.3 using only the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TS 36.521 Annex C.0, C.1, and C.3.0, and uplink signals according to Annex H.1.1 and H.4.0.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6.2B.1.4.1-1.</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Annex B.0</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w:t>
      </w:r>
      <w:r>
        <w:rPr>
          <w:rFonts w:eastAsia="Malgun Gothic"/>
          <w:lang w:eastAsia="en-GB"/>
        </w:rPr>
        <w:t>8</w:t>
      </w:r>
      <w:r>
        <w:rPr>
          <w:rFonts w:hint="eastAsia" w:eastAsia="Malgun Gothic"/>
          <w:lang w:eastAsia="en-GB"/>
        </w:rPr>
        <w:t>.</w:t>
      </w:r>
      <w:r>
        <w:rPr>
          <w:rFonts w:eastAsia="Malgun Gothic"/>
          <w:lang w:eastAsia="en-GB"/>
        </w:rPr>
        <w:t>2.6.1</w:t>
      </w:r>
      <w:r>
        <w:rPr>
          <w:rFonts w:hint="eastAsia" w:eastAsia="Malgun Gothic"/>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eastAsia="Malgun Gothic"/>
          <w:lang w:eastAsia="en-GB"/>
        </w:rPr>
        <w:t>7.</w:t>
      </w:r>
      <w:r>
        <w:rPr>
          <w:rFonts w:hint="eastAsia" w:eastAsia="Malgun Gothic"/>
          <w:lang w:eastAsia="en-GB"/>
        </w:rPr>
        <w:tab/>
      </w:r>
      <w:r>
        <w:t>Test equipment shall emul</w:t>
      </w:r>
      <w:r>
        <w:rPr>
          <w:color w:val="000000" w:themeColor="text1"/>
          <w14:textFill>
            <w14:solidFill>
              <w14:schemeClr w14:val="tx1"/>
            </w14:solidFill>
          </w14:textFill>
        </w:rPr>
        <w:t xml:space="preserve">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during th</w:t>
      </w:r>
      <w:r>
        <w:t xml:space="preserve">e duration of the test as define in TS 36.508[12] clause </w:t>
      </w:r>
      <w:r>
        <w:rPr>
          <w:rFonts w:hint="eastAsia"/>
        </w:rPr>
        <w:t>8.2</w:t>
      </w:r>
      <w:r>
        <w:t>.6.3.1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rFonts w:eastAsia="Malgun Gothic"/>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hint="eastAsia" w:eastAsia="Malgun Gothic"/>
          <w:lang w:eastAsia="en-GB"/>
        </w:rPr>
        <w:t>.</w:t>
      </w:r>
      <w:r>
        <w:rPr>
          <w:rFonts w:hint="eastAsia" w:eastAsia="Malgun Gothic"/>
          <w:lang w:eastAsia="en-GB"/>
        </w:rPr>
        <w:tab/>
      </w:r>
      <w:r>
        <w:rPr>
          <w:rFonts w:hint="eastAsia" w:eastAsia="Malgun Gothic"/>
          <w:lang w:eastAsia="en-GB"/>
        </w:rPr>
        <w:t>Ensure the UE is in State 2A-NB with CP CIoT Optimisation according to TS 36.508 [12] clause 8.1.5. Message contents are defined in clause 6.2B.1.4.3.</w:t>
      </w:r>
    </w:p>
    <w:p>
      <w:pPr>
        <w:pStyle w:val="9"/>
      </w:pPr>
      <w:r>
        <w:t>6.2B.1.4.2</w:t>
      </w:r>
      <w:r>
        <w:tab/>
      </w:r>
      <w:r>
        <w:t>Test procedure</w:t>
      </w:r>
    </w:p>
    <w:p>
      <w:pPr>
        <w:pStyle w:val="111"/>
        <w:overflowPunct w:val="0"/>
        <w:autoSpaceDE w:val="0"/>
        <w:autoSpaceDN w:val="0"/>
        <w:adjustRightInd w:val="0"/>
        <w:contextualSpacing w:val="0"/>
        <w:textAlignment w:val="baseline"/>
      </w:pPr>
      <w:r>
        <w:t>1.</w:t>
      </w:r>
      <w:r>
        <w:tab/>
      </w:r>
      <w:r>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Pr>
          <w:vertAlign w:val="subscript"/>
        </w:rPr>
        <w:t>UMAX</w:t>
      </w:r>
      <w:r>
        <w:t xml:space="preserve"> after Initial Conditions setting).</w:t>
      </w:r>
    </w:p>
    <w:p>
      <w:pPr>
        <w:pStyle w:val="111"/>
        <w:overflowPunct w:val="0"/>
        <w:autoSpaceDE w:val="0"/>
        <w:autoSpaceDN w:val="0"/>
        <w:adjustRightInd w:val="0"/>
        <w:contextualSpacing w:val="0"/>
        <w:textAlignment w:val="baseline"/>
      </w:pPr>
      <w:r>
        <w:t>2.</w:t>
      </w:r>
      <w:r>
        <w:tab/>
      </w:r>
      <w:r>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Pr>
          <w:lang w:eastAsia="zh-TW"/>
        </w:rPr>
        <w:t>. For</w:t>
      </w:r>
      <w:r>
        <w:t xml:space="preserve"> Half-Duplex guard subframes are not under test.</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6.2B.1.4.3</w:t>
      </w:r>
      <w:r>
        <w:tab/>
      </w:r>
      <w:r>
        <w:t>Message contents</w:t>
      </w:r>
    </w:p>
    <w:p>
      <w:pPr>
        <w:rPr>
          <w:lang w:val="en-US" w:eastAsia="zh-CN"/>
        </w:rPr>
      </w:pPr>
      <w:r>
        <w:t>Message contents are according to TS 36.508 [12] subclause 8.1.6.</w:t>
      </w:r>
    </w:p>
    <w:p>
      <w:pPr>
        <w:pStyle w:val="9"/>
      </w:pPr>
      <w:r>
        <w:t>6.2B.1.5</w:t>
      </w:r>
      <w:r>
        <w:tab/>
      </w:r>
      <w:r>
        <w:t>Test requirements</w:t>
      </w:r>
    </w:p>
    <w:p>
      <w:r>
        <w:t>The maximum output power derived in step 2 shall be within the range prescribed by the nominal maximum output power and tolerance in Table 6.2B.1.5-1.</w:t>
      </w:r>
    </w:p>
    <w:p>
      <w:pPr>
        <w:pStyle w:val="113"/>
      </w:pPr>
      <w:r>
        <w:t>Table 6.2B.1.5-1: UE Power Class test requirement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008"/>
        <w:gridCol w:w="1067"/>
        <w:gridCol w:w="1008"/>
        <w:gridCol w:w="10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23" w:type="dxa"/>
            <w:vAlign w:val="center"/>
          </w:tcPr>
          <w:p>
            <w:pPr>
              <w:pStyle w:val="104"/>
              <w:rPr>
                <w:lang w:eastAsia="ja-JP"/>
              </w:rPr>
            </w:pPr>
            <w:r>
              <w:rPr>
                <w:lang w:eastAsia="ja-JP"/>
              </w:rPr>
              <w:t>EUTRA band</w:t>
            </w:r>
          </w:p>
        </w:tc>
        <w:tc>
          <w:tcPr>
            <w:tcW w:w="1008" w:type="dxa"/>
          </w:tcPr>
          <w:p>
            <w:pPr>
              <w:pStyle w:val="104"/>
              <w:rPr>
                <w:lang w:eastAsia="ja-JP"/>
              </w:rPr>
            </w:pPr>
            <w:r>
              <w:rPr>
                <w:lang w:eastAsia="ja-JP"/>
              </w:rPr>
              <w:t>Class 3 (dBm)</w:t>
            </w:r>
          </w:p>
        </w:tc>
        <w:tc>
          <w:tcPr>
            <w:tcW w:w="1067" w:type="dxa"/>
          </w:tcPr>
          <w:p>
            <w:pPr>
              <w:pStyle w:val="104"/>
              <w:rPr>
                <w:lang w:eastAsia="ja-JP"/>
              </w:rPr>
            </w:pPr>
            <w:r>
              <w:rPr>
                <w:lang w:eastAsia="ja-JP"/>
              </w:rPr>
              <w:t>Tolerance (dB)</w:t>
            </w:r>
          </w:p>
        </w:tc>
        <w:tc>
          <w:tcPr>
            <w:tcW w:w="1008" w:type="dxa"/>
          </w:tcPr>
          <w:p>
            <w:pPr>
              <w:pStyle w:val="104"/>
              <w:rPr>
                <w:lang w:eastAsia="ja-JP"/>
              </w:rPr>
            </w:pPr>
            <w:r>
              <w:rPr>
                <w:lang w:eastAsia="ja-JP"/>
              </w:rPr>
              <w:t>Class 5 (dBm)</w:t>
            </w:r>
          </w:p>
        </w:tc>
        <w:tc>
          <w:tcPr>
            <w:tcW w:w="1067" w:type="dxa"/>
          </w:tcPr>
          <w:p>
            <w:pPr>
              <w:pStyle w:val="104"/>
              <w:rPr>
                <w:lang w:eastAsia="ja-JP"/>
              </w:rPr>
            </w:pPr>
            <w:r>
              <w:rPr>
                <w:lang w:eastAsia="ja-JP"/>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56</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55</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bl>
    <w:p/>
    <w:bookmarkEnd w:id="418"/>
    <w:bookmarkEnd w:id="419"/>
    <w:p>
      <w:pPr>
        <w:pStyle w:val="5"/>
        <w:rPr>
          <w:lang w:eastAsia="zh-CN"/>
        </w:rPr>
      </w:pPr>
      <w:bookmarkStart w:id="442" w:name="_Toc20139"/>
      <w:bookmarkStart w:id="443" w:name="_Toc2654"/>
      <w:bookmarkStart w:id="444" w:name="_Toc120570031"/>
      <w:bookmarkStart w:id="445" w:name="_Toc17421"/>
      <w:bookmarkStart w:id="446" w:name="_Toc18491"/>
      <w:bookmarkStart w:id="447" w:name="_Toc23028"/>
      <w:bookmarkStart w:id="448" w:name="_Toc121162823"/>
      <w:bookmarkStart w:id="449" w:name="_Toc6222"/>
      <w:bookmarkStart w:id="450" w:name="_Toc13388"/>
      <w:bookmarkStart w:id="451" w:name="_Toc111062036"/>
      <w:r>
        <w:t>6.2B.2</w:t>
      </w:r>
      <w:r>
        <w:rPr>
          <w:lang w:eastAsia="zh-CN"/>
        </w:rPr>
        <w:tab/>
      </w:r>
      <w:r>
        <w:t>UE m</w:t>
      </w:r>
      <w:r>
        <w:rPr>
          <w:lang w:eastAsia="zh-CN"/>
        </w:rPr>
        <w:t xml:space="preserve">aximum output power reduction </w:t>
      </w:r>
      <w:r>
        <w:t xml:space="preserve">for </w:t>
      </w:r>
      <w:r>
        <w:rPr>
          <w:lang w:eastAsia="zh-CN"/>
        </w:rPr>
        <w:t>category NB1 and NB2</w:t>
      </w:r>
      <w:bookmarkEnd w:id="442"/>
      <w:bookmarkEnd w:id="443"/>
      <w:bookmarkEnd w:id="444"/>
      <w:bookmarkEnd w:id="445"/>
      <w:bookmarkEnd w:id="446"/>
      <w:bookmarkEnd w:id="447"/>
      <w:bookmarkEnd w:id="448"/>
      <w:bookmarkEnd w:id="449"/>
      <w:bookmarkEnd w:id="450"/>
    </w:p>
    <w:p>
      <w:pPr>
        <w:pStyle w:val="112"/>
        <w:rPr>
          <w:i w:val="0"/>
          <w:iCs w:val="0"/>
          <w:lang w:val="en-US"/>
        </w:rPr>
      </w:pPr>
      <w:r>
        <w:rPr>
          <w:i w:val="0"/>
          <w:iCs w:val="0"/>
        </w:rPr>
        <w:t>Editor’s Note: Addition to applicability spec is pending.</w:t>
      </w:r>
    </w:p>
    <w:p>
      <w:pPr>
        <w:pStyle w:val="9"/>
      </w:pPr>
      <w:r>
        <w:t>6.2B.2.1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r>
        <w:t>An excess maximum output power has the possibility to interfere to other channels or other systems. A small maximum output power decreases the coverage area.</w:t>
      </w:r>
    </w:p>
    <w:p>
      <w:pPr>
        <w:pStyle w:val="9"/>
      </w:pPr>
      <w:r>
        <w:t>6.2B.2.2</w:t>
      </w:r>
      <w:r>
        <w:tab/>
      </w:r>
      <w:r>
        <w:t>Test applicability</w:t>
      </w:r>
    </w:p>
    <w:p>
      <w:r>
        <w:t>The requirements of this test apply in test case 6.6.2.3F Adjacent Channel Leakage power Ratio for category NB1 and NB</w:t>
      </w:r>
      <w:r>
        <w:rPr>
          <w:lang w:eastAsia="zh-CN"/>
        </w:rPr>
        <w:t>2</w:t>
      </w:r>
      <w:r>
        <w:t xml:space="preserve"> to all types of NB-IoT FDD UE release 1</w:t>
      </w:r>
      <w:r>
        <w:rPr>
          <w:lang w:eastAsia="zh-CN"/>
        </w:rPr>
        <w:t xml:space="preserve">7 </w:t>
      </w:r>
      <w:r>
        <w:t>and forward of category NB</w:t>
      </w:r>
      <w:r>
        <w:rPr>
          <w:lang w:eastAsia="zh-CN"/>
        </w:rPr>
        <w:t>2 that support satellite access operation</w:t>
      </w:r>
      <w:r>
        <w:t>.</w:t>
      </w:r>
    </w:p>
    <w:p>
      <w:pPr>
        <w:pStyle w:val="9"/>
      </w:pPr>
      <w:r>
        <w:t>6.2B.2.3</w:t>
      </w:r>
      <w:r>
        <w:tab/>
      </w:r>
      <w:r>
        <w:t>Minimum conformance requirements</w:t>
      </w:r>
    </w:p>
    <w:p>
      <w:pPr>
        <w:rPr>
          <w:snapToGrid w:val="0"/>
        </w:rPr>
      </w:pPr>
      <w:r>
        <w:t>For UE category NB1 power class 3 and 5 the allowed Maximum Power Reduction (MPR) for the maximum output power given in Table 6.2B.1.3-1 is specified in Table 6.2B.2.3-1.</w:t>
      </w:r>
    </w:p>
    <w:p>
      <w:pPr>
        <w:pStyle w:val="113"/>
      </w:pPr>
      <w:r>
        <w:t>Table 6.2B.2.3-1: Maximum Power Reduction (MPR) for UE category NB1 and NB2 Power Class 3 and 5</w:t>
      </w:r>
    </w:p>
    <w:tbl>
      <w:tblPr>
        <w:tblStyle w:val="89"/>
        <w:tblW w:w="0" w:type="auto"/>
        <w:jc w:val="center"/>
        <w:tblLayout w:type="autofit"/>
        <w:tblCellMar>
          <w:top w:w="0" w:type="dxa"/>
          <w:left w:w="108" w:type="dxa"/>
          <w:bottom w:w="0" w:type="dxa"/>
          <w:right w:w="108" w:type="dxa"/>
        </w:tblCellMar>
      </w:tblPr>
      <w:tblGrid>
        <w:gridCol w:w="3507"/>
        <w:gridCol w:w="886"/>
        <w:gridCol w:w="569"/>
        <w:gridCol w:w="568"/>
        <w:gridCol w:w="886"/>
      </w:tblGrid>
      <w:tr>
        <w:tblPrEx>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Modulation</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QPSK</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vAlign w:val="center"/>
          </w:tcPr>
          <w:p>
            <w:pPr>
              <w:pStyle w:val="104"/>
              <w:rPr>
                <w:rFonts w:cs="Arial"/>
                <w:lang w:val="en-US" w:eastAsia="ja-JP"/>
              </w:rPr>
            </w:pPr>
            <w:r>
              <w:rPr>
                <w:rFonts w:cs="Arial"/>
                <w:lang w:val="en-US" w:eastAsia="ja-JP"/>
              </w:rPr>
              <w:t>Tone positions for 3 Tones allocation</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0-2</w:t>
            </w:r>
          </w:p>
        </w:tc>
        <w:tc>
          <w:tcPr>
            <w:tcW w:w="0" w:type="auto"/>
            <w:gridSpan w:val="2"/>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3-5 and 6-8</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9-11</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MPR</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0.5 dB</w:t>
            </w:r>
          </w:p>
        </w:tc>
        <w:tc>
          <w:tcPr>
            <w:tcW w:w="0" w:type="auto"/>
            <w:gridSpan w:val="2"/>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 dB</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0.5 dB</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vAlign w:val="center"/>
          </w:tcPr>
          <w:p>
            <w:pPr>
              <w:pStyle w:val="104"/>
              <w:rPr>
                <w:rFonts w:cs="Arial"/>
                <w:lang w:val="en-US" w:eastAsia="ja-JP"/>
              </w:rPr>
            </w:pPr>
            <w:r>
              <w:rPr>
                <w:rFonts w:cs="Arial"/>
                <w:lang w:val="en-US" w:eastAsia="ja-JP"/>
              </w:rPr>
              <w:t>Tone positions for 6 Tones allocation</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0-5 and 6-11</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MPR</w:t>
            </w:r>
          </w:p>
        </w:tc>
        <w:tc>
          <w:tcPr>
            <w:tcW w:w="0" w:type="auto"/>
            <w:gridSpan w:val="2"/>
            <w:tcBorders>
              <w:top w:val="single" w:color="auto" w:sz="4" w:space="0"/>
              <w:left w:val="nil"/>
              <w:bottom w:val="single" w:color="auto" w:sz="4" w:space="0"/>
              <w:right w:val="single" w:color="000000" w:sz="4" w:space="0"/>
            </w:tcBorders>
            <w:shd w:val="clear" w:color="auto" w:fill="auto"/>
            <w:noWrap/>
            <w:vAlign w:val="center"/>
          </w:tcPr>
          <w:p>
            <w:pPr>
              <w:pStyle w:val="105"/>
              <w:rPr>
                <w:rFonts w:cs="Arial"/>
                <w:lang w:val="en-US" w:eastAsia="ja-JP"/>
              </w:rPr>
            </w:pPr>
            <w:r>
              <w:rPr>
                <w:rFonts w:cs="Arial"/>
                <w:lang w:val="en-US" w:eastAsia="ja-JP"/>
              </w:rPr>
              <w:t>≤ 1 dB</w:t>
            </w:r>
          </w:p>
        </w:tc>
        <w:tc>
          <w:tcPr>
            <w:tcW w:w="0" w:type="auto"/>
            <w:gridSpan w:val="2"/>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1 dB</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vAlign w:val="center"/>
          </w:tcPr>
          <w:p>
            <w:pPr>
              <w:pStyle w:val="104"/>
              <w:rPr>
                <w:rFonts w:cs="Arial"/>
                <w:lang w:val="en-US" w:eastAsia="ja-JP"/>
              </w:rPr>
            </w:pPr>
            <w:r>
              <w:rPr>
                <w:rFonts w:cs="Arial"/>
                <w:lang w:val="en-US" w:eastAsia="ja-JP"/>
              </w:rPr>
              <w:t>Tone positions for 12 Tones allocation</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0-11</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pStyle w:val="104"/>
              <w:rPr>
                <w:rFonts w:ascii="Calibri" w:hAnsi="Calibri" w:cs="Arial"/>
                <w:sz w:val="22"/>
                <w:szCs w:val="22"/>
                <w:lang w:val="en-US" w:eastAsia="ja-JP"/>
              </w:rPr>
            </w:pPr>
            <w:r>
              <w:rPr>
                <w:rFonts w:cs="Arial"/>
                <w:lang w:val="en-US" w:eastAsia="ja-JP"/>
              </w:rPr>
              <w:t>MPR</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2 dB</w:t>
            </w:r>
          </w:p>
        </w:tc>
      </w:tr>
    </w:tbl>
    <w:p/>
    <w:p>
      <w:r>
        <w:t>The normative reference for this requirement is TS 36.102 [11] clause 6.2B.2</w:t>
      </w:r>
    </w:p>
    <w:p>
      <w:pPr>
        <w:pStyle w:val="9"/>
      </w:pPr>
      <w:r>
        <w:t>6.2B.2.4</w:t>
      </w:r>
      <w:r>
        <w:tab/>
      </w:r>
      <w:r>
        <w:t>Test description</w:t>
      </w:r>
    </w:p>
    <w:p>
      <w:pPr>
        <w:pStyle w:val="9"/>
      </w:pPr>
      <w:r>
        <w:t>6.2B.2.4.1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pPr>
        <w:pStyle w:val="113"/>
        <w:rPr>
          <w:lang w:eastAsia="zh-CN"/>
        </w:rPr>
      </w:pPr>
      <w:r>
        <w:t>Table 6.2B.2.4.1-1: Test Configuration T</w:t>
      </w:r>
      <w:r>
        <w:rPr>
          <w:lang w:eastAsia="zh-CN"/>
        </w:rPr>
        <w:t>able</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268"/>
        <w:gridCol w:w="1559"/>
        <w:gridCol w:w="1701"/>
        <w:gridCol w:w="1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Environment as specified in</w:t>
            </w:r>
          </w:p>
          <w:p>
            <w:pPr>
              <w:pStyle w:val="103"/>
              <w:rPr>
                <w:lang w:eastAsia="zh-CN"/>
              </w:rPr>
            </w:pPr>
            <w:r>
              <w:rPr>
                <w:rFonts w:eastAsia="微软雅黑" w:cs="Arial"/>
                <w:szCs w:val="18"/>
                <w:lang w:eastAsia="zh-CN"/>
              </w:rPr>
              <w:t>TS 36.508 [12] subclause 8.1.1</w:t>
            </w:r>
          </w:p>
        </w:tc>
        <w:tc>
          <w:tcPr>
            <w:tcW w:w="5212" w:type="dxa"/>
            <w:gridSpan w:val="3"/>
          </w:tcPr>
          <w:p>
            <w:pPr>
              <w:pStyle w:val="103"/>
              <w:rPr>
                <w:lang w:eastAsia="zh-CN"/>
              </w:rPr>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Frequencies as specified in</w:t>
            </w:r>
          </w:p>
          <w:p>
            <w:pPr>
              <w:pStyle w:val="103"/>
            </w:pPr>
            <w:r>
              <w:rPr>
                <w:rFonts w:eastAsia="微软雅黑" w:cs="Arial"/>
                <w:szCs w:val="18"/>
                <w:lang w:eastAsia="zh-CN"/>
              </w:rPr>
              <w:t>TS 36.508 [12] subclause 8.1.3.1</w:t>
            </w:r>
          </w:p>
        </w:tc>
        <w:tc>
          <w:tcPr>
            <w:tcW w:w="5212" w:type="dxa"/>
            <w:gridSpan w:val="3"/>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bottom w:val="nil"/>
            </w:tcBorders>
          </w:tcPr>
          <w:p>
            <w:pPr>
              <w:pStyle w:val="103"/>
              <w:jc w:val="center"/>
              <w:rPr>
                <w:b/>
              </w:rPr>
            </w:pPr>
            <w:r>
              <w:rPr>
                <w:rFonts w:eastAsia="微软雅黑" w:cs="Arial"/>
                <w:b/>
                <w:bCs/>
                <w:szCs w:val="18"/>
                <w:lang w:eastAsia="zh-CN"/>
              </w:rPr>
              <w:t>Configuration ID</w:t>
            </w:r>
          </w:p>
        </w:tc>
        <w:tc>
          <w:tcPr>
            <w:tcW w:w="2268" w:type="dxa"/>
            <w:tcBorders>
              <w:bottom w:val="single" w:color="auto" w:sz="4" w:space="0"/>
            </w:tcBorders>
          </w:tcPr>
          <w:p>
            <w:pPr>
              <w:pStyle w:val="103"/>
              <w:jc w:val="center"/>
              <w:rPr>
                <w:b/>
              </w:rPr>
            </w:pPr>
            <w:r>
              <w:rPr>
                <w:b/>
              </w:rPr>
              <w:t>Downlink Configuration</w:t>
            </w:r>
          </w:p>
        </w:tc>
        <w:tc>
          <w:tcPr>
            <w:tcW w:w="5212" w:type="dxa"/>
            <w:gridSpan w:val="3"/>
          </w:tcPr>
          <w:p>
            <w:pPr>
              <w:pStyle w:val="103"/>
              <w:jc w:val="center"/>
              <w:rPr>
                <w:b/>
                <w:lang w:eastAsia="zh-CN"/>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top w:val="nil"/>
            </w:tcBorders>
          </w:tcPr>
          <w:p>
            <w:pPr>
              <w:pStyle w:val="103"/>
              <w:jc w:val="center"/>
            </w:pPr>
          </w:p>
        </w:tc>
        <w:tc>
          <w:tcPr>
            <w:tcW w:w="2268" w:type="dxa"/>
            <w:tcBorders>
              <w:bottom w:val="nil"/>
            </w:tcBorders>
          </w:tcPr>
          <w:p>
            <w:pPr>
              <w:pStyle w:val="103"/>
              <w:jc w:val="center"/>
              <w:rPr>
                <w:lang w:eastAsia="zh-CN"/>
              </w:rPr>
            </w:pPr>
            <w:r>
              <w:t>N/A for Maximum Power Reduction (MPR) test case</w:t>
            </w:r>
          </w:p>
        </w:tc>
        <w:tc>
          <w:tcPr>
            <w:tcW w:w="1559" w:type="dxa"/>
          </w:tcPr>
          <w:p>
            <w:pPr>
              <w:pStyle w:val="104"/>
            </w:pPr>
            <w:r>
              <w:rPr>
                <w:rFonts w:eastAsia="微软雅黑"/>
                <w:lang w:eastAsia="zh-CN"/>
              </w:rPr>
              <w:t>Modulation</w:t>
            </w:r>
          </w:p>
        </w:tc>
        <w:tc>
          <w:tcPr>
            <w:tcW w:w="1701" w:type="dxa"/>
          </w:tcPr>
          <w:p>
            <w:pPr>
              <w:pStyle w:val="104"/>
              <w:rPr>
                <w:lang w:eastAsia="zh-CN"/>
              </w:rPr>
            </w:pPr>
            <w:r>
              <w:rPr>
                <w:rFonts w:eastAsia="微软雅黑"/>
                <w:lang w:eastAsia="zh-CN"/>
              </w:rPr>
              <w:t>N</w:t>
            </w:r>
            <w:r>
              <w:rPr>
                <w:rFonts w:eastAsia="微软雅黑"/>
                <w:vertAlign w:val="subscript"/>
                <w:lang w:eastAsia="zh-CN"/>
              </w:rPr>
              <w:t>tones</w:t>
            </w:r>
          </w:p>
        </w:tc>
        <w:tc>
          <w:tcPr>
            <w:tcW w:w="1952" w:type="dxa"/>
          </w:tcPr>
          <w:p>
            <w:pPr>
              <w:pStyle w:val="104"/>
              <w:rPr>
                <w:lang w:eastAsia="zh-CN"/>
              </w:rPr>
            </w:pPr>
            <w:r>
              <w:rPr>
                <w:rFonts w:eastAsia="微软雅黑"/>
                <w:lang w:eastAsia="zh-CN"/>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1</w:t>
            </w:r>
          </w:p>
        </w:tc>
        <w:tc>
          <w:tcPr>
            <w:tcW w:w="2268" w:type="dxa"/>
            <w:tcBorders>
              <w:top w:val="nil"/>
              <w:bottom w:val="nil"/>
            </w:tcBorders>
          </w:tcPr>
          <w:p>
            <w:pPr>
              <w:pStyle w:val="105"/>
            </w:pPr>
          </w:p>
        </w:tc>
        <w:tc>
          <w:tcPr>
            <w:tcW w:w="1559" w:type="dxa"/>
          </w:tcPr>
          <w:p>
            <w:pPr>
              <w:pStyle w:val="105"/>
            </w:pPr>
            <w:r>
              <w:t>QPSK</w:t>
            </w:r>
          </w:p>
        </w:tc>
        <w:tc>
          <w:tcPr>
            <w:tcW w:w="1701" w:type="dxa"/>
          </w:tcPr>
          <w:p>
            <w:pPr>
              <w:pStyle w:val="105"/>
            </w:pPr>
            <w:r>
              <w:t>1@0</w:t>
            </w:r>
          </w:p>
        </w:tc>
        <w:tc>
          <w:tcPr>
            <w:tcW w:w="1952" w:type="dxa"/>
          </w:tcPr>
          <w:p>
            <w:pPr>
              <w:pStyle w:val="105"/>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2</w:t>
            </w:r>
          </w:p>
        </w:tc>
        <w:tc>
          <w:tcPr>
            <w:tcW w:w="2268" w:type="dxa"/>
            <w:tcBorders>
              <w:top w:val="nil"/>
              <w:bottom w:val="nil"/>
            </w:tcBorders>
          </w:tcPr>
          <w:p>
            <w:pPr>
              <w:pStyle w:val="105"/>
            </w:pPr>
          </w:p>
        </w:tc>
        <w:tc>
          <w:tcPr>
            <w:tcW w:w="1559" w:type="dxa"/>
          </w:tcPr>
          <w:p>
            <w:pPr>
              <w:pStyle w:val="105"/>
            </w:pPr>
            <w:r>
              <w:t>QPSK</w:t>
            </w:r>
          </w:p>
        </w:tc>
        <w:tc>
          <w:tcPr>
            <w:tcW w:w="1701" w:type="dxa"/>
          </w:tcPr>
          <w:p>
            <w:pPr>
              <w:pStyle w:val="105"/>
            </w:pPr>
            <w:r>
              <w:t>1@47</w:t>
            </w:r>
          </w:p>
        </w:tc>
        <w:tc>
          <w:tcPr>
            <w:tcW w:w="1952" w:type="dxa"/>
          </w:tcPr>
          <w:p>
            <w:pPr>
              <w:pStyle w:val="105"/>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3</w:t>
            </w:r>
          </w:p>
        </w:tc>
        <w:tc>
          <w:tcPr>
            <w:tcW w:w="2268" w:type="dxa"/>
            <w:tcBorders>
              <w:top w:val="nil"/>
              <w:bottom w:val="nil"/>
            </w:tcBorders>
          </w:tcPr>
          <w:p>
            <w:pPr>
              <w:pStyle w:val="105"/>
            </w:pPr>
          </w:p>
        </w:tc>
        <w:tc>
          <w:tcPr>
            <w:tcW w:w="1559" w:type="dxa"/>
          </w:tcPr>
          <w:p>
            <w:pPr>
              <w:pStyle w:val="105"/>
            </w:pPr>
            <w:r>
              <w:t>BPSK</w:t>
            </w:r>
          </w:p>
        </w:tc>
        <w:tc>
          <w:tcPr>
            <w:tcW w:w="1701" w:type="dxa"/>
          </w:tcPr>
          <w:p>
            <w:pPr>
              <w:pStyle w:val="105"/>
            </w:pPr>
            <w:r>
              <w:t>1@0</w:t>
            </w:r>
          </w:p>
        </w:tc>
        <w:tc>
          <w:tcPr>
            <w:tcW w:w="1952"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4</w:t>
            </w:r>
          </w:p>
        </w:tc>
        <w:tc>
          <w:tcPr>
            <w:tcW w:w="2268" w:type="dxa"/>
            <w:tcBorders>
              <w:top w:val="nil"/>
              <w:bottom w:val="nil"/>
            </w:tcBorders>
          </w:tcPr>
          <w:p>
            <w:pPr>
              <w:pStyle w:val="105"/>
            </w:pPr>
          </w:p>
        </w:tc>
        <w:tc>
          <w:tcPr>
            <w:tcW w:w="1559" w:type="dxa"/>
          </w:tcPr>
          <w:p>
            <w:pPr>
              <w:pStyle w:val="105"/>
            </w:pPr>
            <w:r>
              <w:t>BPSK</w:t>
            </w:r>
          </w:p>
        </w:tc>
        <w:tc>
          <w:tcPr>
            <w:tcW w:w="1701" w:type="dxa"/>
          </w:tcPr>
          <w:p>
            <w:pPr>
              <w:pStyle w:val="105"/>
            </w:pPr>
            <w:r>
              <w:t>1@11</w:t>
            </w:r>
          </w:p>
        </w:tc>
        <w:tc>
          <w:tcPr>
            <w:tcW w:w="1952"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5</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pPr>
            <w:r>
              <w:t>QPSK</w:t>
            </w:r>
          </w:p>
        </w:tc>
        <w:tc>
          <w:tcPr>
            <w:tcW w:w="1701" w:type="dxa"/>
          </w:tcPr>
          <w:p>
            <w:pPr>
              <w:pStyle w:val="105"/>
            </w:pPr>
            <w:r>
              <w:t>3@0</w:t>
            </w:r>
          </w:p>
        </w:tc>
        <w:tc>
          <w:tcPr>
            <w:tcW w:w="1952"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6</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3@3</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7</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3@9</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8</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6@0</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9</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6@6</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10</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12@0</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rPr>
                <w:rFonts w:eastAsiaTheme="minorEastAsia"/>
                <w:lang w:eastAsia="zh-CN"/>
              </w:rPr>
            </w:pPr>
            <w:r>
              <w:t>NOTE 1:</w:t>
            </w:r>
            <w:r>
              <w:tab/>
            </w:r>
            <w:r>
              <w:t>Applicable to UE supporting UL multi-tone transmissions.</w:t>
            </w:r>
          </w:p>
        </w:tc>
      </w:tr>
    </w:tbl>
    <w:p/>
    <w:p>
      <w:pPr>
        <w:pStyle w:val="111"/>
        <w:overflowPunct w:val="0"/>
        <w:autoSpaceDE w:val="0"/>
        <w:autoSpaceDN w:val="0"/>
        <w:adjustRightInd w:val="0"/>
        <w:contextualSpacing w:val="0"/>
        <w:textAlignment w:val="baseline"/>
      </w:pPr>
      <w:r>
        <w:t>1.</w:t>
      </w:r>
      <w:r>
        <w:tab/>
      </w:r>
      <w:r>
        <w:t xml:space="preserve">Connect the SS to the UE antenna connectors as shown in </w:t>
      </w:r>
      <w:r>
        <w:rPr>
          <w:lang w:eastAsia="zh-CN"/>
        </w:rPr>
        <w:t>TS 36.508 [12] Annex A Figure A.3</w:t>
      </w:r>
      <w:r>
        <w:t xml:space="preserve"> using only main UE Tx/Rx antenna.</w:t>
      </w:r>
    </w:p>
    <w:p>
      <w:pPr>
        <w:pStyle w:val="111"/>
        <w:overflowPunct w:val="0"/>
        <w:autoSpaceDE w:val="0"/>
        <w:autoSpaceDN w:val="0"/>
        <w:adjustRightInd w:val="0"/>
        <w:contextualSpacing w:val="0"/>
        <w:textAlignment w:val="baseline"/>
      </w:pPr>
      <w:r>
        <w:t>2.</w:t>
      </w:r>
      <w:r>
        <w:tab/>
      </w:r>
      <w:r>
        <w:t>The parameter settings for the cell are set up according to TS 36.508 [12] subclause 8.1.4.3.</w:t>
      </w:r>
    </w:p>
    <w:p>
      <w:pPr>
        <w:pStyle w:val="111"/>
        <w:overflowPunct w:val="0"/>
        <w:autoSpaceDE w:val="0"/>
        <w:autoSpaceDN w:val="0"/>
        <w:adjustRightInd w:val="0"/>
        <w:contextualSpacing w:val="0"/>
        <w:textAlignment w:val="baseline"/>
      </w:pPr>
      <w:r>
        <w:t>3.</w:t>
      </w:r>
      <w:r>
        <w:tab/>
      </w:r>
      <w: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pPr>
      <w:r>
        <w:t>4.</w:t>
      </w:r>
      <w:r>
        <w:tab/>
      </w:r>
      <w:r>
        <w:t>The UL Reference Measurement channels are set according to Table 6.2B.2.4.1-1.</w:t>
      </w:r>
    </w:p>
    <w:p>
      <w:pPr>
        <w:pStyle w:val="111"/>
        <w:overflowPunct w:val="0"/>
        <w:autoSpaceDE w:val="0"/>
        <w:autoSpaceDN w:val="0"/>
        <w:adjustRightInd w:val="0"/>
        <w:contextualSpacing w:val="0"/>
        <w:textAlignment w:val="baseline"/>
      </w:pPr>
      <w:r>
        <w:rPr>
          <w:rFonts w:hint="eastAsia"/>
        </w:rPr>
        <w:t>5.</w:t>
      </w:r>
      <w:r>
        <w:rPr>
          <w:rFonts w:hint="eastAsia"/>
        </w:rPr>
        <w:tab/>
      </w:r>
      <w:r>
        <w:rPr>
          <w:rFonts w:hint="eastAsia"/>
        </w:rPr>
        <w:t xml:space="preserve">UE location according to TS 36.508 [12] clause </w:t>
      </w:r>
      <w:r>
        <w:t>8</w:t>
      </w:r>
      <w:r>
        <w:rPr>
          <w:rFonts w:hint="eastAsia"/>
        </w:rPr>
        <w:t>.</w:t>
      </w:r>
      <w:r>
        <w:t>2.6.1</w:t>
      </w:r>
      <w:r>
        <w:rPr>
          <w:rFonts w:hint="eastAsia"/>
        </w:rPr>
        <w:t xml:space="preserve"> is provided to the UE through any preconfigured means </w:t>
      </w:r>
    </w:p>
    <w:p>
      <w:pPr>
        <w:pStyle w:val="111"/>
        <w:overflowPunct w:val="0"/>
        <w:autoSpaceDE w:val="0"/>
        <w:autoSpaceDN w:val="0"/>
        <w:adjustRightInd w:val="0"/>
        <w:contextualSpacing w:val="0"/>
        <w:textAlignment w:val="baseline"/>
      </w:pPr>
      <w:r>
        <w:rPr>
          <w:rFonts w:hint="eastAsia"/>
        </w:rPr>
        <w:t>6.</w:t>
      </w:r>
      <w:r>
        <w:rPr>
          <w:rFonts w:hint="eastAsia"/>
        </w:rPr>
        <w:tab/>
      </w:r>
      <w:r>
        <w:t>Test equipment shall emul</w:t>
      </w:r>
      <w:r>
        <w:rPr>
          <w:color w:val="000000" w:themeColor="text1"/>
          <w14:textFill>
            <w14:solidFill>
              <w14:schemeClr w14:val="tx1"/>
            </w14:solidFill>
          </w14:textFill>
        </w:rPr>
        <w:t xml:space="preserve">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w:t>
      </w:r>
      <w:r>
        <w:t xml:space="preserve">m shall send same SIB31-NB information during the duration of the test as define in TS 36.508[12] clause </w:t>
      </w:r>
      <w:r>
        <w:rPr>
          <w:rFonts w:hint="eastAsia"/>
        </w:rPr>
        <w:t>8.2</w:t>
      </w:r>
      <w:r>
        <w:t>.6.3.1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t>7.</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pPr>
      <w:r>
        <w:t>8</w:t>
      </w:r>
      <w:r>
        <w:rPr>
          <w:rFonts w:hint="eastAsia"/>
        </w:rPr>
        <w:t>.</w:t>
      </w:r>
      <w:r>
        <w:rPr>
          <w:rFonts w:hint="eastAsia"/>
        </w:rPr>
        <w:tab/>
      </w:r>
      <w:r>
        <w:rPr>
          <w:rFonts w:hint="eastAsia"/>
        </w:rPr>
        <w:t>Ensure the UE is in State 2A-NB with CP CIoT Optimisation according to TS 36.508 [12] clause 8.1.5. Message contents are defined in clause 6.2.3F.4.3.</w:t>
      </w:r>
    </w:p>
    <w:p>
      <w:pPr>
        <w:pStyle w:val="9"/>
      </w:pPr>
      <w:r>
        <w:t>6.2B.2.4.2</w:t>
      </w:r>
      <w:r>
        <w:tab/>
      </w:r>
      <w:r>
        <w:t>Test procedure</w:t>
      </w:r>
    </w:p>
    <w:p>
      <w:pPr>
        <w:pStyle w:val="111"/>
        <w:overflowPunct w:val="0"/>
        <w:autoSpaceDE w:val="0"/>
        <w:autoSpaceDN w:val="0"/>
        <w:adjustRightInd w:val="0"/>
        <w:contextualSpacing w:val="0"/>
        <w:textAlignment w:val="baseline"/>
      </w:pPr>
      <w:r>
        <w:t>1.</w:t>
      </w:r>
      <w:r>
        <w:tab/>
      </w:r>
      <w:r>
        <w:t>S</w:t>
      </w:r>
      <w:r>
        <w:rPr>
          <w:lang w:eastAsia="zh-CN"/>
        </w:rPr>
        <w:t xml:space="preserve">S sends uplink scheduling information via NPDCCH DCI format N0 for C_RNTI to schedule the UL RMC according to Table </w:t>
      </w:r>
      <w:r>
        <w:t>6.2B.2.4.1-1 and with scheduling pattern and repetitions according to Annex A.2. Since the UE has no payload and no loopback data to send the UE sends uplink MAC padding bits on the UL RMC.</w:t>
      </w:r>
    </w:p>
    <w:p>
      <w:pPr>
        <w:pStyle w:val="111"/>
        <w:overflowPunct w:val="0"/>
        <w:autoSpaceDE w:val="0"/>
        <w:autoSpaceDN w:val="0"/>
        <w:adjustRightInd w:val="0"/>
        <w:contextualSpacing w:val="0"/>
        <w:textAlignment w:val="baseline"/>
      </w:pPr>
      <w:r>
        <w:t>2.</w:t>
      </w:r>
      <w:r>
        <w:tab/>
      </w:r>
      <w:r>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TDD slots with transient periods are not under test.</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6.2B.2.4.3</w:t>
      </w:r>
      <w:r>
        <w:tab/>
      </w:r>
      <w:r>
        <w:t>Message contents</w:t>
      </w:r>
    </w:p>
    <w:p>
      <w:r>
        <w:t>Message contents are according to TS 36.508 [12] subclause 8.1.6.</w:t>
      </w:r>
    </w:p>
    <w:p>
      <w:pPr>
        <w:pStyle w:val="9"/>
      </w:pPr>
      <w:r>
        <w:t>6.2B.2.4.4</w:t>
      </w:r>
      <w:r>
        <w:tab/>
      </w:r>
      <w:r>
        <w:t>Test requirements</w:t>
      </w:r>
    </w:p>
    <w:p>
      <w:r>
        <w:t>The maximum output power derived in step 2 shall be within the range prescribed by the nominal maximum output power and tolerance in Table 6.2B.2.4-1.</w:t>
      </w:r>
    </w:p>
    <w:p>
      <w:pPr>
        <w:pStyle w:val="113"/>
      </w:pPr>
      <w:r>
        <w:t>Table 6.2B.2.4-1: Maximum Power Reduction test requirements Power Class 3 and 5</w:t>
      </w:r>
    </w:p>
    <w:tbl>
      <w:tblPr>
        <w:tblStyle w:val="89"/>
        <w:tblW w:w="0" w:type="auto"/>
        <w:jc w:val="center"/>
        <w:tblLayout w:type="fixed"/>
        <w:tblCellMar>
          <w:top w:w="0" w:type="dxa"/>
          <w:left w:w="70" w:type="dxa"/>
          <w:bottom w:w="0" w:type="dxa"/>
          <w:right w:w="70" w:type="dxa"/>
        </w:tblCellMar>
      </w:tblPr>
      <w:tblGrid>
        <w:gridCol w:w="860"/>
        <w:gridCol w:w="817"/>
        <w:gridCol w:w="8"/>
        <w:gridCol w:w="910"/>
        <w:gridCol w:w="1134"/>
        <w:gridCol w:w="890"/>
        <w:gridCol w:w="6"/>
        <w:gridCol w:w="886"/>
        <w:gridCol w:w="947"/>
        <w:gridCol w:w="1134"/>
        <w:gridCol w:w="854"/>
        <w:gridCol w:w="840"/>
        <w:gridCol w:w="10"/>
      </w:tblGrid>
      <w:tr>
        <w:tblPrEx>
          <w:tblCellMar>
            <w:top w:w="0" w:type="dxa"/>
            <w:left w:w="70" w:type="dxa"/>
            <w:bottom w:w="0" w:type="dxa"/>
            <w:right w:w="70" w:type="dxa"/>
          </w:tblCellMar>
        </w:tblPrEx>
        <w:trPr>
          <w:trHeight w:val="20" w:hRule="atLeast"/>
          <w:jc w:val="center"/>
        </w:trPr>
        <w:tc>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ID</w:t>
            </w:r>
          </w:p>
        </w:tc>
        <w:tc>
          <w:tcPr>
            <w:tcW w:w="8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MPR (dB)</w:t>
            </w:r>
          </w:p>
        </w:tc>
        <w:tc>
          <w:tcPr>
            <w:tcW w:w="383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Power class 3</w:t>
            </w:r>
          </w:p>
        </w:tc>
        <w:tc>
          <w:tcPr>
            <w:tcW w:w="3785" w:type="dxa"/>
            <w:gridSpan w:val="5"/>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20" w:hRule="atLeast"/>
          <w:jc w:val="center"/>
        </w:trPr>
        <w:tc>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8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918"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CMAX,c</w:t>
            </w:r>
            <w:r>
              <w:t xml:space="preserve"> (dBm)</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92"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947"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CMAX,c</w:t>
            </w:r>
            <w:r>
              <w:t xml:space="preserve"> (dBm)</w:t>
            </w:r>
          </w:p>
        </w:tc>
        <w:tc>
          <w:tcPr>
            <w:tcW w:w="1134"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854"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850" w:type="dxa"/>
            <w:gridSpan w:val="2"/>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4</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19.8</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19.5</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6</w:t>
            </w:r>
            <w:r>
              <w:rPr>
                <w:rFonts w:cs="Arial"/>
              </w:rPr>
              <w:t>.</w:t>
            </w:r>
            <w:r>
              <w:rPr>
                <w:rFonts w:cs="Arial"/>
                <w:lang w:eastAsia="zh-CN"/>
              </w:rPr>
              <w:t>8</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6</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7</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19.8</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19.5</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6</w:t>
            </w:r>
            <w:r>
              <w:rPr>
                <w:rFonts w:cs="Arial"/>
              </w:rPr>
              <w:t>.</w:t>
            </w:r>
            <w:r>
              <w:rPr>
                <w:rFonts w:cs="Arial"/>
                <w:lang w:eastAsia="zh-CN"/>
              </w:rPr>
              <w:t>8</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8</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6</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9</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6</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10</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21</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18.3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18</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5</w:t>
            </w:r>
            <w:r>
              <w:rPr>
                <w:rFonts w:cs="Arial"/>
              </w:rPr>
              <w:t>.3</w:t>
            </w:r>
          </w:p>
        </w:tc>
      </w:tr>
      <w:tr>
        <w:tblPrEx>
          <w:tblCellMar>
            <w:top w:w="0" w:type="dxa"/>
            <w:left w:w="70" w:type="dxa"/>
            <w:bottom w:w="0" w:type="dxa"/>
            <w:right w:w="70" w:type="dxa"/>
          </w:tblCellMar>
        </w:tblPrEx>
        <w:trPr>
          <w:trHeight w:val="20" w:hRule="atLeast"/>
          <w:jc w:val="center"/>
        </w:trPr>
        <w:tc>
          <w:tcPr>
            <w:tcW w:w="9296" w:type="dxa"/>
            <w:gridSpan w:val="13"/>
            <w:tcBorders>
              <w:top w:val="single" w:color="auto" w:sz="4" w:space="0"/>
              <w:left w:val="single" w:color="auto" w:sz="8" w:space="0"/>
              <w:bottom w:val="single" w:color="auto" w:sz="4" w:space="0"/>
              <w:right w:val="single" w:color="auto" w:sz="4" w:space="0"/>
            </w:tcBorders>
            <w:shd w:val="clear" w:color="auto" w:fill="auto"/>
            <w:vAlign w:val="center"/>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36.101 [7]  clause 6.2.5F</w:t>
            </w:r>
          </w:p>
        </w:tc>
      </w:tr>
    </w:tbl>
    <w:p/>
    <w:p>
      <w:pPr>
        <w:pStyle w:val="5"/>
      </w:pPr>
      <w:bookmarkStart w:id="452" w:name="_Toc10934"/>
      <w:bookmarkStart w:id="453" w:name="_Toc18962"/>
      <w:bookmarkStart w:id="454" w:name="_Toc120570032"/>
      <w:bookmarkStart w:id="455" w:name="_Toc29890"/>
      <w:bookmarkStart w:id="456" w:name="_Toc19178"/>
      <w:bookmarkStart w:id="457" w:name="_Toc12744"/>
      <w:bookmarkStart w:id="458" w:name="_Toc7990"/>
      <w:bookmarkStart w:id="459" w:name="_Toc121162824"/>
      <w:bookmarkStart w:id="460" w:name="_Toc21538"/>
      <w:r>
        <w:t>6.2B.3</w:t>
      </w:r>
      <w:r>
        <w:tab/>
      </w:r>
      <w:r>
        <w:t>UE additional maximum output power reduction for category NB1 and NB2 UE</w:t>
      </w:r>
      <w:bookmarkEnd w:id="451"/>
      <w:bookmarkEnd w:id="452"/>
      <w:bookmarkEnd w:id="453"/>
      <w:bookmarkEnd w:id="454"/>
      <w:bookmarkEnd w:id="455"/>
      <w:bookmarkEnd w:id="456"/>
      <w:bookmarkEnd w:id="457"/>
      <w:bookmarkEnd w:id="458"/>
      <w:bookmarkEnd w:id="459"/>
      <w:bookmarkEnd w:id="460"/>
    </w:p>
    <w:p>
      <w:pPr>
        <w:pStyle w:val="112"/>
        <w:rPr>
          <w:lang w:val="en-US"/>
        </w:rPr>
      </w:pPr>
      <w:r>
        <w:t>Editor’s Note: Addition to applicability spec is pending.</w:t>
      </w:r>
    </w:p>
    <w:p>
      <w:pPr>
        <w:pStyle w:val="9"/>
      </w:pPr>
      <w:r>
        <w:t>6.2B.3.1</w:t>
      </w:r>
      <w:r>
        <w:tab/>
      </w:r>
      <w:r>
        <w:t>Test purpose</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Pr>
          <w:lang w:eastAsia="ja-JP"/>
        </w:rPr>
        <w:t>.1</w:t>
      </w:r>
      <w:r>
        <w:t>-1. Unless stated otherwise, an A-MPR of 0 dB shall be used.</w:t>
      </w:r>
    </w:p>
    <w:p>
      <w:pPr>
        <w:pStyle w:val="9"/>
      </w:pPr>
      <w:r>
        <w:t>6.2B.3.2</w:t>
      </w:r>
      <w:r>
        <w:tab/>
      </w:r>
      <w:r>
        <w:t>Test applicability</w:t>
      </w:r>
    </w:p>
    <w:p>
      <w:r>
        <w:t>The requirements of this test apply in test case 6.5A.4.4 Additional Spurious Emissions for network signalled values NS_02N and NS_24 to all types of NB-IOT NTN UE release 17 and forward of UE category NB1 and NB2 that support satellite access operation.</w:t>
      </w:r>
    </w:p>
    <w:p>
      <w:pPr>
        <w:pStyle w:val="9"/>
      </w:pPr>
      <w:r>
        <w:t>6.2B.3.3</w:t>
      </w:r>
      <w:r>
        <w:tab/>
      </w:r>
      <w:r>
        <w:t>Minimum conformance requirements</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r>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pPr>
        <w:pStyle w:val="113"/>
      </w:pPr>
      <w:r>
        <w:t>Table 6.2B.3.3-1: Additional Maximum Power Reduction (A-MPR) for category NB1 and NB2 UE</w:t>
      </w:r>
    </w:p>
    <w:tbl>
      <w:tblPr>
        <w:tblStyle w:val="89"/>
        <w:tblW w:w="56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0"/>
        <w:gridCol w:w="1509"/>
        <w:gridCol w:w="1644"/>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1100" w:type="dxa"/>
          </w:tcPr>
          <w:p>
            <w:pPr>
              <w:pStyle w:val="104"/>
              <w:rPr>
                <w:rFonts w:cs="Arial"/>
              </w:rPr>
            </w:pPr>
            <w:r>
              <w:rPr>
                <w:rFonts w:cs="Arial"/>
              </w:rPr>
              <w:t>Network Signalling value</w:t>
            </w:r>
          </w:p>
        </w:tc>
        <w:tc>
          <w:tcPr>
            <w:tcW w:w="1509" w:type="dxa"/>
            <w:shd w:val="clear" w:color="auto" w:fill="auto"/>
          </w:tcPr>
          <w:p>
            <w:pPr>
              <w:pStyle w:val="104"/>
              <w:rPr>
                <w:rFonts w:cs="Arial"/>
              </w:rPr>
            </w:pPr>
            <w:r>
              <w:rPr>
                <w:rFonts w:cs="Arial"/>
              </w:rPr>
              <w:t>Requirements (subclause)</w:t>
            </w:r>
          </w:p>
        </w:tc>
        <w:tc>
          <w:tcPr>
            <w:tcW w:w="1644" w:type="dxa"/>
            <w:shd w:val="clear" w:color="auto" w:fill="auto"/>
          </w:tcPr>
          <w:p>
            <w:pPr>
              <w:pStyle w:val="104"/>
              <w:rPr>
                <w:rFonts w:cs="Arial"/>
              </w:rPr>
            </w:pPr>
            <w:r>
              <w:rPr>
                <w:rFonts w:cs="Arial"/>
              </w:rPr>
              <w:t>NB-IOT NTN Band</w:t>
            </w:r>
          </w:p>
        </w:tc>
        <w:tc>
          <w:tcPr>
            <w:tcW w:w="1417" w:type="dxa"/>
          </w:tcPr>
          <w:p>
            <w:pPr>
              <w:pStyle w:val="104"/>
              <w:rPr>
                <w:rFonts w:cs="Arial"/>
              </w:rPr>
            </w:pPr>
            <w:r>
              <w:rPr>
                <w:rFonts w:cs="Arial"/>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rPr>
                <w:rFonts w:cs="Arial"/>
              </w:rPr>
            </w:pPr>
            <w:r>
              <w:rPr>
                <w:rFonts w:cs="Arial"/>
              </w:rPr>
              <w:t>NS_01</w:t>
            </w:r>
          </w:p>
        </w:tc>
        <w:tc>
          <w:tcPr>
            <w:tcW w:w="1509" w:type="dxa"/>
            <w:shd w:val="clear" w:color="auto" w:fill="auto"/>
            <w:vAlign w:val="center"/>
          </w:tcPr>
          <w:p>
            <w:pPr>
              <w:pStyle w:val="105"/>
              <w:rPr>
                <w:rFonts w:cs="Arial"/>
              </w:rPr>
            </w:pPr>
            <w:r>
              <w:t>6.5B.4.2</w:t>
            </w:r>
          </w:p>
        </w:tc>
        <w:tc>
          <w:tcPr>
            <w:tcW w:w="1644" w:type="dxa"/>
            <w:shd w:val="clear" w:color="auto" w:fill="auto"/>
            <w:vAlign w:val="center"/>
          </w:tcPr>
          <w:p>
            <w:pPr>
              <w:pStyle w:val="105"/>
              <w:rPr>
                <w:rFonts w:cs="Arial"/>
              </w:rPr>
            </w:pPr>
            <w:r>
              <w:t>Table 5.2-1</w:t>
            </w:r>
          </w:p>
        </w:tc>
        <w:tc>
          <w:tcPr>
            <w:tcW w:w="1417" w:type="dxa"/>
            <w:vAlign w:val="center"/>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rPr>
                <w:rFonts w:cs="Arial"/>
              </w:rPr>
            </w:pPr>
            <w:r>
              <w:rPr>
                <w:rFonts w:cs="Arial"/>
              </w:rPr>
              <w:t>NS_02N</w:t>
            </w:r>
          </w:p>
        </w:tc>
        <w:tc>
          <w:tcPr>
            <w:tcW w:w="1509" w:type="dxa"/>
            <w:vAlign w:val="center"/>
          </w:tcPr>
          <w:p>
            <w:pPr>
              <w:pStyle w:val="105"/>
              <w:rPr>
                <w:rFonts w:cs="Arial"/>
              </w:rPr>
            </w:pPr>
            <w:r>
              <w:rPr>
                <w:rFonts w:cs="Arial"/>
              </w:rPr>
              <w:t>6.5B.4.4.2</w:t>
            </w:r>
          </w:p>
        </w:tc>
        <w:tc>
          <w:tcPr>
            <w:tcW w:w="1644" w:type="dxa"/>
            <w:vAlign w:val="center"/>
          </w:tcPr>
          <w:p>
            <w:pPr>
              <w:pStyle w:val="105"/>
              <w:rPr>
                <w:rFonts w:cs="Arial"/>
              </w:rPr>
            </w:pPr>
            <w:r>
              <w:rPr>
                <w:rFonts w:cs="Arial"/>
              </w:rPr>
              <w:t>255</w:t>
            </w:r>
          </w:p>
        </w:tc>
        <w:tc>
          <w:tcPr>
            <w:tcW w:w="1417" w:type="dxa"/>
            <w:vAlign w:val="center"/>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rPr>
                <w:rFonts w:cs="Arial"/>
              </w:rPr>
            </w:pPr>
            <w:r>
              <w:rPr>
                <w:rFonts w:cs="Arial"/>
              </w:rPr>
              <w:t>NS_24</w:t>
            </w:r>
          </w:p>
        </w:tc>
        <w:tc>
          <w:tcPr>
            <w:tcW w:w="1509" w:type="dxa"/>
            <w:vAlign w:val="center"/>
          </w:tcPr>
          <w:p>
            <w:pPr>
              <w:pStyle w:val="105"/>
              <w:rPr>
                <w:rFonts w:cs="Arial"/>
              </w:rPr>
            </w:pPr>
            <w:r>
              <w:rPr>
                <w:rFonts w:cs="Arial"/>
              </w:rPr>
              <w:t>6.5B.4.4.3</w:t>
            </w:r>
          </w:p>
        </w:tc>
        <w:tc>
          <w:tcPr>
            <w:tcW w:w="1644" w:type="dxa"/>
            <w:vAlign w:val="center"/>
          </w:tcPr>
          <w:p>
            <w:pPr>
              <w:pStyle w:val="105"/>
              <w:rPr>
                <w:rFonts w:cs="Arial"/>
              </w:rPr>
            </w:pPr>
            <w:r>
              <w:t>256</w:t>
            </w:r>
          </w:p>
        </w:tc>
        <w:tc>
          <w:tcPr>
            <w:tcW w:w="1417" w:type="dxa"/>
            <w:vAlign w:val="center"/>
          </w:tcPr>
          <w:p>
            <w:pPr>
              <w:pStyle w:val="105"/>
            </w:pPr>
            <w:r>
              <w:rPr>
                <w:rFonts w:cs="Arial"/>
              </w:rPr>
              <w:t>[3.5]</w:t>
            </w:r>
          </w:p>
        </w:tc>
      </w:tr>
    </w:tbl>
    <w:p/>
    <w:p>
      <w:r>
        <w:t>The normative reference for this requirement is TS 36.102 [11] subclause 6.2B.3</w:t>
      </w:r>
    </w:p>
    <w:p>
      <w:pPr>
        <w:pStyle w:val="9"/>
      </w:pPr>
      <w:r>
        <w:t>6.2B.3.4</w:t>
      </w:r>
      <w:r>
        <w:tab/>
      </w:r>
      <w:r>
        <w:t>Test description</w:t>
      </w:r>
    </w:p>
    <w:p>
      <w:pPr>
        <w:pStyle w:val="9"/>
      </w:pPr>
      <w:r>
        <w:t>6.2B.3.4.1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Pr>
          <w:lang w:eastAsia="ja-JP"/>
        </w:rPr>
        <w:t>2</w:t>
      </w:r>
      <w:r>
        <w:t>. The details of the uplink reference measurement channels (RMCs) are specified in Annex A.2. Configurations of NPDSCH and NPDCCH before measurement are specified in Annex C.2.</w:t>
      </w:r>
    </w:p>
    <w:p>
      <w:pPr>
        <w:pStyle w:val="113"/>
      </w:pPr>
      <w:r>
        <w:t>Table 6.2B.3.4.1-1: Test Configuration Table (network signalled value “NS_02N”)</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w:t>
            </w:r>
            <w:r>
              <w:rPr>
                <w:vertAlign w:val="superscript"/>
              </w:rPr>
              <w:t xml:space="preserve"> </w:t>
            </w:r>
            <w:r>
              <w:t>(Note 1)</w:t>
            </w:r>
          </w:p>
        </w:tc>
        <w:tc>
          <w:tcPr>
            <w:tcW w:w="2365" w:type="dxa"/>
            <w:vMerge w:val="restart"/>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2</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3@3</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3</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3@9</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4</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6@0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5</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6@6</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6</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12@0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pStyle w:val="118"/>
            </w:pPr>
            <w:r>
              <w:t>Note 1:</w:t>
            </w:r>
            <w:r>
              <w:tab/>
            </w:r>
            <w:r>
              <w:t>Applicable to UE supporting UL multi-tone transmissions</w:t>
            </w:r>
          </w:p>
        </w:tc>
      </w:tr>
    </w:tbl>
    <w:p/>
    <w:p>
      <w:pPr>
        <w:pStyle w:val="113"/>
      </w:pPr>
      <w:r>
        <w:t>Table 6.2B.3.4.1-2: Test Configuration Table (network signalled value "NS_24")</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w:t>
            </w:r>
            <w:r>
              <w:rPr>
                <w:vertAlign w:val="superscript"/>
              </w:rPr>
              <w:t xml:space="preserve"> </w:t>
            </w:r>
            <w:r>
              <w:t>(Note 1)</w:t>
            </w:r>
          </w:p>
        </w:tc>
        <w:tc>
          <w:tcPr>
            <w:tcW w:w="2365" w:type="dxa"/>
            <w:vMerge w:val="restart"/>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2</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3@3</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3</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3@9</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4</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6@0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5</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6@6</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6</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12@0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pStyle w:val="118"/>
            </w:pPr>
            <w:r>
              <w:t>Note 1:</w:t>
            </w:r>
            <w:r>
              <w:tab/>
            </w:r>
            <w:r>
              <w:t>Applicable to UE supporting UL multi-tone transmissions</w:t>
            </w:r>
          </w:p>
        </w:tc>
      </w:tr>
    </w:tbl>
    <w:p/>
    <w:p>
      <w:pPr>
        <w:pStyle w:val="111"/>
        <w:overflowPunct w:val="0"/>
        <w:autoSpaceDE w:val="0"/>
        <w:autoSpaceDN w:val="0"/>
        <w:adjustRightInd w:val="0"/>
        <w:contextualSpacing w:val="0"/>
        <w:textAlignment w:val="baseline"/>
        <w:rPr>
          <w:lang w:eastAsia="en-GB"/>
        </w:rPr>
      </w:pPr>
      <w:r>
        <w:rPr>
          <w:lang w:eastAsia="en-GB"/>
        </w:rPr>
        <w:t>1.</w:t>
      </w:r>
      <w:r>
        <w:rPr>
          <w:lang w:eastAsia="en-GB"/>
        </w:rPr>
        <w:tab/>
      </w:r>
      <w:r>
        <w:rPr>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lang w:eastAsia="en-GB"/>
        </w:rPr>
        <w:t>4.</w:t>
      </w:r>
      <w:r>
        <w:rPr>
          <w:lang w:eastAsia="en-GB"/>
        </w:rPr>
        <w:tab/>
      </w:r>
      <w:r>
        <w:rPr>
          <w:lang w:eastAsia="en-GB"/>
        </w:rPr>
        <w:t>The UL Reference Measurement channel is set according to Table 6.2B.3.4.1-1 to Table 6.2B.3.4.1-2.</w:t>
      </w:r>
    </w:p>
    <w:p>
      <w:pPr>
        <w:pStyle w:val="111"/>
        <w:overflowPunct w:val="0"/>
        <w:autoSpaceDE w:val="0"/>
        <w:autoSpaceDN w:val="0"/>
        <w:adjustRightInd w:val="0"/>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lang w:eastAsia="en-GB"/>
        </w:rPr>
        <w:t>6.</w:t>
      </w:r>
      <w:r>
        <w:rPr>
          <w:lang w:eastAsia="en-GB"/>
        </w:rPr>
        <w:tab/>
      </w:r>
      <w:r>
        <w:rPr>
          <w:lang w:eastAsia="en-GB"/>
        </w:rPr>
        <w:t>UE location according to TS 36.508 [12] clause 8.2.6.1 is provided to the UE through any preconfigured means.</w:t>
      </w:r>
    </w:p>
    <w:p>
      <w:pPr>
        <w:pStyle w:val="111"/>
        <w:overflowPunct w:val="0"/>
        <w:autoSpaceDE w:val="0"/>
        <w:autoSpaceDN w:val="0"/>
        <w:adjustRightInd w:val="0"/>
        <w:contextualSpacing w:val="0"/>
        <w:textAlignment w:val="baseline"/>
        <w:rPr>
          <w:rFonts w:eastAsia="宋体"/>
          <w:lang w:val="en-US" w:eastAsia="zh-CN"/>
        </w:rPr>
      </w:pPr>
      <w:r>
        <w:rPr>
          <w:rFonts w:hint="eastAsia"/>
          <w:lang w:eastAsia="en-GB"/>
        </w:rPr>
        <w:t>7.</w:t>
      </w:r>
      <w:r>
        <w:rPr>
          <w:rFonts w:hint="eastAsia"/>
          <w:lang w:eastAsia="en-GB"/>
        </w:rPr>
        <w:tab/>
      </w:r>
      <w:r>
        <w:t xml:space="preserve"> Test equipment shall e</w:t>
      </w:r>
      <w:r>
        <w:rPr>
          <w:color w:val="000000" w:themeColor="text1"/>
          <w14:textFill>
            <w14:solidFill>
              <w14:schemeClr w14:val="tx1"/>
            </w14:solidFill>
          </w14:textFill>
        </w:rPr>
        <w:t xml:space="preserve">mulate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w:t>
      </w:r>
      <w:r>
        <w:t xml:space="preserve">uring the duration of the test as define in TS 36.508[12] clause </w:t>
      </w:r>
      <w:r>
        <w:rPr>
          <w:rFonts w:hint="eastAsia"/>
        </w:rPr>
        <w:t>8.2</w:t>
      </w:r>
      <w:r>
        <w:t>.6.3.1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2A-NB with CP CIoT Optimisation according to TS 36.508 [12] clause8.1.5. Message contents are defined in clause 6.2B.3.4.3.</w:t>
      </w:r>
    </w:p>
    <w:p>
      <w:pPr>
        <w:pStyle w:val="9"/>
      </w:pPr>
      <w:r>
        <w:t>6.2B.3.4.2</w:t>
      </w:r>
      <w:r>
        <w:tab/>
      </w:r>
      <w:r>
        <w:t>Test procedure</w:t>
      </w:r>
    </w:p>
    <w:p>
      <w:pPr>
        <w:pStyle w:val="111"/>
        <w:overflowPunct w:val="0"/>
        <w:autoSpaceDE w:val="0"/>
        <w:autoSpaceDN w:val="0"/>
        <w:adjustRightInd w:val="0"/>
        <w:contextualSpacing w:val="0"/>
        <w:textAlignment w:val="baseline"/>
        <w:rPr>
          <w:lang w:eastAsia="en-GB"/>
        </w:rPr>
      </w:pPr>
      <w:r>
        <w:rPr>
          <w:lang w:eastAsia="en-GB"/>
        </w:rPr>
        <w:t>1.</w:t>
      </w:r>
      <w:r>
        <w:rPr>
          <w:lang w:eastAsia="en-GB"/>
        </w:rPr>
        <w:tab/>
      </w:r>
      <w:r>
        <w:rPr>
          <w:lang w:eastAsia="en-GB"/>
        </w:rPr>
        <w:t>SS sends uplink scheduling information for each UL HARQ process via N-PDCCH DCI format N0 for C_RNTI to schedule the UL RMC according to the applicable table from Table 6.2B.3.4.1-1 to Table 6.2B.3.4.1-2.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lang w:eastAsia="en-GB"/>
        </w:rPr>
        <w:t>2.</w:t>
      </w:r>
      <w:r>
        <w:rPr>
          <w:lang w:eastAsia="en-GB"/>
        </w:rPr>
        <w:tab/>
      </w:r>
      <w:r>
        <w:rPr>
          <w:lang w:eastAsia="en-GB"/>
        </w:rPr>
        <w:t>Send continuously uplink power control "up" commands in the uplink scheduling information to the UE until the UE transmits at PUMAX level.</w:t>
      </w:r>
    </w:p>
    <w:p>
      <w:pPr>
        <w:pStyle w:val="111"/>
        <w:overflowPunct w:val="0"/>
        <w:autoSpaceDE w:val="0"/>
        <w:autoSpaceDN w:val="0"/>
        <w:adjustRightInd w:val="0"/>
        <w:contextualSpacing w:val="0"/>
        <w:textAlignment w:val="baseline"/>
        <w:rPr>
          <w:lang w:eastAsia="en-GB"/>
        </w:rPr>
      </w:pPr>
      <w:r>
        <w:rPr>
          <w:lang w:eastAsia="en-GB"/>
        </w:rPr>
        <w:t>3.</w:t>
      </w:r>
      <w:r>
        <w:rPr>
          <w:lang w:eastAsia="en-GB"/>
        </w:rPr>
        <w:tab/>
      </w:r>
      <w:r>
        <w:rPr>
          <w:lang w:eastAsia="en-GB"/>
        </w:rPr>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HD-FDD slots with transient periods and Half-duplex guard subframe are not under test.</w:t>
      </w:r>
    </w:p>
    <w:p>
      <w:pPr>
        <w:pStyle w:val="9"/>
        <w:rPr>
          <w:snapToGrid w:val="0"/>
        </w:rPr>
      </w:pPr>
      <w:r>
        <w:t>6.2B.3.4.3</w:t>
      </w:r>
      <w:r>
        <w:tab/>
      </w:r>
      <w:r>
        <w:rPr>
          <w:snapToGrid w:val="0"/>
        </w:rPr>
        <w:t>Message contents</w:t>
      </w:r>
    </w:p>
    <w:p>
      <w:r>
        <w:t>Message contents are according to TS 36.508 [12] subclause 8.1.6 and with the following exceptions for each network signalled value.</w:t>
      </w:r>
    </w:p>
    <w:p>
      <w:pPr>
        <w:pStyle w:val="9"/>
      </w:pPr>
      <w:r>
        <w:t>6.2B.3.4.3.1</w:t>
      </w:r>
      <w:r>
        <w:tab/>
      </w:r>
      <w:r>
        <w:t>Message contents exceptions (network signalled value “NS_02N”)</w:t>
      </w:r>
    </w:p>
    <w:p>
      <w:r>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6.2B.3.4.3.1</w:t>
      </w:r>
      <w:r>
        <w:t xml:space="preserve">-1: </w:t>
      </w:r>
      <w:r>
        <w:rPr>
          <w:i/>
        </w:rPr>
        <w:t>SystemInformationBlockType2</w:t>
      </w:r>
      <w:r>
        <w:t>: Additional spurious emissions test requirement for “NS_02N”</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527" w:type="dxa"/>
            <w:gridSpan w:val="4"/>
          </w:tcPr>
          <w:p>
            <w:pPr>
              <w:pStyle w:val="103"/>
            </w:pPr>
            <w:r>
              <w:t>Derivation Path: TS 36.508 [12] clause 8.1.4.3, Table 8.1.4.3.3-1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3"/>
            </w:pPr>
            <w:r>
              <w:t xml:space="preserve">    additionalSpectrumEmission</w:t>
            </w:r>
          </w:p>
        </w:tc>
        <w:tc>
          <w:tcPr>
            <w:tcW w:w="2267" w:type="dxa"/>
          </w:tcPr>
          <w:p>
            <w:pPr>
              <w:pStyle w:val="103"/>
            </w:pPr>
            <w:r>
              <w:t>2(NS_02N)</w:t>
            </w:r>
          </w:p>
        </w:tc>
        <w:tc>
          <w:tcPr>
            <w:tcW w:w="1700" w:type="dxa"/>
          </w:tcPr>
          <w:p/>
        </w:tc>
        <w:tc>
          <w:tcPr>
            <w:tcW w:w="1133" w:type="dxa"/>
          </w:tcPr>
          <w:p>
            <w:pPr>
              <w:pStyle w:val="103"/>
            </w:pPr>
          </w:p>
        </w:tc>
      </w:tr>
    </w:tbl>
    <w:p/>
    <w:p>
      <w:pPr>
        <w:pStyle w:val="9"/>
      </w:pPr>
      <w:r>
        <w:t>6.2B.3.4.3.2</w:t>
      </w:r>
      <w:r>
        <w:tab/>
      </w:r>
      <w:r>
        <w:t>Message contents exceptions (network signalled value "NS_24")</w:t>
      </w:r>
    </w:p>
    <w:p>
      <w:r>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6.2B.3.4.3.2</w:t>
      </w:r>
      <w:r>
        <w:t xml:space="preserve">-1: </w:t>
      </w:r>
      <w:r>
        <w:rPr>
          <w:i/>
        </w:rPr>
        <w:t>SystemInformationBlockType2</w:t>
      </w:r>
      <w:r>
        <w:t>: Additional spurious emissions test requirement for "NS_24"</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7" w:type="dxa"/>
            <w:gridSpan w:val="4"/>
          </w:tcPr>
          <w:p>
            <w:pPr>
              <w:pStyle w:val="103"/>
            </w:pPr>
            <w:r>
              <w:t>Derivation Path: TS 36.508 [12] clause 8.1.4.3, Table 8.1.4.3.3-1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3"/>
            </w:pPr>
            <w:r>
              <w:t xml:space="preserve">    additionalSpectrumEmission</w:t>
            </w:r>
          </w:p>
        </w:tc>
        <w:tc>
          <w:tcPr>
            <w:tcW w:w="2267" w:type="dxa"/>
          </w:tcPr>
          <w:p>
            <w:pPr>
              <w:pStyle w:val="103"/>
            </w:pPr>
            <w:r>
              <w:t>24 (NS_24)</w:t>
            </w:r>
          </w:p>
        </w:tc>
        <w:tc>
          <w:tcPr>
            <w:tcW w:w="1700" w:type="dxa"/>
          </w:tcPr>
          <w:p/>
        </w:tc>
        <w:tc>
          <w:tcPr>
            <w:tcW w:w="1133" w:type="dxa"/>
          </w:tcPr>
          <w:p>
            <w:pPr>
              <w:pStyle w:val="103"/>
            </w:pPr>
          </w:p>
        </w:tc>
      </w:tr>
    </w:tbl>
    <w:p/>
    <w:p>
      <w:pPr>
        <w:pStyle w:val="9"/>
      </w:pPr>
      <w:r>
        <w:t>6.2B.3.5</w:t>
      </w:r>
      <w:r>
        <w:tab/>
      </w:r>
      <w:r>
        <w:t>Test requirement</w:t>
      </w:r>
    </w:p>
    <w:p>
      <w:r>
        <w:t>The maximum output power derived in step 3 shall be within the range prescribed by the nominal maximum output power and tolerance in the applicable table from Table 6.2B.3.5-1 to Table 6.2B.3.5-2. The allowed A-MPR values specified in Table 6.2B.3.3-1 are in addition to the allowed MPR requirements specified in clause 6.2B.3. For the UE maximum output power modified by MPR and/or A-MPR, the power limits specified in TS.36.521-1[14] Table 6.2.5</w:t>
      </w:r>
      <w:r>
        <w:rPr>
          <w:lang w:eastAsia="ja-JP"/>
        </w:rPr>
        <w:t xml:space="preserve"> F</w:t>
      </w:r>
      <w:r>
        <w:t xml:space="preserve">.3-1 </w:t>
      </w:r>
      <w:r>
        <w:rPr>
          <w:lang w:eastAsia="ja-JP"/>
        </w:rPr>
        <w:t xml:space="preserve">and </w:t>
      </w:r>
      <w:r>
        <w:t>6.2.5</w:t>
      </w:r>
      <w:r>
        <w:rPr>
          <w:lang w:eastAsia="ja-JP"/>
        </w:rPr>
        <w:t>F</w:t>
      </w:r>
      <w:r>
        <w:t>.3-</w:t>
      </w:r>
      <w:r>
        <w:rPr>
          <w:lang w:eastAsia="ja-JP"/>
        </w:rPr>
        <w:t xml:space="preserve">2 </w:t>
      </w:r>
      <w:r>
        <w:t>apply.</w:t>
      </w:r>
    </w:p>
    <w:p>
      <w:pPr>
        <w:pStyle w:val="113"/>
      </w:pPr>
      <w:r>
        <w:rPr>
          <w:rFonts w:cs="v5.0.0"/>
        </w:rPr>
        <w:t>Table 6.2B.3.5-</w:t>
      </w:r>
      <w:r>
        <w:t>1</w:t>
      </w:r>
      <w:r>
        <w:rPr>
          <w:rFonts w:cs="v5.0.0"/>
        </w:rPr>
        <w:t xml:space="preserve">: UE Power Class test requirements </w:t>
      </w:r>
      <w:r>
        <w:t>(network signalled value “NS_02N”)</w:t>
      </w:r>
    </w:p>
    <w:tbl>
      <w:tblPr>
        <w:tblStyle w:val="89"/>
        <w:tblW w:w="9573" w:type="dxa"/>
        <w:jc w:val="center"/>
        <w:tblLayout w:type="fixed"/>
        <w:tblCellMar>
          <w:top w:w="0" w:type="dxa"/>
          <w:left w:w="70" w:type="dxa"/>
          <w:bottom w:w="0" w:type="dxa"/>
          <w:right w:w="70" w:type="dxa"/>
        </w:tblCellMar>
      </w:tblPr>
      <w:tblGrid>
        <w:gridCol w:w="860"/>
        <w:gridCol w:w="50"/>
        <w:gridCol w:w="725"/>
        <w:gridCol w:w="567"/>
        <w:gridCol w:w="992"/>
        <w:gridCol w:w="850"/>
        <w:gridCol w:w="993"/>
        <w:gridCol w:w="992"/>
        <w:gridCol w:w="992"/>
        <w:gridCol w:w="851"/>
        <w:gridCol w:w="992"/>
        <w:gridCol w:w="709"/>
      </w:tblGrid>
      <w:tr>
        <w:tblPrEx>
          <w:tblCellMar>
            <w:top w:w="0" w:type="dxa"/>
            <w:left w:w="70" w:type="dxa"/>
            <w:bottom w:w="0" w:type="dxa"/>
            <w:right w:w="70" w:type="dxa"/>
          </w:tblCellMar>
        </w:tblPrEx>
        <w:trPr>
          <w:trHeight w:val="20" w:hRule="atLeast"/>
          <w:jc w:val="center"/>
        </w:trPr>
        <w:tc>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ID</w:t>
            </w:r>
          </w:p>
        </w:tc>
        <w:tc>
          <w:tcPr>
            <w:tcW w:w="775"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MPR (dB)</w:t>
            </w:r>
          </w:p>
        </w:tc>
        <w:tc>
          <w:tcPr>
            <w:tcW w:w="567" w:type="dxa"/>
            <w:vMerge w:val="restart"/>
            <w:tcBorders>
              <w:top w:val="single" w:color="auto" w:sz="4" w:space="0"/>
              <w:left w:val="single" w:color="auto" w:sz="4" w:space="0"/>
              <w:right w:val="single" w:color="auto" w:sz="4" w:space="0"/>
            </w:tcBorders>
          </w:tcPr>
          <w:p>
            <w:pPr>
              <w:pStyle w:val="104"/>
            </w:pPr>
          </w:p>
          <w:p>
            <w:pPr>
              <w:pStyle w:val="104"/>
            </w:pPr>
            <w:r>
              <w:t>A_MPR (dB)</w:t>
            </w:r>
          </w:p>
        </w:tc>
        <w:tc>
          <w:tcPr>
            <w:tcW w:w="3827" w:type="dxa"/>
            <w:gridSpan w:val="4"/>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Power class 3</w:t>
            </w:r>
          </w:p>
        </w:tc>
        <w:tc>
          <w:tcPr>
            <w:tcW w:w="3544" w:type="dxa"/>
            <w:gridSpan w:val="4"/>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20" w:hRule="atLeast"/>
          <w:jc w:val="center"/>
        </w:trPr>
        <w:tc>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75"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567" w:type="dxa"/>
            <w:vMerge w:val="continue"/>
            <w:tcBorders>
              <w:left w:val="single" w:color="auto" w:sz="4" w:space="0"/>
              <w:bottom w:val="single" w:color="auto" w:sz="4" w:space="0"/>
              <w:right w:val="single" w:color="auto" w:sz="4" w:space="0"/>
            </w:tcBorders>
          </w:tcPr>
          <w:p>
            <w:pPr>
              <w:pStyle w:val="104"/>
            </w:pP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CMAX,c</w:t>
            </w:r>
            <w:r>
              <w:t xml:space="preserve">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CMAX,c</w:t>
            </w:r>
            <w:r>
              <w:t xml:space="preserve"> (dBm)</w:t>
            </w:r>
          </w:p>
        </w:tc>
        <w:tc>
          <w:tcPr>
            <w:tcW w:w="851"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567" w:type="dxa"/>
            <w:tcBorders>
              <w:top w:val="single" w:color="auto" w:sz="4" w:space="0"/>
              <w:left w:val="single" w:color="auto" w:sz="4" w:space="0"/>
              <w:bottom w:val="single" w:color="auto" w:sz="4" w:space="0"/>
              <w:right w:val="single" w:color="auto" w:sz="4" w:space="0"/>
            </w:tcBorders>
          </w:tcPr>
          <w:p>
            <w:pPr>
              <w:pStyle w:val="105"/>
            </w:pPr>
            <w:r>
              <w:t>N/A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19.8</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16.8</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17.3</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19.8</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16.8</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4</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16.3</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16.3</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6</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21</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18.3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18</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15.3</w:t>
            </w:r>
          </w:p>
        </w:tc>
      </w:tr>
      <w:tr>
        <w:tblPrEx>
          <w:tblCellMar>
            <w:top w:w="0" w:type="dxa"/>
            <w:left w:w="70" w:type="dxa"/>
            <w:bottom w:w="0" w:type="dxa"/>
            <w:right w:w="70" w:type="dxa"/>
          </w:tblCellMar>
        </w:tblPrEx>
        <w:trPr>
          <w:trHeight w:val="20" w:hRule="atLeast"/>
          <w:jc w:val="center"/>
        </w:trPr>
        <w:tc>
          <w:tcPr>
            <w:tcW w:w="910" w:type="dxa"/>
            <w:gridSpan w:val="2"/>
            <w:tcBorders>
              <w:top w:val="single" w:color="auto" w:sz="4" w:space="0"/>
              <w:left w:val="single" w:color="auto" w:sz="8" w:space="0"/>
              <w:bottom w:val="single" w:color="auto" w:sz="4" w:space="0"/>
              <w:right w:val="single" w:color="auto" w:sz="4" w:space="0"/>
            </w:tcBorders>
          </w:tcPr>
          <w:p>
            <w:pPr>
              <w:pStyle w:val="118"/>
              <w:rPr>
                <w:rFonts w:cs="Arial"/>
                <w:szCs w:val="18"/>
              </w:rPr>
            </w:pPr>
          </w:p>
        </w:tc>
        <w:tc>
          <w:tcPr>
            <w:tcW w:w="8663" w:type="dxa"/>
            <w:gridSpan w:val="10"/>
            <w:tcBorders>
              <w:top w:val="single" w:color="auto" w:sz="4" w:space="0"/>
              <w:left w:val="single" w:color="auto" w:sz="8" w:space="0"/>
              <w:bottom w:val="single" w:color="auto" w:sz="4" w:space="0"/>
              <w:right w:val="single" w:color="auto" w:sz="4" w:space="0"/>
            </w:tcBorders>
            <w:shd w:val="clear" w:color="auto" w:fill="auto"/>
            <w:vAlign w:val="center"/>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36.101 [7]  clause 6.2.5F</w:t>
            </w:r>
          </w:p>
        </w:tc>
      </w:tr>
    </w:tbl>
    <w:p/>
    <w:p>
      <w:pPr>
        <w:pStyle w:val="113"/>
      </w:pPr>
      <w:r>
        <w:rPr>
          <w:rFonts w:cs="v5.0.0"/>
        </w:rPr>
        <w:t>Table 6.2B.3.5-</w:t>
      </w:r>
      <w:r>
        <w:t>2</w:t>
      </w:r>
      <w:r>
        <w:rPr>
          <w:rFonts w:cs="v5.0.0"/>
        </w:rPr>
        <w:t xml:space="preserve">: UE Power Class test requirements </w:t>
      </w:r>
      <w:r>
        <w:t>(network signalled value "NS_24")</w:t>
      </w:r>
    </w:p>
    <w:tbl>
      <w:tblPr>
        <w:tblStyle w:val="89"/>
        <w:tblW w:w="9573" w:type="dxa"/>
        <w:jc w:val="center"/>
        <w:tblLayout w:type="fixed"/>
        <w:tblCellMar>
          <w:top w:w="0" w:type="dxa"/>
          <w:left w:w="70" w:type="dxa"/>
          <w:bottom w:w="0" w:type="dxa"/>
          <w:right w:w="70" w:type="dxa"/>
        </w:tblCellMar>
      </w:tblPr>
      <w:tblGrid>
        <w:gridCol w:w="860"/>
        <w:gridCol w:w="50"/>
        <w:gridCol w:w="725"/>
        <w:gridCol w:w="567"/>
        <w:gridCol w:w="992"/>
        <w:gridCol w:w="850"/>
        <w:gridCol w:w="993"/>
        <w:gridCol w:w="992"/>
        <w:gridCol w:w="992"/>
        <w:gridCol w:w="851"/>
        <w:gridCol w:w="992"/>
        <w:gridCol w:w="709"/>
      </w:tblGrid>
      <w:tr>
        <w:tblPrEx>
          <w:tblCellMar>
            <w:top w:w="0" w:type="dxa"/>
            <w:left w:w="70" w:type="dxa"/>
            <w:bottom w:w="0" w:type="dxa"/>
            <w:right w:w="70" w:type="dxa"/>
          </w:tblCellMar>
        </w:tblPrEx>
        <w:trPr>
          <w:trHeight w:val="20" w:hRule="atLeast"/>
          <w:jc w:val="center"/>
        </w:trPr>
        <w:tc>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ID</w:t>
            </w:r>
          </w:p>
        </w:tc>
        <w:tc>
          <w:tcPr>
            <w:tcW w:w="775"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MPR (dB)</w:t>
            </w:r>
          </w:p>
        </w:tc>
        <w:tc>
          <w:tcPr>
            <w:tcW w:w="567" w:type="dxa"/>
            <w:vMerge w:val="restart"/>
            <w:tcBorders>
              <w:top w:val="single" w:color="auto" w:sz="4" w:space="0"/>
              <w:left w:val="single" w:color="auto" w:sz="4" w:space="0"/>
              <w:right w:val="single" w:color="auto" w:sz="4" w:space="0"/>
            </w:tcBorders>
          </w:tcPr>
          <w:p>
            <w:pPr>
              <w:pStyle w:val="104"/>
            </w:pPr>
          </w:p>
          <w:p>
            <w:pPr>
              <w:pStyle w:val="104"/>
            </w:pPr>
            <w:r>
              <w:t>A_MPR (dB)</w:t>
            </w:r>
          </w:p>
        </w:tc>
        <w:tc>
          <w:tcPr>
            <w:tcW w:w="3827" w:type="dxa"/>
            <w:gridSpan w:val="4"/>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Power class 3</w:t>
            </w:r>
          </w:p>
        </w:tc>
        <w:tc>
          <w:tcPr>
            <w:tcW w:w="3544" w:type="dxa"/>
            <w:gridSpan w:val="4"/>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20" w:hRule="atLeast"/>
          <w:jc w:val="center"/>
        </w:trPr>
        <w:tc>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75"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567" w:type="dxa"/>
            <w:vMerge w:val="continue"/>
            <w:tcBorders>
              <w:left w:val="single" w:color="auto" w:sz="4" w:space="0"/>
              <w:bottom w:val="single" w:color="auto" w:sz="4" w:space="0"/>
              <w:right w:val="single" w:color="auto" w:sz="4" w:space="0"/>
            </w:tcBorders>
          </w:tcPr>
          <w:p>
            <w:pPr>
              <w:pStyle w:val="104"/>
            </w:pP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CMAX,c</w:t>
            </w:r>
            <w:r>
              <w:t xml:space="preserve">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CMAX,c</w:t>
            </w:r>
            <w:r>
              <w:t xml:space="preserve"> (dBm)</w:t>
            </w:r>
          </w:p>
        </w:tc>
        <w:tc>
          <w:tcPr>
            <w:tcW w:w="851"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16.5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5.0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10.8</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16.5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5.0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10.8</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16.5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5.0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10.8</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4</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16.5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5.0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10.8</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16.5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5.0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10.8</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6</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16.5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5.0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10.8</w:t>
            </w:r>
          </w:p>
        </w:tc>
      </w:tr>
      <w:tr>
        <w:tblPrEx>
          <w:tblCellMar>
            <w:top w:w="0" w:type="dxa"/>
            <w:left w:w="70" w:type="dxa"/>
            <w:bottom w:w="0" w:type="dxa"/>
            <w:right w:w="70" w:type="dxa"/>
          </w:tblCellMar>
        </w:tblPrEx>
        <w:trPr>
          <w:trHeight w:val="20" w:hRule="atLeast"/>
          <w:jc w:val="center"/>
        </w:trPr>
        <w:tc>
          <w:tcPr>
            <w:tcW w:w="910" w:type="dxa"/>
            <w:gridSpan w:val="2"/>
            <w:tcBorders>
              <w:top w:val="single" w:color="auto" w:sz="4" w:space="0"/>
              <w:left w:val="single" w:color="auto" w:sz="8" w:space="0"/>
              <w:bottom w:val="single" w:color="auto" w:sz="4" w:space="0"/>
              <w:right w:val="single" w:color="auto" w:sz="4" w:space="0"/>
            </w:tcBorders>
          </w:tcPr>
          <w:p>
            <w:pPr>
              <w:pStyle w:val="118"/>
              <w:rPr>
                <w:rFonts w:cs="Arial"/>
                <w:szCs w:val="18"/>
              </w:rPr>
            </w:pPr>
          </w:p>
        </w:tc>
        <w:tc>
          <w:tcPr>
            <w:tcW w:w="8663" w:type="dxa"/>
            <w:gridSpan w:val="10"/>
            <w:tcBorders>
              <w:top w:val="single" w:color="auto" w:sz="4" w:space="0"/>
              <w:left w:val="single" w:color="auto" w:sz="8" w:space="0"/>
              <w:bottom w:val="single" w:color="auto" w:sz="4" w:space="0"/>
              <w:right w:val="single" w:color="auto" w:sz="4" w:space="0"/>
            </w:tcBorders>
            <w:shd w:val="clear" w:color="auto" w:fill="auto"/>
            <w:vAlign w:val="center"/>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36.101 [7]  clause 6.2.5F</w:t>
            </w:r>
          </w:p>
        </w:tc>
      </w:tr>
    </w:tbl>
    <w:p>
      <w:pPr>
        <w:rPr>
          <w:i/>
          <w:color w:val="FF0000"/>
          <w:lang w:eastAsia="zh-TW"/>
        </w:rPr>
      </w:pPr>
    </w:p>
    <w:p>
      <w:pPr>
        <w:pStyle w:val="5"/>
      </w:pPr>
      <w:bookmarkStart w:id="461" w:name="_Toc408323042"/>
      <w:bookmarkStart w:id="462" w:name="_Toc2180"/>
      <w:bookmarkStart w:id="463" w:name="_Toc16153"/>
      <w:bookmarkStart w:id="464" w:name="_Toc14409"/>
      <w:bookmarkStart w:id="465" w:name="_Toc121162825"/>
      <w:bookmarkStart w:id="466" w:name="_Toc28999"/>
      <w:bookmarkStart w:id="467" w:name="_Toc120570033"/>
      <w:bookmarkStart w:id="468" w:name="_Toc28726"/>
      <w:bookmarkStart w:id="469" w:name="_Toc111062038"/>
      <w:bookmarkStart w:id="470" w:name="_Toc11912"/>
      <w:bookmarkStart w:id="471" w:name="_Toc17982"/>
      <w:r>
        <w:t>6.2B.4</w:t>
      </w:r>
      <w:r>
        <w:tab/>
      </w:r>
      <w:r>
        <w:t>Configured transmitted Power</w:t>
      </w:r>
      <w:bookmarkEnd w:id="461"/>
      <w:r>
        <w:t xml:space="preserve"> for category NB1 and NB2</w:t>
      </w:r>
      <w:bookmarkEnd w:id="462"/>
      <w:bookmarkEnd w:id="463"/>
      <w:bookmarkEnd w:id="464"/>
      <w:bookmarkEnd w:id="465"/>
      <w:bookmarkEnd w:id="466"/>
      <w:bookmarkEnd w:id="467"/>
      <w:bookmarkEnd w:id="468"/>
      <w:bookmarkEnd w:id="469"/>
      <w:bookmarkEnd w:id="470"/>
      <w:bookmarkEnd w:id="471"/>
    </w:p>
    <w:p>
      <w:pPr>
        <w:pStyle w:val="112"/>
        <w:rPr>
          <w:lang w:val="en-US"/>
        </w:rPr>
      </w:pPr>
      <w:r>
        <w:t>Editor’s Note: Addition to applicability spec is pending.</w:t>
      </w:r>
    </w:p>
    <w:p>
      <w:pPr>
        <w:pStyle w:val="9"/>
      </w:pPr>
      <w:r>
        <w:t>6.2B.4.1</w:t>
      </w:r>
      <w:r>
        <w:tab/>
      </w:r>
      <w:r>
        <w:t>Test purpose</w:t>
      </w:r>
    </w:p>
    <w:p>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for the UE power class.</w:t>
      </w:r>
    </w:p>
    <w:p>
      <w:pPr>
        <w:pStyle w:val="9"/>
      </w:pPr>
      <w:r>
        <w:t>6.2B.4.2</w:t>
      </w:r>
      <w:r>
        <w:tab/>
      </w:r>
      <w:r>
        <w:t>Test applicability</w:t>
      </w:r>
    </w:p>
    <w:p>
      <w:pPr>
        <w:rPr>
          <w:lang w:eastAsia="zh-TW"/>
        </w:rPr>
      </w:pPr>
      <w:r>
        <w:t>This test case applies to all types of NB-IoT UE release 17</w:t>
      </w:r>
      <w:r>
        <w:rPr>
          <w:lang w:eastAsia="zh-CN"/>
        </w:rPr>
        <w:t xml:space="preserve"> </w:t>
      </w:r>
      <w:r>
        <w:t>and forward of category NB1 and NB</w:t>
      </w:r>
      <w:r>
        <w:rPr>
          <w:lang w:eastAsia="zh-CN"/>
        </w:rPr>
        <w:t>2 that support satellite access operation</w:t>
      </w:r>
      <w:r>
        <w:t>.</w:t>
      </w:r>
    </w:p>
    <w:p>
      <w:pPr>
        <w:pStyle w:val="9"/>
      </w:pPr>
      <w:r>
        <w:t>6.2B.4.3</w:t>
      </w:r>
      <w:r>
        <w:tab/>
      </w:r>
      <w:r>
        <w:t>Minimum conformance requirements</w:t>
      </w:r>
    </w:p>
    <w:p>
      <w:bookmarkStart w:id="472" w:name="_Hlk128126262"/>
      <w:r>
        <w:t>For category M1 UE, the configured transmitted power requirements in clause 6.2.5F of TS 36.101 [7] shall apply, wherein</w:t>
      </w:r>
    </w:p>
    <w:p>
      <w:pPr>
        <w:pStyle w:val="111"/>
        <w:rPr>
          <w:lang w:eastAsia="zh-CN"/>
        </w:rPr>
      </w:pPr>
      <w:r>
        <w:t>-</w:t>
      </w:r>
      <w:r>
        <w:tab/>
      </w:r>
      <w:r>
        <w:rPr>
          <w:lang w:eastAsia="zh-CN"/>
        </w:rPr>
        <w:t xml:space="preserve">The Maximum output power requirements are specified in </w:t>
      </w:r>
      <w:r>
        <w:t xml:space="preserve">TS 36.102 [11] </w:t>
      </w:r>
      <w:r>
        <w:rPr>
          <w:lang w:eastAsia="zh-CN"/>
        </w:rPr>
        <w:t>subclause 6.2B.1</w:t>
      </w:r>
    </w:p>
    <w:p>
      <w:pPr>
        <w:pStyle w:val="111"/>
        <w:rPr>
          <w:lang w:eastAsia="zh-CN"/>
        </w:rPr>
      </w:pPr>
      <w:r>
        <w:t>-</w:t>
      </w:r>
      <w:r>
        <w:tab/>
      </w:r>
      <w:r>
        <w:rPr>
          <w:lang w:eastAsia="zh-CN"/>
        </w:rPr>
        <w:t xml:space="preserve">The MPR requirements are specified in </w:t>
      </w:r>
      <w:r>
        <w:t xml:space="preserve">TS 36.102 [11] </w:t>
      </w:r>
      <w:r>
        <w:rPr>
          <w:lang w:eastAsia="zh-CN"/>
        </w:rPr>
        <w:t>subclause 6.2</w:t>
      </w:r>
      <w:r>
        <w:rPr>
          <w:lang w:eastAsia="zh-TW"/>
        </w:rPr>
        <w:t>B</w:t>
      </w:r>
      <w:r>
        <w:rPr>
          <w:lang w:eastAsia="zh-CN"/>
        </w:rPr>
        <w:t>.2</w:t>
      </w:r>
    </w:p>
    <w:p>
      <w:pPr>
        <w:pStyle w:val="111"/>
        <w:rPr>
          <w:lang w:eastAsia="zh-CN"/>
        </w:rPr>
      </w:pPr>
      <w:r>
        <w:rPr>
          <w:lang w:eastAsia="zh-CN"/>
        </w:rPr>
        <w:t>-</w:t>
      </w:r>
      <w:r>
        <w:rPr>
          <w:lang w:eastAsia="zh-CN"/>
        </w:rPr>
        <w:tab/>
      </w:r>
      <w:r>
        <w:rPr>
          <w:lang w:eastAsia="zh-CN"/>
        </w:rPr>
        <w:t xml:space="preserve">The A-MPR requirements are specified in </w:t>
      </w:r>
      <w:r>
        <w:t xml:space="preserve">TS 36.102 [11] </w:t>
      </w:r>
      <w:r>
        <w:rPr>
          <w:lang w:eastAsia="zh-CN"/>
        </w:rPr>
        <w:t>subclause 6.2</w:t>
      </w:r>
      <w:r>
        <w:rPr>
          <w:lang w:eastAsia="zh-TW"/>
        </w:rPr>
        <w:t>B</w:t>
      </w:r>
      <w:r>
        <w:rPr>
          <w:lang w:eastAsia="zh-CN"/>
        </w:rPr>
        <w:t>.3.</w:t>
      </w:r>
    </w:p>
    <w:bookmarkEnd w:id="472"/>
    <w:p>
      <w:pPr>
        <w:pStyle w:val="9"/>
      </w:pPr>
      <w:r>
        <w:t>6.2B.4.4</w:t>
      </w:r>
      <w:r>
        <w:tab/>
      </w:r>
      <w:r>
        <w:t>Test description</w:t>
      </w:r>
    </w:p>
    <w:p>
      <w:pPr>
        <w:pStyle w:val="9"/>
      </w:pPr>
      <w:r>
        <w:t>6.2B.4.4.1</w:t>
      </w:r>
      <w:r>
        <w:tab/>
      </w:r>
      <w:r>
        <w:t>Initial conditions</w:t>
      </w:r>
    </w:p>
    <w:p>
      <w:r>
        <w:t>Initial conditions are a set of test configurations the UE needs to be tested in and the steps for the SS to take with the UE to reach the correct measurement state.</w:t>
      </w:r>
    </w:p>
    <w:p>
      <w:pPr>
        <w:rPr>
          <w:lang w:eastAsia="ja-JP"/>
        </w:rPr>
      </w:pPr>
      <w:r>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Pr>
          <w:lang w:eastAsia="ja-JP"/>
        </w:rPr>
        <w:t>s</w:t>
      </w:r>
      <w:r>
        <w:t>) are specified in A.2.4</w:t>
      </w:r>
      <w:r>
        <w:rPr>
          <w:lang w:eastAsia="ja-JP"/>
        </w:rPr>
        <w:t xml:space="preserve">. </w:t>
      </w:r>
      <w:r>
        <w:rPr>
          <w:rFonts w:cs="v5.0.0"/>
          <w:lang w:eastAsia="ja-JP"/>
        </w:rPr>
        <w:t>Configurations of NPDSCH and NPDCCH</w:t>
      </w:r>
      <w:r>
        <w:rPr>
          <w:rFonts w:cs="v5.0.0"/>
        </w:rPr>
        <w:t xml:space="preserve"> </w:t>
      </w:r>
      <w:r>
        <w:rPr>
          <w:rFonts w:cs="v5.0.0"/>
          <w:lang w:eastAsia="ja-JP"/>
        </w:rPr>
        <w:t xml:space="preserve">before measurement are specified in </w:t>
      </w:r>
      <w:r>
        <w:rPr>
          <w:rFonts w:cs="v5.0.0"/>
          <w:lang w:eastAsia="zh-CN"/>
        </w:rPr>
        <w:t>Annex C.2</w:t>
      </w:r>
      <w:r>
        <w:rPr>
          <w:rFonts w:cs="v5.0.0"/>
          <w:lang w:eastAsia="ja-JP"/>
        </w:rPr>
        <w:t>.</w:t>
      </w:r>
    </w:p>
    <w:p>
      <w:pPr>
        <w:pStyle w:val="113"/>
        <w:rPr>
          <w:lang w:eastAsia="zh-CN"/>
        </w:rPr>
      </w:pPr>
      <w:r>
        <w:t>Table 6.2B.4.4.1-1: Test Configuration T</w:t>
      </w:r>
      <w:r>
        <w:rPr>
          <w:lang w:eastAsia="zh-CN"/>
        </w:rPr>
        <w:t>able for FDD &amp; TDD</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1986"/>
        <w:gridCol w:w="1841"/>
        <w:gridCol w:w="1701"/>
        <w:gridCol w:w="1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Environment as specified in</w:t>
            </w:r>
          </w:p>
          <w:p>
            <w:pPr>
              <w:pStyle w:val="103"/>
              <w:rPr>
                <w:lang w:eastAsia="zh-CN"/>
              </w:rPr>
            </w:pPr>
            <w:r>
              <w:rPr>
                <w:rFonts w:eastAsia="微软雅黑" w:cs="Arial"/>
                <w:szCs w:val="18"/>
                <w:lang w:eastAsia="zh-CN"/>
              </w:rPr>
              <w:t>TS 36.508 [12] subclause 8.1.1</w:t>
            </w:r>
          </w:p>
        </w:tc>
        <w:tc>
          <w:tcPr>
            <w:tcW w:w="5494" w:type="dxa"/>
            <w:gridSpan w:val="3"/>
          </w:tcPr>
          <w:p>
            <w:pPr>
              <w:pStyle w:val="103"/>
              <w:rPr>
                <w:lang w:eastAsia="zh-CN"/>
              </w:rPr>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Frequencies as specified in</w:t>
            </w:r>
          </w:p>
          <w:p>
            <w:pPr>
              <w:pStyle w:val="103"/>
            </w:pPr>
            <w:r>
              <w:rPr>
                <w:rFonts w:eastAsia="微软雅黑" w:cs="Arial"/>
                <w:szCs w:val="18"/>
                <w:lang w:eastAsia="zh-CN"/>
              </w:rPr>
              <w:t>TS 36.508 [12] subclause 8.1.3.1</w:t>
            </w:r>
          </w:p>
        </w:tc>
        <w:tc>
          <w:tcPr>
            <w:tcW w:w="5494" w:type="dxa"/>
            <w:gridSpan w:val="3"/>
          </w:tcPr>
          <w:p>
            <w:pPr>
              <w:pStyle w:val="103"/>
            </w:pPr>
            <w:r>
              <w:rPr>
                <w:rFonts w:eastAsia="微软雅黑" w:cs="Arial"/>
                <w:szCs w:val="18"/>
                <w:lang w:eastAsia="zh-CN"/>
              </w:rPr>
              <w:t xml:space="preserve">Frequency ranges defined in Annex K.1.1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bottom w:val="nil"/>
            </w:tcBorders>
          </w:tcPr>
          <w:p>
            <w:pPr>
              <w:pStyle w:val="103"/>
              <w:jc w:val="center"/>
              <w:rPr>
                <w:b/>
              </w:rPr>
            </w:pPr>
            <w:r>
              <w:rPr>
                <w:rFonts w:eastAsia="微软雅黑" w:cs="Arial"/>
                <w:b/>
                <w:bCs/>
                <w:szCs w:val="18"/>
                <w:lang w:eastAsia="zh-CN"/>
              </w:rPr>
              <w:t>Configuration ID</w:t>
            </w:r>
          </w:p>
        </w:tc>
        <w:tc>
          <w:tcPr>
            <w:tcW w:w="1986" w:type="dxa"/>
            <w:tcBorders>
              <w:bottom w:val="single" w:color="auto" w:sz="4" w:space="0"/>
            </w:tcBorders>
          </w:tcPr>
          <w:p>
            <w:pPr>
              <w:pStyle w:val="103"/>
              <w:jc w:val="center"/>
              <w:rPr>
                <w:b/>
              </w:rPr>
            </w:pPr>
            <w:r>
              <w:rPr>
                <w:b/>
              </w:rPr>
              <w:t>Downlink Configuration</w:t>
            </w:r>
          </w:p>
        </w:tc>
        <w:tc>
          <w:tcPr>
            <w:tcW w:w="5494" w:type="dxa"/>
            <w:gridSpan w:val="3"/>
          </w:tcPr>
          <w:p>
            <w:pPr>
              <w:pStyle w:val="103"/>
              <w:jc w:val="center"/>
              <w:rPr>
                <w:b/>
                <w:lang w:eastAsia="zh-CN"/>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top w:val="nil"/>
            </w:tcBorders>
          </w:tcPr>
          <w:p>
            <w:pPr>
              <w:pStyle w:val="103"/>
              <w:jc w:val="center"/>
            </w:pPr>
          </w:p>
        </w:tc>
        <w:tc>
          <w:tcPr>
            <w:tcW w:w="1986" w:type="dxa"/>
            <w:tcBorders>
              <w:bottom w:val="nil"/>
            </w:tcBorders>
          </w:tcPr>
          <w:p>
            <w:pPr>
              <w:pStyle w:val="103"/>
              <w:jc w:val="center"/>
              <w:rPr>
                <w:lang w:eastAsia="zh-CN"/>
              </w:rPr>
            </w:pPr>
            <w:r>
              <w:t>N/A</w:t>
            </w:r>
          </w:p>
        </w:tc>
        <w:tc>
          <w:tcPr>
            <w:tcW w:w="1841" w:type="dxa"/>
          </w:tcPr>
          <w:p>
            <w:pPr>
              <w:pStyle w:val="104"/>
            </w:pPr>
            <w:r>
              <w:rPr>
                <w:rFonts w:eastAsia="微软雅黑"/>
                <w:lang w:eastAsia="zh-CN"/>
              </w:rPr>
              <w:t>Modulation</w:t>
            </w:r>
          </w:p>
        </w:tc>
        <w:tc>
          <w:tcPr>
            <w:tcW w:w="1701" w:type="dxa"/>
          </w:tcPr>
          <w:p>
            <w:pPr>
              <w:pStyle w:val="104"/>
              <w:rPr>
                <w:lang w:eastAsia="zh-CN"/>
              </w:rPr>
            </w:pPr>
            <w:r>
              <w:rPr>
                <w:rFonts w:eastAsia="微软雅黑"/>
                <w:lang w:eastAsia="zh-CN"/>
              </w:rPr>
              <w:t>N</w:t>
            </w:r>
            <w:r>
              <w:rPr>
                <w:rFonts w:eastAsia="微软雅黑"/>
                <w:vertAlign w:val="subscript"/>
                <w:lang w:eastAsia="zh-CN"/>
              </w:rPr>
              <w:t>tones</w:t>
            </w:r>
          </w:p>
        </w:tc>
        <w:tc>
          <w:tcPr>
            <w:tcW w:w="1952" w:type="dxa"/>
          </w:tcPr>
          <w:p>
            <w:pPr>
              <w:pStyle w:val="104"/>
              <w:rPr>
                <w:lang w:eastAsia="zh-CN"/>
              </w:rPr>
            </w:pPr>
            <w:r>
              <w:rPr>
                <w:rFonts w:eastAsia="微软雅黑"/>
                <w:lang w:eastAsia="zh-CN"/>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rPr>
                <w:lang w:eastAsia="zh-CN"/>
              </w:rPr>
              <w:t>1</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rFonts w:eastAsia="微软雅黑" w:cs="Arial"/>
                <w:szCs w:val="18"/>
                <w:lang w:eastAsia="zh-CN"/>
              </w:rPr>
              <w:t>1@0</w:t>
            </w:r>
          </w:p>
        </w:tc>
        <w:tc>
          <w:tcPr>
            <w:tcW w:w="1952" w:type="dxa"/>
          </w:tcPr>
          <w:p>
            <w:pPr>
              <w:pStyle w:val="105"/>
              <w:rPr>
                <w:rFonts w:eastAsia="微软雅黑" w:cs="Arial"/>
                <w:szCs w:val="18"/>
                <w:lang w:eastAsia="zh-CN"/>
              </w:rPr>
            </w:pPr>
            <w:r>
              <w:rPr>
                <w:lang w:eastAsia="zh-CN"/>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rPr>
                <w:lang w:eastAsia="zh-CN"/>
              </w:rPr>
              <w:t>2</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lang w:eastAsia="zh-CN"/>
              </w:rPr>
              <w:t>1@47</w:t>
            </w:r>
          </w:p>
        </w:tc>
        <w:tc>
          <w:tcPr>
            <w:tcW w:w="1952" w:type="dxa"/>
          </w:tcPr>
          <w:p>
            <w:pPr>
              <w:pStyle w:val="105"/>
              <w:rPr>
                <w:rFonts w:eastAsia="微软雅黑" w:cs="Arial"/>
                <w:szCs w:val="18"/>
                <w:lang w:eastAsia="zh-CN"/>
              </w:rPr>
            </w:pPr>
            <w:r>
              <w:rPr>
                <w:lang w:eastAsia="zh-CN"/>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rPr>
                <w:lang w:eastAsia="zh-CN"/>
              </w:rPr>
              <w:t>3</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rFonts w:eastAsia="微软雅黑" w:cs="Arial"/>
                <w:szCs w:val="18"/>
                <w:lang w:eastAsia="zh-CN"/>
              </w:rPr>
              <w:t>1@0</w:t>
            </w:r>
          </w:p>
        </w:tc>
        <w:tc>
          <w:tcPr>
            <w:tcW w:w="1952" w:type="dxa"/>
          </w:tcPr>
          <w:p>
            <w:pPr>
              <w:pStyle w:val="105"/>
              <w:rPr>
                <w:rFonts w:eastAsia="微软雅黑" w:cs="Arial"/>
                <w:szCs w:val="18"/>
                <w:lang w:eastAsia="zh-CN"/>
              </w:rPr>
            </w:pPr>
            <w:r>
              <w:rPr>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rPr>
                <w:lang w:eastAsia="zh-CN"/>
              </w:rPr>
              <w:t>4</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lang w:eastAsia="zh-CN"/>
              </w:rPr>
              <w:t>1@11</w:t>
            </w:r>
          </w:p>
        </w:tc>
        <w:tc>
          <w:tcPr>
            <w:tcW w:w="1952" w:type="dxa"/>
          </w:tcPr>
          <w:p>
            <w:pPr>
              <w:pStyle w:val="105"/>
              <w:rPr>
                <w:rFonts w:eastAsia="微软雅黑" w:cs="Arial"/>
                <w:szCs w:val="18"/>
                <w:lang w:eastAsia="zh-CN"/>
              </w:rPr>
            </w:pPr>
            <w:r>
              <w:rPr>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rPr>
                <w:lang w:eastAsia="zh-CN"/>
              </w:rPr>
              <w:t xml:space="preserve">5 </w:t>
            </w:r>
            <w:r>
              <w:rPr>
                <w:rFonts w:cs="Arial"/>
                <w:lang w:eastAsia="zh-CN"/>
              </w:rPr>
              <w:t>(</w:t>
            </w:r>
            <w:r>
              <w:rPr>
                <w:rFonts w:eastAsia="微软雅黑" w:cs="Arial"/>
                <w:szCs w:val="18"/>
                <w:lang w:eastAsia="zh-CN"/>
              </w:rPr>
              <w:t>Note 1</w:t>
            </w:r>
            <w:r>
              <w:rPr>
                <w:rFonts w:cs="Arial"/>
                <w:lang w:eastAsia="zh-CN"/>
              </w:rPr>
              <w:t>)</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lang w:eastAsia="zh-CN"/>
              </w:rPr>
              <w:t>12@0</w:t>
            </w:r>
          </w:p>
        </w:tc>
        <w:tc>
          <w:tcPr>
            <w:tcW w:w="1952" w:type="dxa"/>
          </w:tcPr>
          <w:p>
            <w:pPr>
              <w:pStyle w:val="105"/>
              <w:rPr>
                <w:rFonts w:eastAsia="微软雅黑" w:cs="Arial"/>
                <w:szCs w:val="18"/>
                <w:lang w:eastAsia="zh-CN"/>
              </w:rPr>
            </w:pPr>
            <w:r>
              <w:rPr>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rPr>
                <w:rFonts w:eastAsiaTheme="minorEastAsia"/>
                <w:lang w:eastAsia="zh-CN"/>
              </w:rPr>
            </w:pPr>
            <w:r>
              <w:rPr>
                <w:rFonts w:hint="eastAsia" w:eastAsiaTheme="minorEastAsia"/>
                <w:lang w:eastAsia="zh-CN"/>
              </w:rPr>
              <w:t>NOTE 1:</w:t>
            </w:r>
            <w:r>
              <w:rPr>
                <w:rFonts w:eastAsiaTheme="minorEastAsia"/>
                <w:lang w:eastAsia="zh-CN"/>
              </w:rPr>
              <w:tab/>
            </w:r>
            <w:r>
              <w:rPr>
                <w:rFonts w:eastAsia="微软雅黑" w:cs="Arial"/>
                <w:szCs w:val="18"/>
                <w:lang w:eastAsia="zh-CN"/>
              </w:rPr>
              <w:t>Applicable to UE supporting UL multi-tone transmissions.</w:t>
            </w:r>
          </w:p>
        </w:tc>
      </w:tr>
    </w:tbl>
    <w:p>
      <w:pPr>
        <w:rPr>
          <w:lang w:eastAsia="zh-CN"/>
        </w:rPr>
      </w:pPr>
    </w:p>
    <w:p>
      <w:pPr>
        <w:pStyle w:val="111"/>
        <w:overflowPunct w:val="0"/>
        <w:autoSpaceDE w:val="0"/>
        <w:autoSpaceDN w:val="0"/>
        <w:adjustRightInd w:val="0"/>
        <w:contextualSpacing w:val="0"/>
        <w:textAlignment w:val="baseline"/>
        <w:rPr>
          <w:lang w:eastAsia="zh-CN"/>
        </w:rPr>
      </w:pPr>
      <w:r>
        <w:t>1.</w:t>
      </w:r>
      <w:r>
        <w:tab/>
      </w:r>
      <w:r>
        <w:t>Connect the SS to the UE antenna connectors as shown in TS 36.508 [12] Annex A, in Figure A.3 using only main UE Tx/Rx antenna.</w:t>
      </w:r>
    </w:p>
    <w:p>
      <w:pPr>
        <w:pStyle w:val="111"/>
        <w:overflowPunct w:val="0"/>
        <w:autoSpaceDE w:val="0"/>
        <w:autoSpaceDN w:val="0"/>
        <w:adjustRightInd w:val="0"/>
        <w:contextualSpacing w:val="0"/>
        <w:textAlignment w:val="baseline"/>
      </w:pPr>
      <w:r>
        <w:t>2.</w:t>
      </w:r>
      <w:r>
        <w:tab/>
      </w:r>
      <w:r>
        <w:t>The parameter settings for the cell are set up according to TS 36.508 [12] subclause 8.1.4.3.</w:t>
      </w:r>
    </w:p>
    <w:p>
      <w:pPr>
        <w:pStyle w:val="111"/>
        <w:overflowPunct w:val="0"/>
        <w:autoSpaceDE w:val="0"/>
        <w:autoSpaceDN w:val="0"/>
        <w:adjustRightInd w:val="0"/>
        <w:contextualSpacing w:val="0"/>
        <w:textAlignment w:val="baseline"/>
        <w:rPr>
          <w:lang w:eastAsia="ko-KR"/>
        </w:rPr>
      </w:pPr>
      <w:r>
        <w:t>3.</w:t>
      </w:r>
      <w:r>
        <w:tab/>
      </w:r>
      <w:r>
        <w:t>Downlink signals are initially set up according to Annex C, and uplink signals according to Annex H.</w:t>
      </w:r>
    </w:p>
    <w:p>
      <w:pPr>
        <w:pStyle w:val="111"/>
        <w:overflowPunct w:val="0"/>
        <w:autoSpaceDE w:val="0"/>
        <w:autoSpaceDN w:val="0"/>
        <w:adjustRightInd w:val="0"/>
        <w:contextualSpacing w:val="0"/>
        <w:textAlignment w:val="baseline"/>
      </w:pPr>
      <w:r>
        <w:t>4.</w:t>
      </w:r>
      <w:r>
        <w:tab/>
      </w:r>
      <w:r>
        <w:t>The UL Reference Measurement channel is set according to Table 6.2B.4.4.1-1</w:t>
      </w:r>
    </w:p>
    <w:p>
      <w:pPr>
        <w:pStyle w:val="111"/>
        <w:overflowPunct w:val="0"/>
        <w:autoSpaceDE w:val="0"/>
        <w:autoSpaceDN w:val="0"/>
        <w:adjustRightInd w:val="0"/>
        <w:contextualSpacing w:val="0"/>
        <w:textAlignment w:val="baseline"/>
      </w:pPr>
      <w:r>
        <w:t>5.</w:t>
      </w:r>
      <w:r>
        <w:tab/>
      </w:r>
      <w:r>
        <w:t>Propagation conditions are set according to Annex B.0.</w:t>
      </w:r>
    </w:p>
    <w:p>
      <w:pPr>
        <w:pStyle w:val="111"/>
        <w:overflowPunct w:val="0"/>
        <w:autoSpaceDE w:val="0"/>
        <w:autoSpaceDN w:val="0"/>
        <w:adjustRightInd w:val="0"/>
        <w:contextualSpacing w:val="0"/>
        <w:textAlignment w:val="baseline"/>
      </w:pPr>
      <w:r>
        <w:rPr>
          <w:rFonts w:hint="eastAsia"/>
        </w:rPr>
        <w:t>6.</w:t>
      </w:r>
      <w:r>
        <w:rPr>
          <w:rFonts w:hint="eastAsia"/>
        </w:rPr>
        <w:tab/>
      </w:r>
      <w:r>
        <w:rPr>
          <w:rFonts w:hint="eastAsia"/>
        </w:rPr>
        <w:t xml:space="preserve">UE location according to TS 36.508 [12] clause </w:t>
      </w:r>
      <w:r>
        <w:t>8.2.6.1</w:t>
      </w:r>
      <w:r>
        <w:rPr>
          <w:rFonts w:hint="eastAsia"/>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rPr>
        <w:t>7.</w:t>
      </w:r>
      <w:r>
        <w:rPr>
          <w:rFonts w:hint="eastAsia"/>
        </w:rPr>
        <w:tab/>
      </w:r>
      <w:r>
        <w:t>Test equipment shall emu</w:t>
      </w:r>
      <w:r>
        <w:rPr>
          <w:color w:val="000000" w:themeColor="text1"/>
          <w14:textFill>
            <w14:solidFill>
              <w14:schemeClr w14:val="tx1"/>
            </w14:solidFill>
          </w14:textFill>
        </w:rPr>
        <w:t xml:space="preserve">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w:t>
      </w:r>
      <w:r>
        <w:t>ing the duration of the test as define in TS 36.508[12] clause 8.2.6.3.1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pPr>
      <w:r>
        <w:t>9</w:t>
      </w:r>
      <w:r>
        <w:rPr>
          <w:rFonts w:hint="eastAsia"/>
        </w:rPr>
        <w:t>.</w:t>
      </w:r>
      <w:r>
        <w:rPr>
          <w:rFonts w:hint="eastAsia"/>
        </w:rPr>
        <w:tab/>
      </w:r>
      <w:r>
        <w:rPr>
          <w:rFonts w:hint="eastAsia"/>
        </w:rPr>
        <w:t>Ensure the UE is in State 2A-NB with CP CIoT Optimisation according to TS 36.508 [12] clause 8.1.5. Message contents are defined in clause 6.2B.4.4.3.</w:t>
      </w:r>
    </w:p>
    <w:p>
      <w:pPr>
        <w:pStyle w:val="9"/>
      </w:pPr>
      <w:r>
        <w:t>6.2B.4.4.2</w:t>
      </w:r>
      <w:r>
        <w:tab/>
      </w:r>
      <w:r>
        <w:t>Test procedure</w:t>
      </w:r>
    </w:p>
    <w:p>
      <w:pPr>
        <w:pStyle w:val="111"/>
        <w:overflowPunct w:val="0"/>
        <w:autoSpaceDE w:val="0"/>
        <w:autoSpaceDN w:val="0"/>
        <w:adjustRightInd w:val="0"/>
        <w:contextualSpacing w:val="0"/>
        <w:textAlignment w:val="baseline"/>
      </w:pPr>
      <w:r>
        <w:t>1.</w:t>
      </w:r>
      <w:r>
        <w:rPr>
          <w:lang w:eastAsia="ko-KR"/>
        </w:rPr>
        <w:tab/>
      </w:r>
      <w:r>
        <w:t>S</w:t>
      </w:r>
      <w:r>
        <w:rPr>
          <w:lang w:eastAsia="zh-CN"/>
        </w:rPr>
        <w:t xml:space="preserve">S sends uplink scheduling information for UL HARQ process via NPDCCH DCI format N0 for C_RNTI to schedule the UL RMC according to Table </w:t>
      </w:r>
      <w:r>
        <w:t>6.2B.4.4.1-1. Since the UE has no payload and no loopback data to send the UE sends uplink MAC padding bits on the UL RMC.</w:t>
      </w:r>
    </w:p>
    <w:p>
      <w:pPr>
        <w:pStyle w:val="111"/>
        <w:overflowPunct w:val="0"/>
        <w:autoSpaceDE w:val="0"/>
        <w:autoSpaceDN w:val="0"/>
        <w:adjustRightInd w:val="0"/>
        <w:contextualSpacing w:val="0"/>
        <w:textAlignment w:val="baseline"/>
      </w:pPr>
      <w:r>
        <w:t>2.</w:t>
      </w:r>
      <w:r>
        <w:tab/>
      </w:r>
      <w:r>
        <w:rPr>
          <w:lang w:eastAsia="zh-CN"/>
        </w:rPr>
        <w:t>Configure</w:t>
      </w:r>
      <w:r>
        <w:t xml:space="preserve"> UE </w:t>
      </w:r>
      <w:r>
        <w:rPr>
          <w:lang w:eastAsia="zh-CN"/>
        </w:rPr>
        <w:t>to</w:t>
      </w:r>
      <w:r>
        <w:t xml:space="preserve"> transmit NPUSCH with the Pumax level of</w:t>
      </w:r>
      <w:r>
        <w:rPr>
          <w:lang w:eastAsia="zh-CN"/>
        </w:rPr>
        <w:t xml:space="preserve"> each</w:t>
      </w:r>
      <w:r>
        <w:t xml:space="preserve"> test point</w:t>
      </w:r>
      <w:r>
        <w:rPr>
          <w:lang w:eastAsia="zh-CN"/>
        </w:rPr>
        <w:t>s</w:t>
      </w:r>
      <w:r>
        <w:t>.</w:t>
      </w:r>
    </w:p>
    <w:p>
      <w:pPr>
        <w:pStyle w:val="111"/>
        <w:overflowPunct w:val="0"/>
        <w:autoSpaceDE w:val="0"/>
        <w:autoSpaceDN w:val="0"/>
        <w:adjustRightInd w:val="0"/>
        <w:contextualSpacing w:val="0"/>
        <w:textAlignment w:val="baseline"/>
        <w:rPr>
          <w:lang w:eastAsia="zh-CN"/>
        </w:rPr>
      </w:pPr>
      <w:r>
        <w:t>3.</w:t>
      </w:r>
      <w:r>
        <w:rPr>
          <w:lang w:eastAsia="ko-KR"/>
        </w:rPr>
        <w:tab/>
      </w:r>
      <w:r>
        <w:rPr>
          <w:lang w:eastAsia="ko-KR"/>
        </w:rPr>
        <w:t>Measure the mean power of the UE in the channel bandwidth for each test point in table 6.2B.4.4-1 a</w:t>
      </w:r>
      <w:r>
        <w:t xml:space="preserve">ccording to the test configuration from </w:t>
      </w:r>
      <w:r>
        <w:rPr>
          <w:lang w:eastAsia="ko-KR"/>
        </w:rPr>
        <w:t>table 6.2B.4.4-1</w:t>
      </w:r>
      <w:r>
        <w:t>. The period of measurement shall be at least continuous duration of</w:t>
      </w:r>
      <w:r>
        <w:rPr>
          <w:b/>
        </w:rPr>
        <w:t xml:space="preserve"> </w:t>
      </w:r>
      <w:r>
        <w:t>one sub-frame</w:t>
      </w:r>
      <w:r>
        <w:rPr>
          <w:b/>
        </w:rPr>
        <w:t xml:space="preserve"> (</w:t>
      </w:r>
      <w:r>
        <w:t>1ms) for 15 KHz channel spacing, and at least a 2ms slot (excluding the 2304Ts gap when UE is not transmitting) respectively for the 3.75 KHz channel spacing. For TDD slots with transient periods are not under test.</w:t>
      </w:r>
    </w:p>
    <w:p>
      <w:pPr>
        <w:pStyle w:val="9"/>
      </w:pPr>
      <w:r>
        <w:t>6.2B.4.4.3</w:t>
      </w:r>
      <w:r>
        <w:tab/>
      </w:r>
      <w:r>
        <w:t>Message contents</w:t>
      </w:r>
    </w:p>
    <w:p>
      <w:pPr>
        <w:rPr>
          <w:lang w:eastAsia="ja-JP"/>
        </w:rPr>
      </w:pPr>
      <w:r>
        <w:t xml:space="preserve">Message contents are according to TS 36.508 [12] subclause </w:t>
      </w:r>
      <w:r>
        <w:rPr>
          <w:lang w:eastAsia="zh-CN"/>
        </w:rPr>
        <w:t>8.1.6</w:t>
      </w:r>
      <w:r>
        <w:t xml:space="preserve"> with the following exception</w:t>
      </w:r>
      <w:r>
        <w:rPr>
          <w:lang w:eastAsia="ja-JP"/>
        </w:rPr>
        <w:t>s:</w:t>
      </w:r>
    </w:p>
    <w:p>
      <w:pPr>
        <w:pStyle w:val="113"/>
      </w:pPr>
      <w:r>
        <w:t>Table 6.2B.4.4.3-1: SystemInformationBlockType1: Test point 1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Pr>
        <w:rPr>
          <w:lang w:eastAsia="ja-JP"/>
        </w:rPr>
      </w:pPr>
    </w:p>
    <w:p>
      <w:pPr>
        <w:pStyle w:val="113"/>
      </w:pPr>
      <w:r>
        <w:t>Table 6.2B.4.4.3-2: SystemInformationBlockType1: Test point 2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
      <w:pPr>
        <w:pStyle w:val="113"/>
      </w:pPr>
      <w:r>
        <w:t>Table 6.2B.4.4.3-3: SystemInformationBlockType1: Test point 3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15</w:t>
            </w:r>
          </w:p>
        </w:tc>
        <w:tc>
          <w:tcPr>
            <w:tcW w:w="1700" w:type="dxa"/>
          </w:tcPr>
          <w:p>
            <w:pPr>
              <w:spacing w:after="0"/>
            </w:pPr>
          </w:p>
        </w:tc>
        <w:tc>
          <w:tcPr>
            <w:tcW w:w="1133" w:type="dxa"/>
          </w:tcPr>
          <w:p>
            <w:pPr>
              <w:pStyle w:val="103"/>
            </w:pPr>
          </w:p>
        </w:tc>
      </w:tr>
    </w:tbl>
    <w:p/>
    <w:p>
      <w:pPr>
        <w:pStyle w:val="113"/>
        <w:rPr>
          <w:lang w:eastAsia="zh-CN"/>
        </w:rPr>
      </w:pPr>
      <w:r>
        <w:t>Table 6.2B.4.4.3-4: SystemInformationBlockType1: Test point 1</w:t>
      </w:r>
      <w:r>
        <w:rPr>
          <w:lang w:eastAsia="zh-CN"/>
        </w:rPr>
        <w:t xml:space="preserve"> </w:t>
      </w:r>
      <w:r>
        <w:t xml:space="preserve">for power class </w:t>
      </w:r>
      <w:r>
        <w:rPr>
          <w:lang w:eastAsia="zh-CN"/>
        </w:rPr>
        <w:t>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
      <w:pPr>
        <w:pStyle w:val="113"/>
        <w:rPr>
          <w:lang w:eastAsia="zh-CN"/>
        </w:rPr>
      </w:pPr>
      <w:r>
        <w:t>Table 6.2B.4.4.3: SystemInformationBlockType1: Test point 2</w:t>
      </w:r>
      <w:r>
        <w:rPr>
          <w:lang w:eastAsia="zh-CN"/>
        </w:rPr>
        <w:t xml:space="preserve"> </w:t>
      </w:r>
      <w:r>
        <w:t xml:space="preserve">for power class </w:t>
      </w:r>
      <w:r>
        <w:rPr>
          <w:lang w:eastAsia="zh-CN"/>
        </w:rPr>
        <w:t>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rPr>
                <w:lang w:eastAsia="zh-CN"/>
              </w:rPr>
            </w:pPr>
            <w:r>
              <w:rPr>
                <w:lang w:eastAsia="zh-CN"/>
              </w:rPr>
              <w:t>7</w:t>
            </w:r>
          </w:p>
        </w:tc>
        <w:tc>
          <w:tcPr>
            <w:tcW w:w="1700" w:type="dxa"/>
          </w:tcPr>
          <w:p>
            <w:pPr>
              <w:spacing w:after="0"/>
            </w:pPr>
          </w:p>
        </w:tc>
        <w:tc>
          <w:tcPr>
            <w:tcW w:w="1133" w:type="dxa"/>
          </w:tcPr>
          <w:p>
            <w:pPr>
              <w:pStyle w:val="103"/>
            </w:pPr>
          </w:p>
        </w:tc>
      </w:tr>
    </w:tbl>
    <w:p/>
    <w:p>
      <w:pPr>
        <w:pStyle w:val="113"/>
        <w:rPr>
          <w:lang w:eastAsia="zh-CN"/>
        </w:rPr>
      </w:pPr>
      <w:r>
        <w:t>Table 6.2B.4.4.3: SystemInformationBlockType1: Test point 3</w:t>
      </w:r>
      <w:r>
        <w:rPr>
          <w:lang w:eastAsia="zh-CN"/>
        </w:rPr>
        <w:t xml:space="preserve"> </w:t>
      </w:r>
      <w:r>
        <w:t xml:space="preserve">for power class </w:t>
      </w:r>
      <w:r>
        <w:rPr>
          <w:lang w:eastAsia="zh-CN"/>
        </w:rPr>
        <w:t>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rPr>
                <w:lang w:eastAsia="zh-CN"/>
              </w:rPr>
            </w:pPr>
            <w:r>
              <w:t>1</w:t>
            </w:r>
            <w:r>
              <w:rPr>
                <w:lang w:eastAsia="zh-CN"/>
              </w:rPr>
              <w:t>2</w:t>
            </w:r>
          </w:p>
        </w:tc>
        <w:tc>
          <w:tcPr>
            <w:tcW w:w="1700" w:type="dxa"/>
          </w:tcPr>
          <w:p>
            <w:pPr>
              <w:spacing w:after="0"/>
            </w:pPr>
          </w:p>
        </w:tc>
        <w:tc>
          <w:tcPr>
            <w:tcW w:w="1133" w:type="dxa"/>
          </w:tcPr>
          <w:p>
            <w:pPr>
              <w:pStyle w:val="103"/>
            </w:pPr>
          </w:p>
        </w:tc>
      </w:tr>
    </w:tbl>
    <w:p/>
    <w:p>
      <w:pPr>
        <w:pStyle w:val="9"/>
      </w:pPr>
      <w:r>
        <w:t>6.2B.5</w:t>
      </w:r>
      <w:r>
        <w:tab/>
      </w:r>
      <w:r>
        <w:t>Test requirement</w:t>
      </w:r>
    </w:p>
    <w:p>
      <w:pPr>
        <w:rPr>
          <w:rFonts w:cs="v5.0.0"/>
        </w:rPr>
      </w:pPr>
      <w:r>
        <w:t>The maximum output power measured shall not exceed the values specified in Table 6.2B.5-1.</w:t>
      </w:r>
    </w:p>
    <w:p>
      <w:pPr>
        <w:pStyle w:val="113"/>
        <w:rPr>
          <w:rFonts w:cs="v5.0.0"/>
        </w:rPr>
      </w:pPr>
      <w:r>
        <w:t>Table 6.2B.5-1: P</w:t>
      </w:r>
      <w:r>
        <w:rPr>
          <w:vertAlign w:val="subscript"/>
        </w:rPr>
        <w:t>CMAX</w:t>
      </w:r>
      <w:r>
        <w:t xml:space="preserve"> configured UE output power </w:t>
      </w:r>
      <w:r>
        <w:rPr>
          <w:lang w:eastAsia="zh-CN"/>
        </w:rPr>
        <w:t>for power class 3</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6"/>
        <w:gridCol w:w="55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6" w:type="dxa"/>
          </w:tcPr>
          <w:p>
            <w:pPr>
              <w:pStyle w:val="104"/>
            </w:pPr>
          </w:p>
        </w:tc>
        <w:tc>
          <w:tcPr>
            <w:tcW w:w="5538" w:type="dxa"/>
          </w:tcPr>
          <w:p>
            <w:pPr>
              <w:pStyle w:val="104"/>
            </w:pPr>
            <w:r>
              <w:t>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6" w:type="dxa"/>
            <w:vAlign w:val="center"/>
          </w:tcPr>
          <w:p>
            <w:pPr>
              <w:pStyle w:val="103"/>
            </w:pPr>
            <w:r>
              <w:t>Measured UE output power test point 1</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6" w:type="dxa"/>
            <w:vAlign w:val="center"/>
          </w:tcPr>
          <w:p>
            <w:pPr>
              <w:pStyle w:val="103"/>
            </w:pPr>
            <w:r>
              <w:t>Measured UE output power test point 2</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6" w:type="dxa"/>
            <w:vAlign w:val="center"/>
          </w:tcPr>
          <w:p>
            <w:pPr>
              <w:pStyle w:val="103"/>
            </w:pPr>
            <w:r>
              <w:t>Measured UE output power test point 3</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15 dBm ±</w:t>
            </w:r>
            <w:r>
              <w:rPr>
                <w:lang w:eastAsia="zh-CN"/>
              </w:rPr>
              <w:t xml:space="preserve"> 5.7</w:t>
            </w:r>
          </w:p>
        </w:tc>
      </w:tr>
    </w:tbl>
    <w:p/>
    <w:p>
      <w:pPr>
        <w:pStyle w:val="113"/>
        <w:rPr>
          <w:rFonts w:cs="v5.0.0"/>
          <w:lang w:eastAsia="zh-CN"/>
        </w:rPr>
      </w:pPr>
      <w:r>
        <w:t>Table 6.2B.5-2: P</w:t>
      </w:r>
      <w:r>
        <w:rPr>
          <w:vertAlign w:val="subscript"/>
        </w:rPr>
        <w:t>CMAX</w:t>
      </w:r>
      <w:r>
        <w:t xml:space="preserve"> configured UE output power</w:t>
      </w:r>
      <w:r>
        <w:rPr>
          <w:lang w:eastAsia="zh-CN"/>
        </w:rPr>
        <w:t xml:space="preserve"> for power class 5</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6"/>
        <w:gridCol w:w="55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6" w:type="dxa"/>
          </w:tcPr>
          <w:p>
            <w:pPr>
              <w:pStyle w:val="104"/>
            </w:pPr>
          </w:p>
        </w:tc>
        <w:tc>
          <w:tcPr>
            <w:tcW w:w="5538" w:type="dxa"/>
          </w:tcPr>
          <w:p>
            <w:pPr>
              <w:pStyle w:val="104"/>
            </w:pPr>
            <w:r>
              <w:t>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6" w:type="dxa"/>
            <w:vAlign w:val="center"/>
          </w:tcPr>
          <w:p>
            <w:pPr>
              <w:pStyle w:val="103"/>
            </w:pPr>
            <w:r>
              <w:t>Measured UE output power test point 1</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6" w:type="dxa"/>
            <w:vAlign w:val="center"/>
          </w:tcPr>
          <w:p>
            <w:pPr>
              <w:pStyle w:val="103"/>
            </w:pPr>
            <w:r>
              <w:t>Measured UE output power test point 2</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7 dBm ± </w:t>
            </w:r>
            <w:r>
              <w:rPr>
                <w:lang w:eastAsia="zh-CN"/>
              </w:rPr>
              <w:t>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6" w:type="dxa"/>
            <w:vAlign w:val="center"/>
          </w:tcPr>
          <w:p>
            <w:pPr>
              <w:pStyle w:val="103"/>
            </w:pPr>
            <w:r>
              <w:t>Measured UE output power test point 3</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12 dBm ±</w:t>
            </w:r>
            <w:r>
              <w:rPr>
                <w:lang w:eastAsia="zh-CN"/>
              </w:rPr>
              <w:t xml:space="preserve"> 5.7</w:t>
            </w:r>
          </w:p>
        </w:tc>
      </w:tr>
    </w:tbl>
    <w:p/>
    <w:p>
      <w:pPr>
        <w:pStyle w:val="4"/>
        <w:rPr>
          <w:rFonts w:cs="v5.0.0"/>
        </w:rPr>
      </w:pPr>
      <w:bookmarkStart w:id="473" w:name="_Toc111062039"/>
      <w:bookmarkStart w:id="474" w:name="_Toc120570034"/>
      <w:bookmarkStart w:id="475" w:name="_Toc8436"/>
      <w:bookmarkStart w:id="476" w:name="_Toc21778"/>
      <w:bookmarkStart w:id="477" w:name="_Toc121162826"/>
      <w:bookmarkStart w:id="478" w:name="_Toc368026234"/>
      <w:bookmarkStart w:id="479" w:name="_Toc2061"/>
      <w:bookmarkStart w:id="480" w:name="_Toc2373"/>
      <w:bookmarkStart w:id="481" w:name="_Toc4736"/>
      <w:bookmarkStart w:id="482" w:name="_Toc2766"/>
      <w:bookmarkStart w:id="483" w:name="_Toc27895"/>
      <w:r>
        <w:rPr>
          <w:rFonts w:cs="v5.0.0"/>
        </w:rPr>
        <w:t>6.3</w:t>
      </w:r>
      <w:r>
        <w:rPr>
          <w:rFonts w:cs="v5.0.0"/>
        </w:rPr>
        <w:tab/>
      </w:r>
      <w:r>
        <w:rPr>
          <w:rFonts w:cs="v5.0.0"/>
        </w:rPr>
        <w:t>Output power dynamics</w:t>
      </w:r>
      <w:bookmarkEnd w:id="473"/>
      <w:bookmarkEnd w:id="474"/>
      <w:bookmarkEnd w:id="475"/>
      <w:bookmarkEnd w:id="476"/>
      <w:bookmarkEnd w:id="477"/>
      <w:bookmarkEnd w:id="478"/>
      <w:bookmarkEnd w:id="479"/>
      <w:bookmarkEnd w:id="480"/>
      <w:bookmarkEnd w:id="481"/>
      <w:bookmarkEnd w:id="482"/>
      <w:bookmarkEnd w:id="483"/>
    </w:p>
    <w:p>
      <w:r>
        <w:t>This clause is reserved.</w:t>
      </w:r>
    </w:p>
    <w:p>
      <w:pPr>
        <w:pStyle w:val="4"/>
        <w:rPr>
          <w:rFonts w:cs="v5.0.0"/>
        </w:rPr>
      </w:pPr>
      <w:bookmarkStart w:id="484" w:name="_Toc27857"/>
      <w:bookmarkStart w:id="485" w:name="_Toc121162827"/>
      <w:bookmarkStart w:id="486" w:name="_Toc3721"/>
      <w:bookmarkStart w:id="487" w:name="_Toc2744"/>
      <w:bookmarkStart w:id="488" w:name="_Toc120570035"/>
      <w:bookmarkStart w:id="489" w:name="_Toc3738"/>
      <w:bookmarkStart w:id="490" w:name="_Toc20954"/>
      <w:bookmarkStart w:id="491" w:name="_Toc30185"/>
      <w:bookmarkStart w:id="492" w:name="_Toc2122"/>
      <w:r>
        <w:rPr>
          <w:rFonts w:cs="v5.0.0"/>
        </w:rPr>
        <w:t>6.3A</w:t>
      </w:r>
      <w:r>
        <w:rPr>
          <w:rFonts w:cs="v5.0.0"/>
        </w:rPr>
        <w:tab/>
      </w:r>
      <w:r>
        <w:rPr>
          <w:rFonts w:cs="v5.0.0"/>
        </w:rPr>
        <w:t>Output power dynamics for category M1</w:t>
      </w:r>
      <w:bookmarkEnd w:id="484"/>
      <w:bookmarkEnd w:id="485"/>
      <w:bookmarkEnd w:id="486"/>
      <w:bookmarkEnd w:id="487"/>
      <w:bookmarkEnd w:id="488"/>
      <w:bookmarkEnd w:id="489"/>
      <w:bookmarkEnd w:id="490"/>
      <w:bookmarkEnd w:id="491"/>
      <w:bookmarkEnd w:id="492"/>
    </w:p>
    <w:p>
      <w:pPr>
        <w:pStyle w:val="5"/>
      </w:pPr>
      <w:bookmarkStart w:id="493" w:name="_Toc121162828"/>
      <w:bookmarkStart w:id="494" w:name="_Toc29359"/>
      <w:bookmarkStart w:id="495" w:name="_Toc120570036"/>
      <w:bookmarkStart w:id="496" w:name="_Toc29260"/>
      <w:bookmarkStart w:id="497" w:name="_Toc25542"/>
      <w:bookmarkStart w:id="498" w:name="_Toc13543"/>
      <w:bookmarkStart w:id="499" w:name="_Toc14111"/>
      <w:bookmarkStart w:id="500" w:name="_Toc6764"/>
      <w:bookmarkStart w:id="501" w:name="_Toc159"/>
      <w:r>
        <w:t>6.3A.1</w:t>
      </w:r>
      <w:r>
        <w:tab/>
      </w:r>
      <w:r>
        <w:t>UE Minimum output power for category M1</w:t>
      </w:r>
      <w:bookmarkEnd w:id="493"/>
      <w:bookmarkEnd w:id="494"/>
      <w:bookmarkEnd w:id="495"/>
      <w:bookmarkEnd w:id="496"/>
      <w:bookmarkEnd w:id="497"/>
      <w:bookmarkEnd w:id="498"/>
      <w:bookmarkEnd w:id="499"/>
      <w:bookmarkEnd w:id="500"/>
      <w:bookmarkEnd w:id="501"/>
    </w:p>
    <w:p>
      <w:pPr>
        <w:pStyle w:val="112"/>
        <w:rPr>
          <w:lang w:val="en-US"/>
        </w:rPr>
      </w:pPr>
      <w:r>
        <w:t>Editor’s Note: Addition to applicability spec is pending.</w:t>
      </w:r>
    </w:p>
    <w:p>
      <w:pPr>
        <w:pStyle w:val="9"/>
      </w:pPr>
      <w:r>
        <w:t>6.3A.1.1</w:t>
      </w:r>
      <w:r>
        <w:tab/>
      </w:r>
      <w:r>
        <w:t>Test purpose</w:t>
      </w:r>
    </w:p>
    <w:p>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r>
        <w:t>.</w:t>
      </w:r>
    </w:p>
    <w:p>
      <w:pPr>
        <w:pStyle w:val="9"/>
      </w:pPr>
      <w:r>
        <w:t>6.3A.1.2</w:t>
      </w:r>
      <w:r>
        <w:tab/>
      </w:r>
      <w:r>
        <w:t>Test applicability</w:t>
      </w:r>
    </w:p>
    <w:p>
      <w:r>
        <w:t>This test case applies to all types of E-UTRA UE release 17 and forward of UE category M1 that support satellite access operation.</w:t>
      </w:r>
    </w:p>
    <w:p>
      <w:pPr>
        <w:pStyle w:val="9"/>
      </w:pPr>
      <w:r>
        <w:t>6.3A.1.3</w:t>
      </w:r>
      <w:r>
        <w:tab/>
      </w:r>
      <w:r>
        <w:t>Minimum conformance requirements</w:t>
      </w:r>
    </w:p>
    <w:p>
      <w:pPr>
        <w:rPr>
          <w:rFonts w:eastAsiaTheme="minorEastAsia"/>
        </w:rPr>
      </w:pPr>
      <w:r>
        <w:rPr>
          <w:rFonts w:eastAsiaTheme="minorEastAsia"/>
        </w:rPr>
        <w:t>The minimum output power is defined as the mean power in one sub-frame (1ms). The minimum output power shall not exceed the values specified in Table 6.3A.1-1.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Table 6.3A.1-1: Minimum output power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4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795" w:type="dxa"/>
            <w:vMerge w:val="restart"/>
          </w:tcPr>
          <w:p>
            <w:pPr>
              <w:keepNext/>
              <w:keepLines/>
              <w:spacing w:after="0"/>
              <w:jc w:val="center"/>
              <w:rPr>
                <w:rFonts w:ascii="Arial" w:hAnsi="Arial" w:eastAsia="Batang"/>
                <w:color w:val="000000"/>
                <w:sz w:val="18"/>
                <w:lang w:eastAsia="ja-JP"/>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pPr>
              <w:rPr>
                <w:rFonts w:eastAsia="Batang"/>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bl>
    <w:p>
      <w:pPr>
        <w:rPr>
          <w:rFonts w:eastAsiaTheme="minorEastAsia"/>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6.3A.1.</w:t>
      </w:r>
    </w:p>
    <w:p>
      <w:pPr>
        <w:rPr>
          <w:rFonts w:eastAsiaTheme="minorEastAsia"/>
        </w:rPr>
      </w:pPr>
      <w:r>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pPr>
        <w:rPr>
          <w:rFonts w:eastAsiaTheme="minorEastAsia"/>
        </w:rPr>
      </w:pPr>
      <w:r>
        <w:rPr>
          <w:rFonts w:eastAsiaTheme="minorEastAsia"/>
        </w:rPr>
        <w:t>An excess minimum output power potentially increases the Rise Over Thermal (RoT) and therefore reduces the cell coverage area for other UEs.</w:t>
      </w:r>
    </w:p>
    <w:p>
      <w:pPr>
        <w:pStyle w:val="9"/>
      </w:pPr>
      <w:r>
        <w:t>6.3A.1.4</w:t>
      </w:r>
      <w:r>
        <w:tab/>
      </w:r>
      <w:r>
        <w:t>Test description</w:t>
      </w:r>
    </w:p>
    <w:p>
      <w:pPr>
        <w:pStyle w:val="9"/>
      </w:pPr>
      <w:r>
        <w:t>6.3A.1.4.1</w:t>
      </w:r>
      <w:r>
        <w:tab/>
      </w:r>
      <w:r>
        <w:t>Initial conditions</w:t>
      </w:r>
    </w:p>
    <w:p>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pPr>
        <w:rPr>
          <w:rFonts w:eastAsiaTheme="minorEastAsia"/>
        </w:rPr>
      </w:pPr>
      <w:r>
        <w:rPr>
          <w:rFonts w:eastAsiaTheme="minorEastAsia"/>
        </w:rPr>
        <w:t>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measurement channels (RMCs) are specified in Annex A.2. Configurations of PDSCH and MPDCCH before measurement are specified in Annex C.2.</w:t>
      </w:r>
    </w:p>
    <w:p>
      <w:pPr>
        <w:keepNext/>
        <w:keepLines/>
        <w:spacing w:before="60"/>
        <w:jc w:val="center"/>
        <w:rPr>
          <w:rFonts w:ascii="Arial" w:hAnsi="Arial" w:eastAsia="Batang"/>
          <w:b/>
          <w:color w:val="000000"/>
        </w:rPr>
      </w:pPr>
      <w:r>
        <w:rPr>
          <w:rFonts w:ascii="Arial" w:hAnsi="Arial" w:eastAsia="Batang"/>
          <w:b/>
          <w:color w:val="000000"/>
          <w:lang w:eastAsia="ja-JP"/>
        </w:rPr>
        <w:t>Table 6.3A.1.4.1-1: Test Configuration T</w:t>
      </w:r>
      <w:r>
        <w:rPr>
          <w:rFonts w:ascii="Arial" w:hAnsi="Arial" w:eastAsia="Batang"/>
          <w:b/>
          <w:color w:val="000000"/>
        </w:rPr>
        <w:t>able</w:t>
      </w:r>
    </w:p>
    <w:tbl>
      <w:tblPr>
        <w:tblStyle w:val="89"/>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fixed"/>
        <w:tblCellMar>
          <w:top w:w="0" w:type="dxa"/>
          <w:left w:w="108" w:type="dxa"/>
          <w:bottom w:w="0" w:type="dxa"/>
          <w:right w:w="108" w:type="dxa"/>
        </w:tblCellMar>
      </w:tblPr>
      <w:tblGrid>
        <w:gridCol w:w="1166"/>
        <w:gridCol w:w="2330"/>
        <w:gridCol w:w="1165"/>
        <w:gridCol w:w="1146"/>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8500" w:type="dxa"/>
            <w:gridSpan w:val="5"/>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3496" w:type="dxa"/>
            <w:gridSpan w:val="2"/>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Test Environment as specified in</w:t>
            </w:r>
          </w:p>
          <w:p>
            <w:pPr>
              <w:keepNext/>
              <w:keepLines/>
              <w:spacing w:after="0"/>
              <w:jc w:val="center"/>
              <w:rPr>
                <w:rFonts w:ascii="Arial" w:hAnsi="Arial"/>
                <w:color w:val="000000"/>
                <w:sz w:val="18"/>
                <w:lang w:eastAsia="ja-JP"/>
              </w:rPr>
            </w:pPr>
            <w:r>
              <w:rPr>
                <w:rFonts w:ascii="Arial" w:hAnsi="Arial"/>
                <w:color w:val="000000"/>
                <w:sz w:val="18"/>
                <w:lang w:eastAsia="ja-JP"/>
              </w:rPr>
              <w:t>TS 36.508 [12] subclause 4.1</w:t>
            </w:r>
          </w:p>
        </w:tc>
        <w:tc>
          <w:tcPr>
            <w:tcW w:w="5004" w:type="dxa"/>
            <w:gridSpan w:val="3"/>
            <w:shd w:val="clear" w:color="auto" w:fill="FFFFFF"/>
          </w:tcPr>
          <w:p>
            <w:pPr>
              <w:keepNext/>
              <w:keepLines/>
              <w:spacing w:after="0"/>
              <w:rPr>
                <w:rFonts w:ascii="Arial" w:hAnsi="Arial"/>
                <w:color w:val="000000"/>
                <w:sz w:val="18"/>
                <w:lang w:eastAsia="ja-JP"/>
              </w:rPr>
            </w:pPr>
            <w:r>
              <w:rPr>
                <w:rFonts w:ascii="Arial" w:hAnsi="Arial"/>
                <w:color w:val="000000"/>
                <w:sz w:val="18"/>
                <w:lang w:eastAsia="ja-JP"/>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3496" w:type="dxa"/>
            <w:gridSpan w:val="2"/>
            <w:shd w:val="clear" w:color="auto" w:fill="FFFFFF"/>
          </w:tcPr>
          <w:p>
            <w:pPr>
              <w:keepNext/>
              <w:keepLines/>
              <w:spacing w:after="0"/>
              <w:jc w:val="center"/>
              <w:rPr>
                <w:rFonts w:ascii="Arial" w:hAnsi="Arial"/>
                <w:color w:val="000000"/>
                <w:sz w:val="18"/>
                <w:lang w:eastAsia="ja-JP"/>
              </w:rPr>
            </w:pPr>
            <w:r>
              <w:rPr>
                <w:rFonts w:ascii="Arial" w:hAnsi="Arial"/>
                <w:color w:val="000000"/>
                <w:sz w:val="18"/>
                <w:lang w:eastAsia="ja-JP"/>
              </w:rPr>
              <w:t>Test Frequencies as specified in</w:t>
            </w:r>
          </w:p>
          <w:p>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pPr>
              <w:keepNext/>
              <w:keepLines/>
              <w:spacing w:after="0"/>
              <w:rPr>
                <w:rFonts w:ascii="Arial" w:hAnsi="Arial"/>
                <w:color w:val="000000"/>
                <w:sz w:val="18"/>
                <w:lang w:eastAsia="ja-JP"/>
              </w:rPr>
            </w:pPr>
            <w:r>
              <w:rPr>
                <w:rFonts w:ascii="Arial" w:hAnsi="Arial"/>
                <w:color w:val="000000"/>
                <w:sz w:val="18"/>
                <w:lang w:eastAsia="ja-JP"/>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3496" w:type="dxa"/>
            <w:gridSpan w:val="2"/>
            <w:shd w:val="clear" w:color="auto" w:fill="FFFFFF"/>
          </w:tcPr>
          <w:p>
            <w:pPr>
              <w:keepNext/>
              <w:keepLines/>
              <w:spacing w:after="0"/>
              <w:jc w:val="center"/>
              <w:rPr>
                <w:rFonts w:ascii="Arial" w:hAnsi="Arial"/>
                <w:color w:val="000000"/>
                <w:sz w:val="18"/>
                <w:lang w:eastAsia="ja-JP"/>
              </w:rPr>
            </w:pPr>
            <w:r>
              <w:rPr>
                <w:rFonts w:ascii="Arial" w:hAnsi="Arial"/>
                <w:color w:val="000000"/>
                <w:sz w:val="18"/>
                <w:lang w:eastAsia="ja-JP"/>
              </w:rPr>
              <w:t>Test Channel Bandwidths as specified in</w:t>
            </w:r>
          </w:p>
          <w:p>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pPr>
              <w:keepNext/>
              <w:keepLines/>
              <w:spacing w:after="0"/>
              <w:rPr>
                <w:rFonts w:ascii="Arial" w:hAnsi="Arial"/>
                <w:color w:val="000000"/>
                <w:sz w:val="18"/>
                <w:lang w:eastAsia="ja-JP"/>
              </w:rPr>
            </w:pPr>
            <w:r>
              <w:rPr>
                <w:rFonts w:ascii="Arial" w:hAnsi="Arial"/>
                <w:color w:val="000000"/>
                <w:sz w:val="18"/>
                <w:lang w:eastAsia="ja-JP"/>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8500" w:type="dxa"/>
            <w:gridSpan w:val="5"/>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jc w:val="center"/>
        </w:trPr>
        <w:tc>
          <w:tcPr>
            <w:tcW w:w="1166" w:type="dxa"/>
            <w:shd w:val="clear" w:color="auto" w:fill="FFFFFF"/>
          </w:tcPr>
          <w:p>
            <w:pPr>
              <w:keepNext/>
              <w:keepLines/>
              <w:spacing w:after="0"/>
              <w:jc w:val="center"/>
              <w:rPr>
                <w:rFonts w:ascii="Arial" w:hAnsi="Arial" w:eastAsia="Batang"/>
                <w:color w:val="000000"/>
                <w:sz w:val="18"/>
                <w:lang w:eastAsia="ja-JP"/>
              </w:rPr>
            </w:pPr>
          </w:p>
        </w:tc>
        <w:tc>
          <w:tcPr>
            <w:tcW w:w="3495" w:type="dxa"/>
            <w:gridSpan w:val="2"/>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Downlink Configuration</w:t>
            </w:r>
          </w:p>
        </w:tc>
        <w:tc>
          <w:tcPr>
            <w:tcW w:w="3839" w:type="dxa"/>
            <w:gridSpan w:val="2"/>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1166" w:type="dxa"/>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Ch BW</w:t>
            </w:r>
          </w:p>
        </w:tc>
        <w:tc>
          <w:tcPr>
            <w:tcW w:w="3495" w:type="dxa"/>
            <w:gridSpan w:val="2"/>
            <w:vMerge w:val="restart"/>
            <w:shd w:val="clear" w:color="auto" w:fill="FFFFFF"/>
          </w:tcPr>
          <w:p>
            <w:pPr>
              <w:keepNext/>
              <w:keepLines/>
              <w:spacing w:after="0"/>
              <w:jc w:val="center"/>
              <w:rPr>
                <w:rFonts w:ascii="Arial" w:hAnsi="Arial"/>
                <w:color w:val="000000"/>
                <w:sz w:val="18"/>
                <w:lang w:eastAsia="ja-JP"/>
              </w:rPr>
            </w:pPr>
            <w:r>
              <w:rPr>
                <w:rFonts w:ascii="Arial" w:hAnsi="Arial"/>
                <w:color w:val="000000"/>
                <w:sz w:val="18"/>
                <w:lang w:eastAsia="ja-JP"/>
              </w:rPr>
              <w:t>N/A for min output power test</w:t>
            </w:r>
          </w:p>
        </w:tc>
        <w:tc>
          <w:tcPr>
            <w:tcW w:w="1146" w:type="dxa"/>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Mod'n</w:t>
            </w:r>
          </w:p>
        </w:tc>
        <w:tc>
          <w:tcPr>
            <w:tcW w:w="2693" w:type="dxa"/>
            <w:shd w:val="clear" w:color="auto" w:fill="FFFFFF"/>
          </w:tcPr>
          <w:p>
            <w:pPr>
              <w:keepNext/>
              <w:keepLines/>
              <w:spacing w:after="0"/>
              <w:jc w:val="center"/>
              <w:rPr>
                <w:rFonts w:ascii="Arial" w:hAnsi="Arial" w:cs="v5.0.0"/>
                <w:color w:val="000000"/>
                <w:sz w:val="18"/>
                <w:lang w:eastAsia="ja-JP"/>
              </w:rPr>
            </w:pPr>
            <w:r>
              <w:rPr>
                <w:rFonts w:ascii="Arial" w:hAnsi="Arial" w:cs="v5.0.0"/>
                <w:color w:val="000000"/>
                <w:sz w:val="18"/>
                <w:lang w:eastAsia="ja-JP"/>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1166" w:type="dxa"/>
            <w:shd w:val="clear" w:color="auto" w:fill="FFFFFF"/>
          </w:tcPr>
          <w:p>
            <w:pPr>
              <w:keepNext/>
              <w:keepLines/>
              <w:spacing w:after="0"/>
              <w:jc w:val="center"/>
              <w:rPr>
                <w:rFonts w:ascii="Arial" w:hAnsi="Arial" w:eastAsia="Batang"/>
                <w:color w:val="000000"/>
                <w:sz w:val="18"/>
                <w:lang w:eastAsia="ja-JP"/>
              </w:rPr>
            </w:pPr>
          </w:p>
        </w:tc>
        <w:tc>
          <w:tcPr>
            <w:tcW w:w="3495" w:type="dxa"/>
            <w:gridSpan w:val="2"/>
            <w:vMerge w:val="continue"/>
            <w:shd w:val="clear" w:color="auto" w:fill="FFFFFF"/>
          </w:tcPr>
          <w:p>
            <w:pPr>
              <w:rPr>
                <w:rFonts w:eastAsia="Batang"/>
                <w:lang w:eastAsia="ja-JP"/>
              </w:rPr>
            </w:pPr>
          </w:p>
        </w:tc>
        <w:tc>
          <w:tcPr>
            <w:tcW w:w="1146" w:type="dxa"/>
            <w:shd w:val="clear" w:color="auto" w:fill="FFFFFF"/>
          </w:tcPr>
          <w:p>
            <w:pPr>
              <w:keepNext/>
              <w:keepLines/>
              <w:spacing w:after="0"/>
              <w:jc w:val="center"/>
              <w:rPr>
                <w:rFonts w:ascii="Arial" w:hAnsi="Arial" w:eastAsia="Batang"/>
                <w:color w:val="000000"/>
                <w:sz w:val="18"/>
                <w:lang w:eastAsia="ja-JP"/>
              </w:rPr>
            </w:pPr>
          </w:p>
        </w:tc>
        <w:tc>
          <w:tcPr>
            <w:tcW w:w="2693" w:type="dxa"/>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trHeight w:val="105" w:hRule="atLeast"/>
          <w:jc w:val="center"/>
        </w:trPr>
        <w:tc>
          <w:tcPr>
            <w:tcW w:w="1166" w:type="dxa"/>
            <w:vMerge w:val="restart"/>
            <w:shd w:val="clear" w:color="auto" w:fill="FFFFFF"/>
            <w:vAlign w:val="center"/>
          </w:tcPr>
          <w:p>
            <w:pPr>
              <w:keepNext/>
              <w:keepLines/>
              <w:spacing w:after="0"/>
              <w:jc w:val="center"/>
              <w:rPr>
                <w:rFonts w:ascii="Arial" w:hAnsi="Arial" w:eastAsia="Malgun Gothic"/>
                <w:color w:val="000000"/>
                <w:sz w:val="18"/>
                <w:lang w:eastAsia="ko-KR"/>
              </w:rPr>
            </w:pPr>
            <w:r>
              <w:rPr>
                <w:rFonts w:ascii="Arial" w:hAnsi="Arial"/>
                <w:color w:val="000000"/>
                <w:sz w:val="18"/>
                <w:lang w:eastAsia="ja-JP"/>
              </w:rPr>
              <w:t>1.4MHz</w:t>
            </w:r>
          </w:p>
        </w:tc>
        <w:tc>
          <w:tcPr>
            <w:tcW w:w="3495" w:type="dxa"/>
            <w:gridSpan w:val="2"/>
            <w:vMerge w:val="continue"/>
            <w:shd w:val="clear" w:color="auto" w:fill="FFFFFF"/>
          </w:tcPr>
          <w:p>
            <w:pPr>
              <w:rPr>
                <w:rFonts w:cs="v5.0.0"/>
              </w:rPr>
            </w:pPr>
          </w:p>
        </w:tc>
        <w:tc>
          <w:tcPr>
            <w:tcW w:w="1146" w:type="dxa"/>
            <w:vMerge w:val="restart"/>
            <w:shd w:val="clear" w:color="auto" w:fill="FFFFFF"/>
            <w:vAlign w:val="center"/>
          </w:tcPr>
          <w:p>
            <w:pPr>
              <w:keepNext/>
              <w:keepLines/>
              <w:spacing w:after="0"/>
              <w:jc w:val="center"/>
              <w:rPr>
                <w:rFonts w:ascii="Arial" w:hAnsi="Arial"/>
                <w:color w:val="000000"/>
                <w:sz w:val="18"/>
                <w:lang w:eastAsia="ja-JP"/>
              </w:rPr>
            </w:pPr>
            <w:r>
              <w:rPr>
                <w:rFonts w:ascii="Arial" w:hAnsi="Arial"/>
                <w:color w:val="000000"/>
                <w:sz w:val="18"/>
                <w:lang w:eastAsia="ja-JP"/>
              </w:rPr>
              <w:t>QPSK</w:t>
            </w:r>
          </w:p>
        </w:tc>
        <w:tc>
          <w:tcPr>
            <w:tcW w:w="2693" w:type="dxa"/>
            <w:shd w:val="clear" w:color="auto" w:fill="FFFFFF"/>
          </w:tcPr>
          <w:p>
            <w:pPr>
              <w:keepNext/>
              <w:keepLines/>
              <w:spacing w:after="0"/>
              <w:jc w:val="center"/>
              <w:rPr>
                <w:rFonts w:ascii="Arial" w:hAnsi="Arial" w:eastAsia="Batang"/>
                <w:color w:val="000000"/>
                <w:sz w:val="18"/>
                <w:lang w:eastAsia="ko-KR"/>
              </w:rPr>
            </w:pPr>
            <w:r>
              <w:rPr>
                <w:rFonts w:ascii="Arial" w:hAnsi="Arial" w:eastAsiaTheme="minorEastAsia"/>
                <w:color w:val="000000"/>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5" w:hRule="atLeast"/>
          <w:jc w:val="center"/>
        </w:trPr>
        <w:tc>
          <w:tcPr>
            <w:tcW w:w="1166" w:type="dxa"/>
            <w:vMerge w:val="continue"/>
            <w:shd w:val="clear" w:color="auto" w:fill="FFFFFF"/>
          </w:tcPr>
          <w:p>
            <w:pPr>
              <w:keepNext/>
              <w:keepLines/>
              <w:spacing w:after="0"/>
              <w:jc w:val="center"/>
              <w:rPr>
                <w:rFonts w:ascii="Arial" w:hAnsi="Arial" w:eastAsiaTheme="minorEastAsia"/>
                <w:color w:val="000000"/>
                <w:sz w:val="18"/>
              </w:rPr>
            </w:pPr>
          </w:p>
        </w:tc>
        <w:tc>
          <w:tcPr>
            <w:tcW w:w="3495" w:type="dxa"/>
            <w:gridSpan w:val="2"/>
            <w:vMerge w:val="continue"/>
            <w:shd w:val="clear" w:color="auto" w:fill="FFFFFF"/>
          </w:tcPr>
          <w:p>
            <w:pPr>
              <w:rPr>
                <w:rFonts w:cs="v5.0.0"/>
              </w:rPr>
            </w:pPr>
          </w:p>
        </w:tc>
        <w:tc>
          <w:tcPr>
            <w:tcW w:w="1146" w:type="dxa"/>
            <w:vMerge w:val="continue"/>
            <w:shd w:val="clear" w:color="auto" w:fill="FFFFFF"/>
          </w:tcPr>
          <w:p>
            <w:pPr>
              <w:keepNext/>
              <w:keepLines/>
              <w:spacing w:after="0"/>
              <w:jc w:val="center"/>
              <w:rPr>
                <w:rFonts w:ascii="Arial" w:hAnsi="Arial"/>
                <w:color w:val="000000"/>
                <w:sz w:val="18"/>
                <w:lang w:eastAsia="ja-JP"/>
              </w:rPr>
            </w:pPr>
          </w:p>
        </w:tc>
        <w:tc>
          <w:tcPr>
            <w:tcW w:w="2693" w:type="dxa"/>
            <w:shd w:val="clear" w:color="auto" w:fill="FFFFFF"/>
          </w:tcPr>
          <w:p>
            <w:pPr>
              <w:keepNext/>
              <w:keepLines/>
              <w:spacing w:after="0"/>
              <w:jc w:val="center"/>
              <w:rPr>
                <w:rFonts w:ascii="Arial" w:hAnsi="Arial" w:cs="v5.0.0" w:eastAsiaTheme="minorEastAsia"/>
                <w:color w:val="000000"/>
                <w:sz w:val="18"/>
              </w:rPr>
            </w:pPr>
            <w:r>
              <w:rPr>
                <w:rFonts w:hint="eastAsia" w:ascii="Arial" w:hAnsi="Arial" w:eastAsiaTheme="minorEastAsia"/>
                <w:color w:val="000000"/>
                <w:sz w:val="18"/>
              </w:rPr>
              <w:t>2</w:t>
            </w:r>
          </w:p>
        </w:tc>
      </w:tr>
    </w:tbl>
    <w:p>
      <w:pPr>
        <w:rPr>
          <w:lang w:eastAsia="ja-JP"/>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6.3A.1.4.1-1.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w:t>
      </w:r>
      <w:r>
        <w:rPr>
          <w:color w:val="000000" w:themeColor="text1"/>
          <w14:textFill>
            <w14:solidFill>
              <w14:schemeClr w14:val="tx1"/>
            </w14:solidFill>
          </w14:textFill>
        </w:rPr>
        <w:t xml:space="preserve">mulate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w:t>
      </w:r>
      <w:r>
        <w:t>ration of the test as define in TS 36.508[12] clause 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 xml:space="preserve">Ensure the UE is in State 3A-RF-CE according to TS 36.508 [12] clause 5.2A.2AA. Message contents are defined in clause 6.3A.1.4.3. </w:t>
      </w:r>
    </w:p>
    <w:p>
      <w:pPr>
        <w:pStyle w:val="9"/>
      </w:pPr>
      <w:r>
        <w:t>6.3A.1.4.2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 xml:space="preserve">Send continuous uplink power control "down" commands in the uplink scheduling information to the UE to ensure that the UE transmits at its minimum output power. </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pPr>
        <w:pStyle w:val="9"/>
      </w:pPr>
      <w:r>
        <w:t>6.3A.1.4.3</w:t>
      </w:r>
      <w:r>
        <w:tab/>
      </w:r>
      <w:r>
        <w:t>Message contents</w:t>
      </w:r>
    </w:p>
    <w:p>
      <w:pPr>
        <w:rPr>
          <w:lang w:eastAsia="ja-JP"/>
        </w:rPr>
      </w:pPr>
      <w:r>
        <w:t>Message contents are according to TS 36.508 [12] subclause 4.6</w:t>
      </w:r>
    </w:p>
    <w:p>
      <w:pPr>
        <w:pStyle w:val="9"/>
      </w:pPr>
      <w:r>
        <w:t>6.3A.1.5</w:t>
      </w:r>
      <w:r>
        <w:tab/>
      </w:r>
      <w:r>
        <w:t>Test requirement</w:t>
      </w:r>
    </w:p>
    <w:p>
      <w:pPr>
        <w:rPr>
          <w:rFonts w:eastAsia="Batang" w:cs="v5.0.0"/>
        </w:rPr>
      </w:pPr>
      <w:r>
        <w:rPr>
          <w:rFonts w:eastAsia="Batang"/>
        </w:rPr>
        <w:t>The minimum output power measured shall not exceed the values specified in Table 6.3A.1.5-1.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 xml:space="preserve">Table 6.3A.1.5-1: Minimum output power for </w:t>
      </w:r>
      <w:r>
        <w:rPr>
          <w:rFonts w:ascii="Arial" w:hAnsi="Arial" w:eastAsia="Batang"/>
          <w:b/>
          <w:color w:val="000000"/>
          <w:lang w:eastAsia="ko-KR"/>
        </w:rPr>
        <w:t>UE c</w:t>
      </w:r>
      <w:r>
        <w:rPr>
          <w:rFonts w:ascii="Arial" w:hAnsi="Arial" w:eastAsia="Batang"/>
          <w:b/>
          <w:color w:val="000000"/>
          <w:lang w:eastAsia="ja-JP"/>
        </w:rPr>
        <w:t>ategory M1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keepNext/>
              <w:keepLines/>
              <w:spacing w:after="0"/>
              <w:jc w:val="center"/>
              <w:rPr>
                <w:rFonts w:ascii="Arial" w:hAnsi="Arial"/>
                <w:b/>
                <w:color w:val="000000"/>
                <w:sz w:val="18"/>
                <w:lang w:eastAsia="ja-JP"/>
              </w:rPr>
            </w:pPr>
          </w:p>
        </w:tc>
        <w:tc>
          <w:tcPr>
            <w:tcW w:w="5869" w:type="dxa"/>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pPr>
              <w:rPr>
                <w:rFonts w:eastAsia="Batang"/>
              </w:rPr>
            </w:pPr>
          </w:p>
        </w:tc>
        <w:tc>
          <w:tcPr>
            <w:tcW w:w="5869" w:type="dxa"/>
          </w:tcPr>
          <w:p>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hint="eastAsia" w:ascii="Arial" w:hAnsi="Arial" w:eastAsia="MS Mincho"/>
                <w:b/>
                <w:color w:val="000000"/>
                <w:sz w:val="18"/>
                <w:lang w:eastAsia="ja-JP"/>
              </w:rPr>
              <w:t xml:space="preserve"> </w:t>
            </w:r>
            <w:r>
              <w:rPr>
                <w:rFonts w:ascii="Arial" w:hAnsi="Arial"/>
                <w:b/>
                <w:color w:val="000000"/>
                <w:sz w:val="18"/>
                <w:lang w:eastAsia="ja-JP"/>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5869" w:type="dxa"/>
            <w:vAlign w:val="center"/>
          </w:tcPr>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-39 dBm</w:t>
            </w:r>
          </w:p>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-38.7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Measurement bandwidth (Note 1)</w:t>
            </w:r>
          </w:p>
        </w:tc>
        <w:tc>
          <w:tcPr>
            <w:tcW w:w="5869"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4" w:type="dxa"/>
            <w:gridSpan w:val="2"/>
            <w:vAlign w:val="center"/>
          </w:tcPr>
          <w:p>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r>
            <w:r>
              <w:rPr>
                <w:rFonts w:ascii="Arial" w:hAnsi="Arial"/>
                <w:color w:val="000000"/>
                <w:sz w:val="18"/>
                <w:lang w:eastAsia="ja-JP"/>
              </w:rPr>
              <w:t>Different implementations such as FFT or spectrum analyzer approach are allowed. For spectrum analyzer approach the measurement bandwidth is defined as an equivalent noise bandwidth.</w:t>
            </w:r>
          </w:p>
        </w:tc>
      </w:tr>
    </w:tbl>
    <w:p>
      <w:pPr>
        <w:rPr>
          <w:lang w:eastAsia="zh-TW"/>
        </w:rPr>
      </w:pPr>
    </w:p>
    <w:p>
      <w:pPr>
        <w:pStyle w:val="5"/>
      </w:pPr>
      <w:bookmarkStart w:id="502" w:name="_Toc6486"/>
      <w:bookmarkStart w:id="503" w:name="_Toc27075"/>
      <w:bookmarkStart w:id="504" w:name="_Toc7016"/>
      <w:bookmarkStart w:id="505" w:name="_Toc22192"/>
      <w:bookmarkStart w:id="506" w:name="_Toc14062"/>
      <w:bookmarkStart w:id="507" w:name="_Toc121162830"/>
      <w:bookmarkStart w:id="508" w:name="_Toc27607"/>
      <w:bookmarkStart w:id="509" w:name="_Toc120570038"/>
      <w:bookmarkStart w:id="510" w:name="_Toc15525"/>
      <w:bookmarkStart w:id="511" w:name="_Toc111062041"/>
      <w:r>
        <w:t>6.3A.2</w:t>
      </w:r>
      <w:r>
        <w:tab/>
      </w:r>
      <w:r>
        <w:t>Transmit OFF power for category M1</w:t>
      </w:r>
      <w:bookmarkEnd w:id="502"/>
      <w:bookmarkEnd w:id="503"/>
      <w:bookmarkEnd w:id="504"/>
      <w:bookmarkEnd w:id="505"/>
      <w:bookmarkEnd w:id="506"/>
    </w:p>
    <w:p>
      <w:pPr>
        <w:pStyle w:val="112"/>
        <w:rPr>
          <w:lang w:val="en-US"/>
        </w:rPr>
      </w:pPr>
      <w:r>
        <w:t>Editor’s Note: Addition to applicability spec is pending.</w:t>
      </w:r>
    </w:p>
    <w:p>
      <w:pPr>
        <w:pStyle w:val="9"/>
      </w:pPr>
      <w:r>
        <w:t>6.3A.2.1</w:t>
      </w:r>
      <w:r>
        <w:tab/>
      </w:r>
      <w:r>
        <w:t>Test purpose</w:t>
      </w:r>
    </w:p>
    <w:p>
      <w:pPr>
        <w:rPr>
          <w:rFonts w:eastAsiaTheme="minorEastAsia"/>
        </w:rPr>
      </w:pPr>
      <w:r>
        <w:rPr>
          <w:rFonts w:eastAsiaTheme="minorEastAsia"/>
        </w:rPr>
        <w:t>To verify that the UE transmit OFF power is lower than the value specified in the test requirement.</w:t>
      </w:r>
    </w:p>
    <w:p>
      <w:pPr>
        <w:pStyle w:val="9"/>
      </w:pPr>
      <w:r>
        <w:t>6.3A.2.2</w:t>
      </w:r>
      <w:r>
        <w:tab/>
      </w:r>
      <w:r>
        <w:t>Test applicability</w:t>
      </w:r>
    </w:p>
    <w:p>
      <w:pPr>
        <w:rPr>
          <w:rFonts w:eastAsiaTheme="minorEastAsia"/>
        </w:rPr>
      </w:pPr>
      <w:r>
        <w:rPr>
          <w:rFonts w:eastAsiaTheme="minorEastAsia"/>
        </w:rPr>
        <w:t>The requirements of this test apply in test cases 6.3A.3.1 ON/OFF time mask and 6.3A.3.2 PRACH and SRS time mask to all types of E-UTRA UE release 17 and forward that support satellite access operation.</w:t>
      </w:r>
    </w:p>
    <w:p>
      <w:pPr>
        <w:pStyle w:val="9"/>
      </w:pPr>
      <w:r>
        <w:t>6.3A.2.3</w:t>
      </w:r>
      <w:r>
        <w:tab/>
      </w:r>
      <w:r>
        <w:t>Minimum conformance requirements</w:t>
      </w:r>
    </w:p>
    <w:p>
      <w:pPr>
        <w:rPr>
          <w:rFonts w:eastAsiaTheme="minorEastAsia"/>
        </w:rPr>
      </w:pPr>
      <w:r>
        <w:rPr>
          <w:rFonts w:eastAsiaTheme="minorEastAsia"/>
        </w:rPr>
        <w:t>The minimum output power is defined as the mean power in one sub-frame (1ms). The minimum output power shall not exceed the values specified in Table 6.3A.2.3-1.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Table 6.3A.2.3-1: Minimum output power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4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keepNext/>
              <w:keepLines/>
              <w:spacing w:after="0"/>
              <w:jc w:val="center"/>
              <w:rPr>
                <w:rFonts w:ascii="Arial" w:hAnsi="Arial" w:eastAsia="Batang"/>
                <w:color w:val="000000"/>
                <w:sz w:val="18"/>
                <w:lang w:eastAsia="ja-JP"/>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pPr>
              <w:rPr>
                <w:rFonts w:eastAsia="Batang"/>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-50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bl>
    <w:p>
      <w:pPr>
        <w:rPr>
          <w:rFonts w:eastAsiaTheme="minorEastAsia"/>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6.3A.2.</w:t>
      </w:r>
    </w:p>
    <w:p>
      <w:pPr>
        <w:rPr>
          <w:rFonts w:eastAsiaTheme="minorEastAsia"/>
        </w:rPr>
      </w:pPr>
      <w:r>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pPr>
        <w:rPr>
          <w:rFonts w:eastAsiaTheme="minorEastAsia"/>
        </w:rPr>
      </w:pPr>
      <w:r>
        <w:rPr>
          <w:rFonts w:eastAsiaTheme="minorEastAsia"/>
        </w:rPr>
        <w:t>An excess transmits OFF power potentially increases the Rise over Thermal (RoT) and therefore reduces the cell coverage area for other UEs.</w:t>
      </w:r>
    </w:p>
    <w:p>
      <w:pPr>
        <w:pStyle w:val="9"/>
      </w:pPr>
      <w:r>
        <w:t>6.3A.2.4</w:t>
      </w:r>
      <w:r>
        <w:tab/>
      </w:r>
      <w:r>
        <w:t>Test description</w:t>
      </w:r>
    </w:p>
    <w:p>
      <w:pPr>
        <w:rPr>
          <w:rFonts w:eastAsiaTheme="minorEastAsia"/>
        </w:rPr>
      </w:pPr>
      <w:r>
        <w:rPr>
          <w:rFonts w:eastAsiaTheme="minorEastAsia"/>
        </w:rPr>
        <w:t>This test is covered by clause 6.3A.3.1 ON/OFF time mask and 6.3A.3.2 PRACH and SRS time mask.</w:t>
      </w:r>
    </w:p>
    <w:p>
      <w:pPr>
        <w:pStyle w:val="9"/>
      </w:pPr>
      <w:r>
        <w:t>6.3A.2.5</w:t>
      </w:r>
      <w:r>
        <w:tab/>
      </w:r>
      <w:r>
        <w:t>Test requirement</w:t>
      </w:r>
    </w:p>
    <w:p>
      <w:pPr>
        <w:rPr>
          <w:rFonts w:eastAsia="Batang" w:cs="v5.0.0"/>
        </w:rPr>
      </w:pPr>
      <w:r>
        <w:rPr>
          <w:rFonts w:eastAsia="Batang"/>
        </w:rPr>
        <w:t>The minimum output power measured shall not exceed the values specified in Table 6.3A.2.5-1.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 xml:space="preserve">Table 6.3A.2.5-1: Minimum output power for </w:t>
      </w:r>
      <w:r>
        <w:rPr>
          <w:rFonts w:ascii="Arial" w:hAnsi="Arial" w:eastAsia="Batang"/>
          <w:b/>
          <w:color w:val="000000"/>
          <w:lang w:eastAsia="ko-KR"/>
        </w:rPr>
        <w:t>UE c</w:t>
      </w:r>
      <w:r>
        <w:rPr>
          <w:rFonts w:ascii="Arial" w:hAnsi="Arial" w:eastAsia="Batang"/>
          <w:b/>
          <w:color w:val="000000"/>
          <w:lang w:eastAsia="ja-JP"/>
        </w:rPr>
        <w:t>ategory M1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keepNext/>
              <w:keepLines/>
              <w:spacing w:after="0"/>
              <w:jc w:val="center"/>
              <w:rPr>
                <w:rFonts w:ascii="Arial" w:hAnsi="Arial"/>
                <w:b/>
                <w:color w:val="000000"/>
                <w:sz w:val="18"/>
                <w:lang w:eastAsia="ja-JP"/>
              </w:rPr>
            </w:pPr>
          </w:p>
        </w:tc>
        <w:tc>
          <w:tcPr>
            <w:tcW w:w="5869" w:type="dxa"/>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pPr>
              <w:rPr>
                <w:rFonts w:eastAsia="Batang"/>
              </w:rPr>
            </w:pPr>
          </w:p>
        </w:tc>
        <w:tc>
          <w:tcPr>
            <w:tcW w:w="5869" w:type="dxa"/>
          </w:tcPr>
          <w:p>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hint="eastAsia" w:ascii="Arial" w:hAnsi="Arial" w:eastAsia="MS Mincho"/>
                <w:b/>
                <w:color w:val="000000"/>
                <w:sz w:val="18"/>
                <w:lang w:eastAsia="ja-JP"/>
              </w:rPr>
              <w:t xml:space="preserve"> </w:t>
            </w:r>
            <w:r>
              <w:rPr>
                <w:rFonts w:ascii="Arial" w:hAnsi="Arial"/>
                <w:b/>
                <w:color w:val="000000"/>
                <w:sz w:val="18"/>
                <w:lang w:eastAsia="ja-JP"/>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5869" w:type="dxa"/>
            <w:vAlign w:val="center"/>
          </w:tcPr>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-48.5 dBm</w:t>
            </w:r>
          </w:p>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 xml:space="preserve">Measurement bandwidth </w:t>
            </w:r>
          </w:p>
        </w:tc>
        <w:tc>
          <w:tcPr>
            <w:tcW w:w="5869"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bl>
    <w:p/>
    <w:p>
      <w:pPr>
        <w:pStyle w:val="5"/>
        <w:rPr>
          <w:lang w:eastAsia="zh-CN"/>
        </w:rPr>
      </w:pPr>
      <w:bookmarkStart w:id="512" w:name="_Toc23533"/>
      <w:bookmarkStart w:id="513" w:name="_Toc32113"/>
      <w:bookmarkStart w:id="514" w:name="_Toc2128"/>
      <w:bookmarkStart w:id="515" w:name="_Toc27142"/>
      <w:bookmarkStart w:id="516" w:name="_Toc29698"/>
      <w:r>
        <w:t>6.3A.3</w:t>
      </w:r>
      <w:r>
        <w:tab/>
      </w:r>
      <w:r>
        <w:t xml:space="preserve">ON/OFF time mask </w:t>
      </w:r>
      <w:r>
        <w:rPr>
          <w:lang w:eastAsia="zh-CN"/>
        </w:rPr>
        <w:t>for category M1</w:t>
      </w:r>
      <w:bookmarkEnd w:id="507"/>
      <w:bookmarkEnd w:id="508"/>
      <w:bookmarkEnd w:id="509"/>
      <w:bookmarkEnd w:id="510"/>
      <w:bookmarkEnd w:id="512"/>
      <w:bookmarkEnd w:id="513"/>
      <w:bookmarkEnd w:id="514"/>
      <w:bookmarkEnd w:id="515"/>
      <w:bookmarkEnd w:id="516"/>
    </w:p>
    <w:p>
      <w:pPr>
        <w:pStyle w:val="6"/>
      </w:pPr>
      <w:bookmarkStart w:id="517" w:name="_Toc23608"/>
      <w:bookmarkStart w:id="518" w:name="_Toc27370"/>
      <w:bookmarkStart w:id="519" w:name="_Toc12802"/>
      <w:bookmarkStart w:id="520" w:name="_Toc2328"/>
      <w:bookmarkStart w:id="521" w:name="_Toc28057"/>
      <w:bookmarkStart w:id="522" w:name="_Toc12987"/>
      <w:r>
        <w:t>6.3A.3.1</w:t>
      </w:r>
      <w:r>
        <w:tab/>
      </w:r>
      <w:r>
        <w:t>General ON/OFF time mask for category M1</w:t>
      </w:r>
      <w:bookmarkEnd w:id="517"/>
      <w:bookmarkEnd w:id="518"/>
      <w:bookmarkEnd w:id="519"/>
      <w:bookmarkEnd w:id="520"/>
      <w:bookmarkEnd w:id="521"/>
      <w:bookmarkEnd w:id="522"/>
    </w:p>
    <w:p>
      <w:pPr>
        <w:pStyle w:val="112"/>
        <w:rPr>
          <w:lang w:val="en-US"/>
        </w:rPr>
      </w:pPr>
      <w:r>
        <w:t>Editor’s Note: Addition to applicability spec is pending.</w:t>
      </w:r>
    </w:p>
    <w:p>
      <w:pPr>
        <w:pStyle w:val="9"/>
      </w:pPr>
      <w:r>
        <w:t>6.3A.3.1.1</w:t>
      </w:r>
      <w:r>
        <w:tab/>
      </w:r>
      <w:r>
        <w:t>Test purpose</w:t>
      </w:r>
    </w:p>
    <w:p>
      <w:r>
        <w:t>To verify that the general ON/OFF time mask meets the requirements given in TS 36.521-1[14] clause 6.3.4.1.5.</w:t>
      </w:r>
    </w:p>
    <w:p>
      <w:pPr>
        <w:keepNext/>
        <w:keepLines/>
      </w:pPr>
      <w:r>
        <w:t>The time mask for transmit ON/OFF defines the ramping time allowed for the UE between transmit OFF power and transmit ON power.</w:t>
      </w:r>
    </w:p>
    <w:p>
      <w:r>
        <w:t>Transmission of the wrong power increases interference to other channels or increases transmission errors in the uplink channel.</w:t>
      </w:r>
    </w:p>
    <w:p>
      <w:pPr>
        <w:pStyle w:val="9"/>
      </w:pPr>
      <w:r>
        <w:t>6.3A.3.1.2</w:t>
      </w:r>
      <w:r>
        <w:tab/>
      </w:r>
      <w:r>
        <w:t>Test applicability</w:t>
      </w:r>
    </w:p>
    <w:p>
      <w:r>
        <w:t>This test case applies to all types of E-UTRA UE release 17 and forward of UE category M1 that support satellite access operation.</w:t>
      </w:r>
    </w:p>
    <w:p>
      <w:pPr>
        <w:pStyle w:val="9"/>
      </w:pPr>
      <w:r>
        <w:t>6.3A.3.1.3</w:t>
      </w:r>
      <w:r>
        <w:tab/>
      </w:r>
      <w:r>
        <w:t>Minimum conformance requirements</w:t>
      </w:r>
    </w:p>
    <w:p>
      <w:r>
        <w:t xml:space="preserve">The requirements for transmit ON/OFF time mask defined in clause 6.3.4 of TS 36.101 [7] shall apply. </w:t>
      </w:r>
    </w:p>
    <w:p>
      <w:pPr>
        <w:pStyle w:val="9"/>
        <w:rPr>
          <w:lang w:val="en-US"/>
        </w:rPr>
      </w:pPr>
      <w:r>
        <w:t>6.3A.3.1.4</w:t>
      </w:r>
      <w:r>
        <w:tab/>
      </w:r>
      <w:r>
        <w:t>Test description</w:t>
      </w:r>
    </w:p>
    <w:p>
      <w:pPr>
        <w:pStyle w:val="9"/>
      </w:pPr>
      <w:r>
        <w:t>6.3A.3.1.4.1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Annexes A.2. Configurations of PDSCH and MPDCCH before measurement are specified in Annex C.2.</w:t>
      </w:r>
    </w:p>
    <w:p>
      <w:pPr>
        <w:pStyle w:val="113"/>
      </w:pPr>
      <w:r>
        <w:t>Table 6.3A.3.1.4.1-1: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1166"/>
        <w:gridCol w:w="1166"/>
        <w:gridCol w:w="34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rPr>
                <w:rFonts w:cs="v5.0.0"/>
                <w:bCs/>
              </w:rPr>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5"/>
            </w:pPr>
            <w:r>
              <w:rPr>
                <w:rFonts w:eastAsia="Calibri"/>
              </w:rPr>
              <w:t>Test Environment as specified in TS 36.508 [12] subclause 4.1</w:t>
            </w:r>
          </w:p>
        </w:tc>
        <w:tc>
          <w:tcPr>
            <w:tcW w:w="5830" w:type="dxa"/>
            <w:gridSpan w:val="3"/>
            <w:tcBorders>
              <w:top w:val="single" w:color="auto" w:sz="4" w:space="0"/>
              <w:left w:val="single" w:color="auto" w:sz="4" w:space="0"/>
              <w:bottom w:val="single" w:color="auto" w:sz="4" w:space="0"/>
              <w:right w:val="single" w:color="auto" w:sz="4" w:space="0"/>
            </w:tcBorders>
          </w:tcPr>
          <w:p>
            <w:pPr>
              <w:pStyle w:val="104"/>
              <w:rPr>
                <w:rFonts w:cs="v5.0.0"/>
                <w:b w:val="0"/>
                <w:bCs/>
              </w:rPr>
            </w:pPr>
            <w:r>
              <w:rPr>
                <w:rFonts w:cs="v5.0.0"/>
                <w:b w:val="0"/>
                <w:bCs/>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4"/>
              <w:rPr>
                <w:rFonts w:eastAsia="Calibri"/>
                <w:b w:val="0"/>
              </w:rPr>
            </w:pPr>
            <w:r>
              <w:rPr>
                <w:rFonts w:eastAsia="Calibri"/>
                <w:b w:val="0"/>
              </w:rPr>
              <w:t>Test Frequencies as specified in 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4"/>
              <w:rPr>
                <w:rFonts w:cs="v5.0.0"/>
                <w:b w:val="0"/>
                <w:bCs/>
              </w:rPr>
            </w:pPr>
            <w:r>
              <w:rPr>
                <w:rFonts w:cs="v5.0.0"/>
                <w:b w:val="0"/>
                <w:bCs/>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4"/>
              <w:rPr>
                <w:rFonts w:eastAsia="Calibri"/>
                <w:b w:val="0"/>
              </w:rPr>
            </w:pPr>
            <w:r>
              <w:rPr>
                <w:rFonts w:eastAsia="Calibri"/>
                <w:b w:val="0"/>
              </w:rPr>
              <w:t>Test Channel Bandwidths as specified in 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4"/>
              <w:rPr>
                <w:rFonts w:cs="v5.0.0"/>
                <w:b w:val="0"/>
                <w:bCs/>
              </w:rPr>
            </w:pPr>
            <w:r>
              <w:rPr>
                <w:rFonts w:cs="v5.0.0"/>
                <w:b w:val="0"/>
                <w:bCs/>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rPr>
                <w:bCs/>
              </w:rPr>
            </w:pPr>
            <w:r>
              <w:rPr>
                <w:bCs/>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6" w:type="dxa"/>
            <w:gridSpan w:val="2"/>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4664"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rPr>
                <w:rFonts w:cs="v5.0.0"/>
              </w:rPr>
              <w:t>Ch BW</w:t>
            </w:r>
          </w:p>
        </w:tc>
        <w:tc>
          <w:tcPr>
            <w:tcW w:w="3496" w:type="dxa"/>
            <w:gridSpan w:val="2"/>
            <w:vMerge w:val="restart"/>
            <w:tcBorders>
              <w:top w:val="single" w:color="auto" w:sz="4" w:space="0"/>
              <w:left w:val="single" w:color="auto" w:sz="4" w:space="0"/>
              <w:bottom w:val="single" w:color="auto" w:sz="4" w:space="0"/>
              <w:right w:val="single" w:color="auto" w:sz="4" w:space="0"/>
            </w:tcBorders>
          </w:tcPr>
          <w:p>
            <w:pPr>
              <w:pStyle w:val="105"/>
            </w:pPr>
            <w:r>
              <w:t>N/A for General On/Off Time Mask test case</w:t>
            </w:r>
          </w:p>
        </w:tc>
        <w:tc>
          <w:tcPr>
            <w:tcW w:w="1166" w:type="dxa"/>
            <w:tcBorders>
              <w:top w:val="single" w:color="auto" w:sz="4" w:space="0"/>
              <w:left w:val="single" w:color="auto" w:sz="4" w:space="0"/>
              <w:bottom w:val="single" w:color="auto" w:sz="4" w:space="0"/>
              <w:right w:val="single" w:color="auto" w:sz="4" w:space="0"/>
            </w:tcBorders>
          </w:tcPr>
          <w:p>
            <w:pPr>
              <w:pStyle w:val="105"/>
            </w:pPr>
            <w:r>
              <w:rPr>
                <w:rFonts w:cs="v5.0.0"/>
              </w:rPr>
              <w:t>Mod'n</w:t>
            </w:r>
          </w:p>
        </w:tc>
        <w:tc>
          <w:tcPr>
            <w:tcW w:w="3498" w:type="dxa"/>
            <w:tcBorders>
              <w:top w:val="single" w:color="auto" w:sz="4" w:space="0"/>
              <w:left w:val="single" w:color="auto" w:sz="4" w:space="0"/>
              <w:bottom w:val="single" w:color="auto" w:sz="4" w:space="0"/>
              <w:right w:val="single" w:color="auto" w:sz="4" w:space="0"/>
            </w:tcBorders>
          </w:tcPr>
          <w:p>
            <w:pPr>
              <w:pStyle w:val="105"/>
              <w:rPr>
                <w:rFonts w:cs="v5.0.0"/>
              </w:rPr>
            </w:pPr>
            <w:r>
              <w:rPr>
                <w:rFonts w:cs="v5.0.0"/>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6"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olor w:val="000000"/>
                <w:sz w:val="18"/>
                <w:lang w:eastAsia="ja-JP"/>
              </w:rPr>
            </w:pPr>
          </w:p>
        </w:tc>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8" w:type="dxa"/>
            <w:tcBorders>
              <w:top w:val="single" w:color="auto" w:sz="4" w:space="0"/>
              <w:left w:val="single" w:color="auto" w:sz="4" w:space="0"/>
              <w:bottom w:val="single" w:color="auto" w:sz="4" w:space="0"/>
              <w:right w:val="single" w:color="auto" w:sz="4" w:space="0"/>
            </w:tcBorders>
          </w:tcPr>
          <w:p>
            <w:pPr>
              <w:pStyle w:val="105"/>
            </w:pPr>
            <w:r>
              <w:rPr>
                <w:rFonts w:cs="v5.0.0"/>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3496"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olor w:val="000000"/>
                <w:sz w:val="18"/>
                <w:lang w:eastAsia="ja-JP"/>
              </w:rPr>
            </w:pPr>
          </w:p>
        </w:tc>
        <w:tc>
          <w:tcPr>
            <w:tcW w:w="1166" w:type="dxa"/>
            <w:tcBorders>
              <w:top w:val="single" w:color="auto" w:sz="4" w:space="0"/>
              <w:left w:val="single" w:color="auto" w:sz="4" w:space="0"/>
              <w:bottom w:val="single" w:color="auto" w:sz="4" w:space="0"/>
              <w:right w:val="single" w:color="auto" w:sz="4" w:space="0"/>
            </w:tcBorders>
          </w:tcPr>
          <w:p>
            <w:pPr>
              <w:pStyle w:val="105"/>
            </w:pPr>
            <w:r>
              <w:t>QPSK</w:t>
            </w:r>
          </w:p>
        </w:tc>
        <w:tc>
          <w:tcPr>
            <w:tcW w:w="3498" w:type="dxa"/>
            <w:tcBorders>
              <w:top w:val="single" w:color="auto" w:sz="4" w:space="0"/>
              <w:left w:val="single" w:color="auto" w:sz="4" w:space="0"/>
              <w:bottom w:val="single" w:color="auto" w:sz="4" w:space="0"/>
              <w:right w:val="single" w:color="auto" w:sz="4" w:space="0"/>
            </w:tcBorders>
          </w:tcPr>
          <w:p>
            <w:pPr>
              <w:pStyle w:val="105"/>
              <w:rPr>
                <w:rFonts w:cs="v5.0.0"/>
              </w:rPr>
            </w:pPr>
            <w:r>
              <w:rPr>
                <w:rFonts w:hint="eastAsia" w:cs="v5.0.0"/>
              </w:rPr>
              <w:t>6</w:t>
            </w:r>
          </w:p>
        </w:tc>
      </w:tr>
    </w:tbl>
    <w:p>
      <w:pPr>
        <w:rPr>
          <w:lang w:eastAsia="ja-JP"/>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6.3A.3.1.4.1-1.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color w:val="000000" w:themeColor="text1"/>
          <w:lang w:eastAsia="en-GB"/>
          <w14:textFill>
            <w14:solidFill>
              <w14:schemeClr w14:val="tx1"/>
            </w14:solidFill>
          </w14:textFill>
        </w:rPr>
      </w:pPr>
      <w:r>
        <w:rPr>
          <w:rFonts w:hint="eastAsia"/>
          <w:lang w:eastAsia="en-GB"/>
        </w:rPr>
        <w:t>6.</w:t>
      </w:r>
      <w:r>
        <w:rPr>
          <w:rFonts w:hint="eastAsia"/>
          <w:lang w:eastAsia="en-GB"/>
        </w:rPr>
        <w:tab/>
      </w:r>
      <w:r>
        <w:rPr>
          <w:rFonts w:hint="eastAsia"/>
          <w:lang w:eastAsia="en-GB"/>
        </w:rPr>
        <w:t>UE location according to T</w:t>
      </w:r>
      <w:r>
        <w:rPr>
          <w:rFonts w:hint="eastAsia"/>
          <w:color w:val="000000" w:themeColor="text1"/>
          <w:lang w:eastAsia="en-GB"/>
          <w14:textFill>
            <w14:solidFill>
              <w14:schemeClr w14:val="tx1"/>
            </w14:solidFill>
          </w14:textFill>
        </w:rPr>
        <w:t xml:space="preserve">S 36.508 [12] clause </w:t>
      </w:r>
      <w:r>
        <w:rPr>
          <w:color w:val="000000" w:themeColor="text1"/>
          <w:lang w:eastAsia="en-GB"/>
          <w14:textFill>
            <w14:solidFill>
              <w14:schemeClr w14:val="tx1"/>
            </w14:solidFill>
          </w14:textFill>
        </w:rPr>
        <w:t>5.6.1</w:t>
      </w:r>
      <w:r>
        <w:rPr>
          <w:rFonts w:hint="eastAsia"/>
          <w:color w:val="000000" w:themeColor="text1"/>
          <w:lang w:eastAsia="en-GB"/>
          <w14:textFill>
            <w14:solidFill>
              <w14:schemeClr w14:val="tx1"/>
            </w14:solidFill>
          </w14:textFill>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color w:val="000000" w:themeColor="text1"/>
          <w:lang w:eastAsia="en-GB"/>
          <w14:textFill>
            <w14:solidFill>
              <w14:schemeClr w14:val="tx1"/>
            </w14:solidFill>
          </w14:textFill>
        </w:rPr>
        <w:t>7.</w:t>
      </w:r>
      <w:r>
        <w:rPr>
          <w:rFonts w:hint="eastAsia"/>
          <w:color w:val="000000" w:themeColor="text1"/>
          <w:lang w:eastAsia="en-GB"/>
          <w14:textFill>
            <w14:solidFill>
              <w14:schemeClr w14:val="tx1"/>
            </w14:solidFill>
          </w14:textFill>
        </w:rPr>
        <w:tab/>
      </w:r>
      <w:r>
        <w:rPr>
          <w:color w:val="000000" w:themeColor="text1"/>
          <w14:textFill>
            <w14:solidFill>
              <w14:schemeClr w14:val="tx1"/>
            </w14:solidFill>
          </w14:textFill>
        </w:rPr>
        <w:t xml:space="preserve">Test equipment shall emulate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w:t>
      </w:r>
      <w:r>
        <w:t>n of the test as define in TS 36.508[12] clause 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6.3A.3.4.3. Note that MPDCCH DCI format 6-0A sent after resetting uplink power with RRC Connection Reconfiguration, should have TPC command 0dB.</w:t>
      </w:r>
    </w:p>
    <w:p>
      <w:pPr>
        <w:pStyle w:val="9"/>
      </w:pPr>
      <w:r>
        <w:t>6.</w:t>
      </w:r>
      <w:r>
        <w:rPr>
          <w:rFonts w:hint="eastAsia"/>
        </w:rPr>
        <w:t>3</w:t>
      </w:r>
      <w:r>
        <w:t>A.3.1.4.2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 xml:space="preserve">For FDD and HD-FDD: Measure the UE transmission OFF power during the sub-frame prior to the PUSCH subframe. </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output power of the UE PUSCH transmission during one sub-frame, excluding a transient period of 20 µs at the beginning of the subframe.</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Measure the UE transmission OFF power during one sub-frame following the PUSCH subframe, excluding a transient period of 20 µs at the beginning of the subframe.</w:t>
      </w:r>
    </w:p>
    <w:p>
      <w:pPr>
        <w:pStyle w:val="9"/>
      </w:pPr>
      <w:r>
        <w:t>6.</w:t>
      </w:r>
      <w:r>
        <w:rPr>
          <w:rFonts w:hint="eastAsia"/>
        </w:rPr>
        <w:t>3</w:t>
      </w:r>
      <w:r>
        <w:t>A.3.1.4.3</w:t>
      </w:r>
      <w:r>
        <w:tab/>
      </w:r>
      <w:r>
        <w:t>Message contents</w:t>
      </w:r>
    </w:p>
    <w:p>
      <w:pPr>
        <w:rPr>
          <w:lang w:eastAsia="ja-JP"/>
        </w:rPr>
      </w:pPr>
      <w:r>
        <w:t>Message contents are according to TS 36.508 [12] subclause 4.6 with the condition CEModeA and the following exception</w:t>
      </w:r>
      <w:r>
        <w:rPr>
          <w:lang w:eastAsia="ja-JP"/>
        </w:rPr>
        <w:t>s:</w:t>
      </w:r>
    </w:p>
    <w:p>
      <w:pPr>
        <w:pStyle w:val="113"/>
      </w:pPr>
      <w:r>
        <w:t>Table 6.3A.</w:t>
      </w:r>
      <w:r>
        <w:rPr>
          <w:rFonts w:hint="eastAsia"/>
        </w:rPr>
        <w:t>3</w:t>
      </w:r>
      <w:r>
        <w:t>.1.4.3-1: UplinkPowerControlCommon: Test point 1</w:t>
      </w:r>
    </w:p>
    <w:tbl>
      <w:tblPr>
        <w:tblStyle w:val="89"/>
        <w:tblW w:w="96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3"/>
        <w:gridCol w:w="2266"/>
        <w:gridCol w:w="1699"/>
        <w:gridCol w:w="11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Borders>
              <w:top w:val="single" w:color="auto" w:sz="4" w:space="0"/>
              <w:left w:val="single" w:color="auto" w:sz="4" w:space="0"/>
              <w:bottom w:val="single" w:color="auto" w:sz="4" w:space="0"/>
              <w:right w:val="single" w:color="auto" w:sz="4" w:space="0"/>
            </w:tcBorders>
          </w:tcPr>
          <w:p>
            <w:pPr>
              <w:pStyle w:val="103"/>
            </w:pPr>
            <w:r>
              <w:t>Derivation Path: TS 36.508 [</w:t>
            </w:r>
            <w:r>
              <w:rPr>
                <w:rFonts w:hint="eastAsia"/>
              </w:rPr>
              <w:t>12</w:t>
            </w:r>
            <w:r>
              <w:t>] clause 4.6.3, Table 4.6.3-25 UplinkPowerControlCommon-DEFAULT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Borders>
              <w:top w:val="single" w:color="auto" w:sz="4" w:space="0"/>
              <w:left w:val="single" w:color="auto" w:sz="4" w:space="0"/>
              <w:bottom w:val="single" w:color="auto" w:sz="4" w:space="0"/>
              <w:right w:val="single" w:color="auto" w:sz="4" w:space="0"/>
            </w:tcBorders>
          </w:tcPr>
          <w:p>
            <w:pPr>
              <w:pStyle w:val="104"/>
            </w:pPr>
            <w:r>
              <w:t>Information Element</w:t>
            </w:r>
          </w:p>
        </w:tc>
        <w:tc>
          <w:tcPr>
            <w:tcW w:w="2267" w:type="dxa"/>
            <w:tcBorders>
              <w:top w:val="single" w:color="auto" w:sz="4" w:space="0"/>
              <w:left w:val="single" w:color="auto" w:sz="4" w:space="0"/>
              <w:bottom w:val="single" w:color="auto" w:sz="4" w:space="0"/>
              <w:right w:val="single" w:color="auto" w:sz="4" w:space="0"/>
            </w:tcBorders>
          </w:tcPr>
          <w:p>
            <w:pPr>
              <w:pStyle w:val="104"/>
            </w:pPr>
            <w:r>
              <w:t>Value/remark</w:t>
            </w:r>
          </w:p>
        </w:tc>
        <w:tc>
          <w:tcPr>
            <w:tcW w:w="1700" w:type="dxa"/>
            <w:tcBorders>
              <w:top w:val="single" w:color="auto" w:sz="4" w:space="0"/>
              <w:left w:val="single" w:color="auto" w:sz="4" w:space="0"/>
              <w:bottom w:val="single" w:color="auto" w:sz="4" w:space="0"/>
              <w:right w:val="single" w:color="auto" w:sz="4" w:space="0"/>
            </w:tcBorders>
          </w:tcPr>
          <w:p>
            <w:pPr>
              <w:pStyle w:val="104"/>
            </w:pPr>
            <w:r>
              <w:t>Comment</w:t>
            </w:r>
          </w:p>
        </w:tc>
        <w:tc>
          <w:tcPr>
            <w:tcW w:w="1133" w:type="dxa"/>
            <w:tcBorders>
              <w:top w:val="single" w:color="auto" w:sz="4" w:space="0"/>
              <w:left w:val="single" w:color="auto" w:sz="4" w:space="0"/>
              <w:bottom w:val="single" w:color="auto" w:sz="4" w:space="0"/>
              <w:right w:val="single" w:color="auto" w:sz="4" w:space="0"/>
            </w:tcBorders>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Borders>
              <w:top w:val="single" w:color="auto" w:sz="4" w:space="0"/>
              <w:left w:val="single" w:color="auto" w:sz="4" w:space="0"/>
              <w:bottom w:val="single" w:color="auto" w:sz="4" w:space="0"/>
              <w:right w:val="single" w:color="auto" w:sz="4" w:space="0"/>
            </w:tcBorders>
          </w:tcPr>
          <w:p>
            <w:pPr>
              <w:pStyle w:val="103"/>
            </w:pPr>
            <w:r>
              <w:t>UplinkPowerControlCommon-DEFAULT ::= SEQUENCE {</w:t>
            </w:r>
          </w:p>
          <w:p>
            <w:pPr>
              <w:pStyle w:val="103"/>
            </w:pPr>
            <w:r>
              <w:t>p0-NominalPUSCH</w:t>
            </w:r>
          </w:p>
        </w:tc>
        <w:tc>
          <w:tcPr>
            <w:tcW w:w="2267" w:type="dxa"/>
            <w:tcBorders>
              <w:top w:val="single" w:color="auto" w:sz="4" w:space="0"/>
              <w:left w:val="single" w:color="auto" w:sz="4" w:space="0"/>
              <w:bottom w:val="single" w:color="auto" w:sz="4" w:space="0"/>
              <w:right w:val="single" w:color="auto" w:sz="4" w:space="0"/>
            </w:tcBorders>
          </w:tcPr>
          <w:p>
            <w:pPr>
              <w:pStyle w:val="103"/>
            </w:pPr>
            <w:r>
              <w:t>-105</w:t>
            </w:r>
          </w:p>
        </w:tc>
        <w:tc>
          <w:tcPr>
            <w:tcW w:w="1700" w:type="dxa"/>
            <w:tcBorders>
              <w:top w:val="single" w:color="auto" w:sz="4" w:space="0"/>
              <w:left w:val="single" w:color="auto" w:sz="4" w:space="0"/>
              <w:bottom w:val="single" w:color="auto" w:sz="4" w:space="0"/>
              <w:right w:val="single" w:color="auto" w:sz="4" w:space="0"/>
            </w:tcBorders>
          </w:tcPr>
          <w:p>
            <w:pPr>
              <w:pStyle w:val="103"/>
            </w:pPr>
            <w:r>
              <w:t>Test point 1 to verify a UE relative low initial power transmission</w:t>
            </w:r>
          </w:p>
        </w:tc>
        <w:tc>
          <w:tcPr>
            <w:tcW w:w="1133" w:type="dxa"/>
            <w:tcBorders>
              <w:top w:val="single" w:color="auto" w:sz="4" w:space="0"/>
              <w:left w:val="single" w:color="auto" w:sz="4" w:space="0"/>
              <w:bottom w:val="single" w:color="auto" w:sz="4" w:space="0"/>
              <w:right w:val="single" w:color="auto" w:sz="4" w:space="0"/>
            </w:tcBorders>
          </w:tcPr>
          <w:p>
            <w:pPr>
              <w:pStyle w:val="103"/>
            </w:pPr>
          </w:p>
        </w:tc>
      </w:tr>
    </w:tbl>
    <w:p>
      <w:pPr>
        <w:rPr>
          <w:lang w:eastAsia="ja-JP"/>
        </w:rPr>
      </w:pPr>
    </w:p>
    <w:p>
      <w:pPr>
        <w:pStyle w:val="113"/>
      </w:pPr>
      <w:r>
        <w:t>Table 6.3A.</w:t>
      </w:r>
      <w:r>
        <w:rPr>
          <w:rFonts w:hint="eastAsia"/>
        </w:rPr>
        <w:t>3</w:t>
      </w:r>
      <w:r>
        <w:t>.1.4.3-2: PhysicalConfigDedicated</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700"/>
        <w:gridCol w:w="12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Borders>
              <w:top w:val="single" w:color="000000" w:sz="4" w:space="0"/>
              <w:left w:val="single" w:color="000000" w:sz="4" w:space="0"/>
              <w:bottom w:val="single" w:color="000000" w:sz="4" w:space="0"/>
              <w:right w:val="single" w:color="000000" w:sz="4" w:space="0"/>
            </w:tcBorders>
          </w:tcPr>
          <w:p>
            <w:pPr>
              <w:pStyle w:val="103"/>
            </w:pPr>
            <w:r>
              <w:t>Derivation Path: TS 36.508 [</w:t>
            </w:r>
            <w:r>
              <w:rPr>
                <w:rFonts w:hint="eastAsia"/>
              </w:rPr>
              <w:t>12</w:t>
            </w:r>
            <w:r>
              <w:t>] clause 5.5.1.2, Table 5.5.1.2.1 PhysicalConfigDedicated-DEFAULT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Information Element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Value/remark</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Comment</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PhysicalConfigDedicated-DEFAULT ::=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nil"/>
              <w:right w:val="single" w:color="000000" w:sz="4" w:space="0"/>
            </w:tcBorders>
            <w:tcMar>
              <w:top w:w="0" w:type="dxa"/>
              <w:left w:w="108" w:type="dxa"/>
              <w:bottom w:w="0" w:type="dxa"/>
              <w:right w:w="108" w:type="dxa"/>
            </w:tcMar>
          </w:tcPr>
          <w:p>
            <w:pPr>
              <w:pStyle w:val="103"/>
            </w:pPr>
            <w:r>
              <w:t xml:space="preserve">  UplinkPowerControlDedicated</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UplinkPowerControlDedicated-DEFAULT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See subclause 4.6.3</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SRB1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nil"/>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UplinkPowerControlDedicated-DEFAULT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See subclause 4.6.3</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RBC</w:t>
            </w:r>
          </w:p>
        </w:tc>
      </w:tr>
    </w:tbl>
    <w:p/>
    <w:p>
      <w:pPr>
        <w:pStyle w:val="113"/>
      </w:pPr>
      <w:r>
        <w:t>Table 6.3A.</w:t>
      </w:r>
      <w:r>
        <w:rPr>
          <w:rFonts w:hint="eastAsia"/>
        </w:rPr>
        <w:t>3</w:t>
      </w:r>
      <w:r>
        <w:t>.1.4.3-3: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w:t>
            </w:r>
            <w:r>
              <w:rPr>
                <w:rFonts w:hint="eastAsia"/>
              </w:rPr>
              <w:t>12</w:t>
            </w:r>
            <w:r>
              <w:t>] clause 4.6.3, Table 4.6.3-26 UplinkPowerControlDedicated-DEFAULT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nil"/>
              <w:right w:val="single" w:color="auto" w:sz="4" w:space="0"/>
            </w:tcBorders>
            <w:tcMar>
              <w:top w:w="0" w:type="dxa"/>
              <w:left w:w="108" w:type="dxa"/>
              <w:bottom w:w="0" w:type="dxa"/>
              <w:right w:w="108" w:type="dxa"/>
            </w:tcMar>
          </w:tcPr>
          <w:p>
            <w:pPr>
              <w:pStyle w:val="103"/>
            </w:pPr>
            <w:r>
              <w:t xml:space="preserve">  p0-UE-PUSCH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1</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SRB1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nil"/>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RBC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9"/>
      </w:pPr>
      <w:r>
        <w:t>6.3A.3.1.5</w:t>
      </w:r>
      <w:r>
        <w:tab/>
      </w:r>
      <w:r>
        <w:t>Test requirement</w:t>
      </w:r>
    </w:p>
    <w:p>
      <w:r>
        <w:t xml:space="preserve">The requirement for the power measured in steps (2), (3) and (4) of the test procedure shall not </w:t>
      </w:r>
      <w:r>
        <w:rPr>
          <w:rFonts w:eastAsia="香~??’c‘I"/>
        </w:rPr>
        <w:t>exceed</w:t>
      </w:r>
      <w:r>
        <w:t xml:space="preserve"> the values specified in Table 6.3A.3.5-1.</w:t>
      </w:r>
    </w:p>
    <w:p>
      <w:pPr>
        <w:pStyle w:val="113"/>
      </w:pPr>
      <w:r>
        <w:t>Table 6.3A.3.1.5-1: General ON/OFF time mask</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pStyle w:val="104"/>
            </w:pPr>
          </w:p>
        </w:tc>
        <w:tc>
          <w:tcPr>
            <w:tcW w:w="5869" w:type="dxa"/>
          </w:tcPr>
          <w:p>
            <w:pPr>
              <w:pStyle w:val="104"/>
            </w:pPr>
            <w: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tc>
        <w:tc>
          <w:tcPr>
            <w:tcW w:w="5869" w:type="dxa"/>
          </w:tcPr>
          <w:p>
            <w:pPr>
              <w:pStyle w:val="104"/>
            </w:pPr>
            <w:r>
              <w:t>1.4</w:t>
            </w:r>
          </w:p>
          <w:p>
            <w:pPr>
              <w:pStyle w:val="104"/>
            </w:pPr>
            <w: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Transmit OFF power</w:t>
            </w:r>
          </w:p>
        </w:tc>
        <w:tc>
          <w:tcPr>
            <w:tcW w:w="5869" w:type="dxa"/>
            <w:vAlign w:val="center"/>
          </w:tcPr>
          <w:p>
            <w:pPr>
              <w:pStyle w:val="105"/>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p>
            <w:pPr>
              <w:pStyle w:val="105"/>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Transmission OFF Measurement bandwidth</w:t>
            </w:r>
          </w:p>
        </w:tc>
        <w:tc>
          <w:tcPr>
            <w:tcW w:w="5869" w:type="dxa"/>
            <w:vAlign w:val="center"/>
          </w:tcPr>
          <w:p>
            <w:pPr>
              <w:pStyle w:val="105"/>
            </w:pPr>
            <w: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Expected Transmission ON Measured power</w:t>
            </w:r>
          </w:p>
        </w:tc>
        <w:tc>
          <w:tcPr>
            <w:tcW w:w="5869" w:type="dxa"/>
            <w:vAlign w:val="center"/>
          </w:tcPr>
          <w:p>
            <w:pPr>
              <w:pStyle w:val="105"/>
            </w:pPr>
            <w:r>
              <w:t>-14.8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ON power tolerance</w:t>
            </w:r>
          </w:p>
          <w:p>
            <w:pPr>
              <w:pStyle w:val="103"/>
            </w:pPr>
            <w:r>
              <w:rPr>
                <w:rFonts w:cs="v4.2.0"/>
              </w:rPr>
              <w:t xml:space="preserve">f </w:t>
            </w:r>
            <w:r>
              <w:rPr>
                <w:rFonts w:cs="Arial"/>
              </w:rPr>
              <w:t>≤</w:t>
            </w:r>
            <w:r>
              <w:rPr>
                <w:rFonts w:cs="v4.2.0"/>
              </w:rPr>
              <w:t xml:space="preserve"> 3.0GHz</w:t>
            </w:r>
          </w:p>
          <w:p>
            <w:pPr>
              <w:pStyle w:val="103"/>
              <w:rPr>
                <w:rFonts w:cs="v4.2.0"/>
              </w:rPr>
            </w:pPr>
            <w:r>
              <w:t xml:space="preserve">3.0GHz &lt; f </w:t>
            </w:r>
            <w:r>
              <w:rPr>
                <w:rFonts w:cs="Arial"/>
              </w:rPr>
              <w:t>≤</w:t>
            </w:r>
            <w:r>
              <w:t xml:space="preserve"> 4.2GHz</w:t>
            </w:r>
          </w:p>
        </w:tc>
        <w:tc>
          <w:tcPr>
            <w:tcW w:w="5869" w:type="dxa"/>
            <w:vAlign w:val="center"/>
          </w:tcPr>
          <w:p>
            <w:pPr>
              <w:pStyle w:val="105"/>
            </w:pPr>
            <w:r>
              <w:rPr>
                <w:snapToGrid w:val="0"/>
              </w:rPr>
              <w:t>±</w:t>
            </w:r>
            <w:r>
              <w:t xml:space="preserve"> 7.5dB</w:t>
            </w:r>
          </w:p>
          <w:p>
            <w:pPr>
              <w:pStyle w:val="105"/>
            </w:pPr>
            <w:r>
              <w:rPr>
                <w:snapToGrid w:val="0"/>
              </w:rPr>
              <w:t>±</w:t>
            </w:r>
            <w:r>
              <w:t xml:space="preserve"> 7.8dB</w:t>
            </w:r>
          </w:p>
        </w:tc>
      </w:tr>
    </w:tbl>
    <w:p/>
    <w:p>
      <w:pPr>
        <w:pStyle w:val="6"/>
      </w:pPr>
      <w:bookmarkStart w:id="523" w:name="_Toc5729"/>
      <w:bookmarkStart w:id="524" w:name="_Toc18842"/>
      <w:bookmarkStart w:id="525" w:name="_Toc30095"/>
      <w:bookmarkStart w:id="526" w:name="_Toc20236"/>
      <w:bookmarkStart w:id="527" w:name="_Toc2675"/>
      <w:bookmarkStart w:id="528" w:name="_Toc1775"/>
      <w:bookmarkStart w:id="529" w:name="_Toc120570039"/>
      <w:bookmarkStart w:id="530" w:name="_Toc18539"/>
      <w:bookmarkStart w:id="531" w:name="_Toc121162831"/>
      <w:r>
        <w:t>6.3A.3.2</w:t>
      </w:r>
      <w:r>
        <w:tab/>
      </w:r>
      <w:r>
        <w:t>PRACH and SRS ON/OFF time mask for UE category M1</w:t>
      </w:r>
      <w:bookmarkEnd w:id="523"/>
      <w:bookmarkEnd w:id="524"/>
      <w:bookmarkEnd w:id="525"/>
      <w:bookmarkEnd w:id="526"/>
      <w:bookmarkEnd w:id="527"/>
      <w:bookmarkEnd w:id="528"/>
    </w:p>
    <w:p>
      <w:pPr>
        <w:pStyle w:val="7"/>
        <w:rPr>
          <w:lang w:val="en-US"/>
        </w:rPr>
      </w:pPr>
      <w:bookmarkStart w:id="532" w:name="_Toc30794"/>
      <w:bookmarkStart w:id="533" w:name="_Toc21464"/>
      <w:bookmarkStart w:id="534" w:name="_Toc6938"/>
      <w:bookmarkStart w:id="535" w:name="_Toc1370"/>
      <w:bookmarkStart w:id="536" w:name="_Toc3975"/>
      <w:bookmarkStart w:id="537" w:name="_Toc18154"/>
      <w:r>
        <w:t>6.3A.3.2.1</w:t>
      </w:r>
      <w:r>
        <w:tab/>
      </w:r>
      <w:r>
        <w:t>PRACH time mask for UE category M1</w:t>
      </w:r>
      <w:bookmarkEnd w:id="532"/>
      <w:bookmarkEnd w:id="533"/>
      <w:bookmarkEnd w:id="534"/>
      <w:bookmarkEnd w:id="535"/>
      <w:bookmarkEnd w:id="536"/>
      <w:bookmarkEnd w:id="537"/>
    </w:p>
    <w:p>
      <w:pPr>
        <w:pStyle w:val="112"/>
        <w:rPr>
          <w:lang w:val="en-US"/>
        </w:rPr>
      </w:pPr>
      <w:r>
        <w:t>Editor’s Note: Addition to applicability spec is pending.</w:t>
      </w:r>
    </w:p>
    <w:p>
      <w:pPr>
        <w:pStyle w:val="9"/>
      </w:pPr>
      <w:r>
        <w:t>6.3A.3.2.1.1</w:t>
      </w:r>
      <w:r>
        <w:tab/>
      </w:r>
      <w:r>
        <w:t>Test purpose</w:t>
      </w:r>
    </w:p>
    <w:p>
      <w:r>
        <w:t>To verify that the PRACH time mask meets the requirements given in TS 36.521-1[14] clause 6.3.4.2.1.5.</w:t>
      </w:r>
    </w:p>
    <w:p>
      <w:r>
        <w:t>The time mask for PRACH time mask defines the ramping time allowed for the UE between transmit OFF power and transmit ON power when transmitting the PRACH.</w:t>
      </w:r>
    </w:p>
    <w:p>
      <w:r>
        <w:t>Transmission of the wrong power increases interference to other channels or increases transmission errors in the uplink channel.</w:t>
      </w:r>
    </w:p>
    <w:p>
      <w:pPr>
        <w:pStyle w:val="9"/>
      </w:pPr>
      <w:r>
        <w:t>6.3A.3.2.1.2</w:t>
      </w:r>
      <w:r>
        <w:tab/>
      </w:r>
      <w:r>
        <w:t>Test applicability</w:t>
      </w:r>
    </w:p>
    <w:p>
      <w:r>
        <w:t>This test case applies to all types of E-UTRA UE release 17 and forward of UE category M1 that support satellite access operation.</w:t>
      </w:r>
    </w:p>
    <w:p>
      <w:pPr>
        <w:pStyle w:val="9"/>
      </w:pPr>
      <w:r>
        <w:t>6.3A.3.2.1.3</w:t>
      </w:r>
      <w:r>
        <w:tab/>
      </w:r>
      <w:r>
        <w:t>Minimum conformance requirements</w:t>
      </w:r>
    </w:p>
    <w:p>
      <w:r>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pPr>
        <w:rPr>
          <w:rFonts w:eastAsia="×–¾’©‘Ì"/>
          <w:lang w:val="en-US"/>
        </w:rPr>
      </w:pPr>
      <w:r>
        <w:t>There are no additional requirements on UE transmit power beyond that which is required in clause 6.2 and clause 6.5</w:t>
      </w:r>
    </w:p>
    <w:p>
      <w:pPr>
        <w:pStyle w:val="113"/>
      </w:pPr>
      <w:r>
        <w:t>Table 6.3A.3.2.1.3-1: PRACH ON power measurement period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8"/>
        <w:gridCol w:w="2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vAlign w:val="center"/>
          </w:tcPr>
          <w:p>
            <w:pPr>
              <w:pStyle w:val="104"/>
            </w:pPr>
            <w:r>
              <w:rPr>
                <w:rFonts w:eastAsia="MS Mincho"/>
              </w:rPr>
              <w:t>PRACH preamble format</w:t>
            </w:r>
          </w:p>
        </w:tc>
        <w:tc>
          <w:tcPr>
            <w:tcW w:w="2518" w:type="dxa"/>
            <w:vAlign w:val="center"/>
          </w:tcPr>
          <w:p>
            <w:pPr>
              <w:pStyle w:val="104"/>
            </w:pPr>
            <w:r>
              <w:t>Measurement period (ms)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0</w:t>
            </w:r>
          </w:p>
        </w:tc>
        <w:tc>
          <w:tcPr>
            <w:tcW w:w="2518" w:type="dxa"/>
          </w:tcPr>
          <w:p>
            <w:pPr>
              <w:pStyle w:val="105"/>
            </w:pPr>
            <w:r>
              <w:rPr>
                <w:rFonts w:eastAsia="MS Mincho"/>
              </w:rPr>
              <w:t>0.9031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1</w:t>
            </w:r>
          </w:p>
        </w:tc>
        <w:tc>
          <w:tcPr>
            <w:tcW w:w="2518" w:type="dxa"/>
          </w:tcPr>
          <w:p>
            <w:pPr>
              <w:pStyle w:val="105"/>
            </w:pPr>
            <w:r>
              <w:rPr>
                <w:rFonts w:eastAsia="MS Mincho"/>
              </w:rPr>
              <w:t>1.4844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2</w:t>
            </w:r>
          </w:p>
        </w:tc>
        <w:tc>
          <w:tcPr>
            <w:tcW w:w="2518" w:type="dxa"/>
          </w:tcPr>
          <w:p>
            <w:pPr>
              <w:pStyle w:val="105"/>
            </w:pPr>
            <w:r>
              <w:rPr>
                <w:rFonts w:eastAsia="MS Mincho"/>
              </w:rPr>
              <w:t>1.8031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3</w:t>
            </w:r>
          </w:p>
        </w:tc>
        <w:tc>
          <w:tcPr>
            <w:tcW w:w="2518" w:type="dxa"/>
          </w:tcPr>
          <w:p>
            <w:pPr>
              <w:pStyle w:val="105"/>
            </w:pPr>
            <w:r>
              <w:rPr>
                <w:rFonts w:eastAsia="MS Mincho"/>
              </w:rPr>
              <w:t>2.2844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2518" w:type="dxa"/>
          </w:tcPr>
          <w:p>
            <w:pPr>
              <w:pStyle w:val="105"/>
            </w:pPr>
            <w:r>
              <w:rPr>
                <w:rFonts w:eastAsia="MS Mincho"/>
              </w:rPr>
              <w:t xml:space="preserve">4 </w:t>
            </w:r>
          </w:p>
        </w:tc>
        <w:tc>
          <w:tcPr>
            <w:tcW w:w="2518" w:type="dxa"/>
          </w:tcPr>
          <w:p>
            <w:pPr>
              <w:pStyle w:val="105"/>
            </w:pPr>
            <w:r>
              <w:rPr>
                <w:rFonts w:eastAsia="MS Mincho"/>
              </w:rPr>
              <w:t>0.1479</w:t>
            </w:r>
          </w:p>
        </w:tc>
      </w:tr>
    </w:tbl>
    <w:p/>
    <w:p>
      <w:pPr>
        <w:pStyle w:val="113"/>
      </w:pPr>
      <w:r>
        <w:drawing>
          <wp:inline distT="0" distB="0" distL="0" distR="0">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pPr>
        <w:pStyle w:val="120"/>
      </w:pPr>
      <w:r>
        <w:t>Figure 6.3A.3.2.1.3-1: PRACH ON/OFF time mask</w:t>
      </w:r>
    </w:p>
    <w:p>
      <w:r>
        <w:t>The normative reference for this requirement is TS 36.101 [7] clause 6.3.4.2.1.</w:t>
      </w:r>
    </w:p>
    <w:p>
      <w:pPr>
        <w:pStyle w:val="9"/>
      </w:pPr>
      <w:r>
        <w:t>6.3A.3.2.1.4</w:t>
      </w:r>
      <w:r>
        <w:tab/>
      </w:r>
      <w:r>
        <w:t>Test description</w:t>
      </w:r>
    </w:p>
    <w:p>
      <w:pPr>
        <w:pStyle w:val="9"/>
      </w:pPr>
      <w:r>
        <w:t>6.3A.3.2.1.4.1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Annexes A.2. Configurations of PDSCH and MPDCCH before measurement are specified in Annex C.2.</w:t>
      </w:r>
    </w:p>
    <w:p>
      <w:pPr>
        <w:pStyle w:val="113"/>
      </w:pPr>
      <w:r>
        <w:t>Table 6.3A.3.2.1.4.1-1: Test Configuration Table</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2"/>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Test Environment</w:t>
            </w:r>
          </w:p>
          <w:p>
            <w:pPr>
              <w:pStyle w:val="103"/>
              <w:rPr>
                <w:bCs/>
              </w:rPr>
            </w:pPr>
            <w:r>
              <w:t>(as specified in TS 36.508 [12] subclause 4.1)</w:t>
            </w:r>
          </w:p>
        </w:tc>
        <w:tc>
          <w:tcPr>
            <w:tcW w:w="3495" w:type="dxa"/>
            <w:vAlign w:val="center"/>
          </w:tcPr>
          <w:p>
            <w:pPr>
              <w:pStyle w:val="105"/>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Frequencies</w:t>
            </w:r>
          </w:p>
          <w:p>
            <w:pPr>
              <w:pStyle w:val="103"/>
            </w:pPr>
            <w:r>
              <w:t>(as specified in TS 36.508 [12] subclause 4.3.1)</w:t>
            </w:r>
          </w:p>
        </w:tc>
        <w:tc>
          <w:tcPr>
            <w:tcW w:w="3495" w:type="dxa"/>
          </w:tcPr>
          <w:p>
            <w:pPr>
              <w:pStyle w:val="105"/>
            </w:pPr>
            <w: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Channel Bandwidths</w:t>
            </w:r>
          </w:p>
          <w:p>
            <w:pPr>
              <w:pStyle w:val="103"/>
            </w:pPr>
            <w:r>
              <w:t>(as specified in TS 36.508 [12] subclause 4.3.1)</w:t>
            </w:r>
          </w:p>
        </w:tc>
        <w:tc>
          <w:tcPr>
            <w:tcW w:w="3495" w:type="dxa"/>
            <w:vAlign w:val="center"/>
          </w:tcPr>
          <w:p>
            <w:pPr>
              <w:pStyle w:val="105"/>
            </w:pPr>
            <w:r>
              <w:rPr>
                <w:rFonts w:cs="v5.0.0"/>
                <w:bCs/>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 xml:space="preserve">PRACH preamble format </w:t>
            </w:r>
          </w:p>
        </w:tc>
        <w:tc>
          <w:tcPr>
            <w:tcW w:w="3495" w:type="dxa"/>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p>
        </w:tc>
        <w:tc>
          <w:tcPr>
            <w:tcW w:w="3495" w:type="dxa"/>
            <w:vAlign w:val="center"/>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PRACH Configuration Index</w:t>
            </w:r>
          </w:p>
        </w:tc>
        <w:tc>
          <w:tcPr>
            <w:tcW w:w="3495" w:type="dxa"/>
            <w:vAlign w:val="center"/>
          </w:tcPr>
          <w:p>
            <w:pPr>
              <w:pStyle w:val="105"/>
            </w:pPr>
            <w:r>
              <w:t>3</w:t>
            </w:r>
          </w:p>
        </w:tc>
      </w:tr>
    </w:tbl>
    <w:p>
      <w:pPr>
        <w:rPr>
          <w:rFonts w:eastAsia="MS Mincho"/>
          <w:lang w:eastAsia="ja-JP"/>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emula</w:t>
      </w:r>
      <w:r>
        <w:rPr>
          <w:color w:val="000000" w:themeColor="text1"/>
          <w14:textFill>
            <w14:solidFill>
              <w14:schemeClr w14:val="tx1"/>
            </w14:solidFill>
          </w14:textFill>
        </w:rPr>
        <w:t xml:space="preserve">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duration</w:t>
      </w:r>
      <w:r>
        <w:t xml:space="preserve"> of the test as define in TS 36.508[12] clause 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7.</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r>
      <w:r>
        <w:rPr>
          <w:rFonts w:hint="eastAsia"/>
          <w:lang w:eastAsia="en-GB"/>
        </w:rPr>
        <w:t xml:space="preserve">Ensure the UE is in State 3A-RF-CE according to TS 36.508 [12] clause 5.2A.2. Message contents are defined in clause 6.3A.3.2.1.4.3. </w:t>
      </w:r>
    </w:p>
    <w:p>
      <w:pPr>
        <w:pStyle w:val="9"/>
      </w:pPr>
      <w:r>
        <w:t>6.</w:t>
      </w:r>
      <w:r>
        <w:rPr>
          <w:rFonts w:hint="eastAsia"/>
        </w:rPr>
        <w:t>3</w:t>
      </w:r>
      <w:r>
        <w:t>A.3.2.1.4.2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The SS shall signal a Random Access Preamble ID via a MPDCCH order to the UE and initiate a Non-contention based Random Access procedure.</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UE shall send the signalled preamble to the SS.</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For FDD UE, the SS measure the UE transmission OFF power during the sub-frame preceding the PRACH preamble excluding a transient period of 20 µs according to Figure 6.3A.3.2.1.3-1.</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Measure the output power of the transmitted PRACH preamble according to Figure 6.3A.3.2.1.3-1.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Measure the UE transmission OFF power, starting 20 µs after the PRACH preamble ends for a measurement period of 980 µs.</w:t>
      </w:r>
    </w:p>
    <w:p>
      <w:pPr>
        <w:pStyle w:val="9"/>
      </w:pPr>
      <w:r>
        <w:t>6.</w:t>
      </w:r>
      <w:r>
        <w:rPr>
          <w:rFonts w:hint="eastAsia"/>
        </w:rPr>
        <w:t>3</w:t>
      </w:r>
      <w:r>
        <w:t>A.3.2.1.4.3</w:t>
      </w:r>
      <w:r>
        <w:tab/>
      </w:r>
      <w:r>
        <w:t>Message contents</w:t>
      </w:r>
    </w:p>
    <w:p>
      <w:pPr>
        <w:rPr>
          <w:lang w:eastAsia="ja-JP"/>
        </w:rPr>
      </w:pPr>
      <w:r>
        <w:t>Message contents are according to TS 36.508 [12] subclause 4.6 with the following exception</w:t>
      </w:r>
      <w:r>
        <w:rPr>
          <w:lang w:eastAsia="ja-JP"/>
        </w:rPr>
        <w:t>s:</w:t>
      </w:r>
    </w:p>
    <w:p>
      <w:pPr>
        <w:pStyle w:val="113"/>
      </w:pPr>
      <w:r>
        <w:t xml:space="preserve">Table 6.3A.3.2.1.4.3-1: </w:t>
      </w:r>
      <w:r>
        <w:rPr>
          <w:i/>
        </w:rPr>
        <w:t>RACH-ConfigCommon-DEFAULT:</w:t>
      </w:r>
      <w:r>
        <w:t xml:space="preserve"> PRACH measurement</w:t>
      </w:r>
    </w:p>
    <w:tbl>
      <w:tblPr>
        <w:tblStyle w:val="89"/>
        <w:tblW w:w="9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TS 36.508 [12] clause 4.6.3, Table 4.6.3-12 RACH-ConfigCommon-DEFAULT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RACH-ConfigCommon-DEFAULT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powerRampingParameters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powerRampingStep</w:t>
            </w:r>
          </w:p>
        </w:tc>
        <w:tc>
          <w:tcPr>
            <w:tcW w:w="2268" w:type="dxa"/>
            <w:shd w:val="clear" w:color="auto" w:fill="auto"/>
          </w:tcPr>
          <w:p>
            <w:pPr>
              <w:pStyle w:val="103"/>
            </w:pPr>
            <w:r>
              <w:t>d</w:t>
            </w:r>
            <w:r>
              <w:rPr>
                <w:rFonts w:eastAsia="MS Mincho"/>
              </w:rPr>
              <w:t>B</w:t>
            </w:r>
            <w:r>
              <w:t>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rPr>
                <w:rFonts w:eastAsia="MS Mincho"/>
              </w:rPr>
              <w:t xml:space="preserve">    </w:t>
            </w:r>
            <w:r>
              <w:t>preambleInitialReceivedTargetPower</w:t>
            </w:r>
          </w:p>
        </w:tc>
        <w:tc>
          <w:tcPr>
            <w:tcW w:w="2268" w:type="dxa"/>
            <w:shd w:val="clear" w:color="auto" w:fill="auto"/>
          </w:tcPr>
          <w:p>
            <w:pPr>
              <w:pStyle w:val="103"/>
            </w:pPr>
            <w:r>
              <w:t>dBm-1</w:t>
            </w:r>
            <w:r>
              <w:rPr>
                <w:rFonts w:eastAsia="MS Mincho"/>
              </w:rPr>
              <w:t>04</w:t>
            </w:r>
          </w:p>
        </w:tc>
        <w:tc>
          <w:tcPr>
            <w:tcW w:w="1701" w:type="dxa"/>
            <w:shd w:val="clear" w:color="auto" w:fill="auto"/>
          </w:tcPr>
          <w:p>
            <w:pPr>
              <w:pStyle w:val="103"/>
            </w:pPr>
          </w:p>
        </w:tc>
        <w:tc>
          <w:tcPr>
            <w:tcW w:w="1275" w:type="dxa"/>
            <w:shd w:val="clear" w:color="auto" w:fill="auto"/>
          </w:tcPr>
          <w:p>
            <w:pPr>
              <w:pStyle w:val="103"/>
            </w:pPr>
            <w:r>
              <w:rPr>
                <w:rFonts w:cs="Arial"/>
              </w:rPr>
              <w:t xml:space="preserve">PRACH </w:t>
            </w:r>
            <w:r>
              <w:rPr>
                <w:rFonts w:eastAsia="MS Mincho" w:cs="Arial"/>
              </w:rPr>
              <w:t>F</w:t>
            </w:r>
            <w:r>
              <w:rPr>
                <w:rFonts w:cs="Arial"/>
              </w:rPr>
              <w:t xml:space="preserve">ormat </w:t>
            </w:r>
            <w:r>
              <w:rPr>
                <w:rFonts w:eastAsia="MS Mincho" w:cs="Arial"/>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rPr>
                <w:rFonts w:eastAsia="MS Mincho"/>
              </w:rPr>
            </w:pPr>
          </w:p>
        </w:tc>
        <w:tc>
          <w:tcPr>
            <w:tcW w:w="2268" w:type="dxa"/>
            <w:shd w:val="clear" w:color="auto" w:fill="auto"/>
          </w:tcPr>
          <w:p>
            <w:pPr>
              <w:pStyle w:val="103"/>
            </w:pPr>
            <w:r>
              <w:t>dBm-1</w:t>
            </w:r>
            <w:r>
              <w:rPr>
                <w:rFonts w:eastAsia="MS Mincho"/>
              </w:rPr>
              <w:t>12</w:t>
            </w:r>
          </w:p>
        </w:tc>
        <w:tc>
          <w:tcPr>
            <w:tcW w:w="1701" w:type="dxa"/>
            <w:shd w:val="clear" w:color="auto" w:fill="auto"/>
          </w:tcPr>
          <w:p>
            <w:pPr>
              <w:pStyle w:val="103"/>
            </w:pPr>
          </w:p>
        </w:tc>
        <w:tc>
          <w:tcPr>
            <w:tcW w:w="1275" w:type="dxa"/>
            <w:shd w:val="clear" w:color="auto" w:fill="auto"/>
          </w:tcPr>
          <w:p>
            <w:pPr>
              <w:pStyle w:val="103"/>
            </w:pPr>
            <w:r>
              <w:rPr>
                <w:rFonts w:cs="Arial"/>
              </w:rPr>
              <w:t xml:space="preserve">PRACH </w:t>
            </w:r>
            <w:r>
              <w:rPr>
                <w:rFonts w:eastAsia="MS Mincho" w:cs="Arial"/>
              </w:rPr>
              <w:t>F</w:t>
            </w:r>
            <w:r>
              <w:rPr>
                <w:rFonts w:cs="Arial"/>
              </w:rPr>
              <w:t>ormat 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bl>
    <w:p/>
    <w:p>
      <w:pPr>
        <w:pStyle w:val="9"/>
      </w:pPr>
      <w:r>
        <w:t>6.3A.3.2.1.5</w:t>
      </w:r>
      <w:r>
        <w:tab/>
      </w:r>
      <w:r>
        <w:t>Test requirement</w:t>
      </w:r>
    </w:p>
    <w:p>
      <w:r>
        <w:t xml:space="preserve">The requirement for the power measured in steps (3), (4) and (5) of the test procedure shall not </w:t>
      </w:r>
      <w:r>
        <w:rPr>
          <w:rFonts w:eastAsia="香~??’c‘I"/>
        </w:rPr>
        <w:t>exceed</w:t>
      </w:r>
      <w:r>
        <w:t xml:space="preserve"> the values specified in Table 6.3A.3.2.1.5-1.</w:t>
      </w:r>
    </w:p>
    <w:p>
      <w:pPr>
        <w:pStyle w:val="113"/>
      </w:pPr>
      <w:r>
        <w:t>Table 6.3A.3.2.1.5-1: PRACH time mask</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tc>
        <w:tc>
          <w:tcPr>
            <w:tcW w:w="5869" w:type="dxa"/>
          </w:tcPr>
          <w:p>
            <w:pPr>
              <w:pStyle w:val="104"/>
            </w:pPr>
            <w:r>
              <w:t>Channel bandwidth / Output Power [dBm]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tc>
        <w:tc>
          <w:tcPr>
            <w:tcW w:w="5869" w:type="dxa"/>
          </w:tcPr>
          <w:p>
            <w:pPr>
              <w:pStyle w:val="104"/>
            </w:pPr>
            <w:r>
              <w:t>1.4</w:t>
            </w:r>
          </w:p>
          <w:p>
            <w:pPr>
              <w:pStyle w:val="104"/>
            </w:pPr>
            <w: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Transmit OFF power</w:t>
            </w:r>
          </w:p>
        </w:tc>
        <w:tc>
          <w:tcPr>
            <w:tcW w:w="5869" w:type="dxa"/>
            <w:vAlign w:val="center"/>
          </w:tcPr>
          <w:p>
            <w:pPr>
              <w:pStyle w:val="105"/>
            </w:pPr>
            <w:r>
              <w:rPr>
                <w:rFonts w:cs="v4.2.0"/>
              </w:rPr>
              <w:t xml:space="preserve">For carrier frequency f </w:t>
            </w:r>
            <w:r>
              <w:rPr>
                <w:rFonts w:cs="Arial"/>
              </w:rPr>
              <w:t>≤</w:t>
            </w:r>
            <w:r>
              <w:rPr>
                <w:rFonts w:cs="v4.2.0"/>
              </w:rPr>
              <w:t xml:space="preserve"> 3.0GHz: </w:t>
            </w:r>
            <w:r>
              <w:rPr/>
              <w:sym w:font="Symbol" w:char="F0A3"/>
            </w:r>
            <w:r>
              <w:t xml:space="preserve"> -48.5 dBm</w:t>
            </w:r>
          </w:p>
          <w:p>
            <w:pPr>
              <w:pStyle w:val="105"/>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Transmission OFF Measurement bandwidth</w:t>
            </w:r>
          </w:p>
        </w:tc>
        <w:tc>
          <w:tcPr>
            <w:tcW w:w="5869" w:type="dxa"/>
            <w:vAlign w:val="center"/>
          </w:tcPr>
          <w:p>
            <w:pPr>
              <w:pStyle w:val="105"/>
            </w:pPr>
            <w: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Expected PRACH Transmission ON Measured power</w:t>
            </w:r>
          </w:p>
        </w:tc>
        <w:tc>
          <w:tcPr>
            <w:tcW w:w="5869" w:type="dxa"/>
            <w:vAlign w:val="center"/>
          </w:tcPr>
          <w:p>
            <w:pPr>
              <w:pStyle w:val="105"/>
            </w:pPr>
            <w:r>
              <w:t>-1 dBm</w:t>
            </w:r>
            <w:r>
              <w:rPr>
                <w:snapToGrid w:val="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ON power tolerance</w:t>
            </w:r>
          </w:p>
          <w:p>
            <w:pPr>
              <w:pStyle w:val="103"/>
            </w:pPr>
            <w:r>
              <w:rPr>
                <w:rFonts w:cs="v4.2.0"/>
              </w:rPr>
              <w:t xml:space="preserve">f </w:t>
            </w:r>
            <w:r>
              <w:rPr>
                <w:rFonts w:cs="Arial"/>
              </w:rPr>
              <w:t>≤</w:t>
            </w:r>
            <w:r>
              <w:rPr>
                <w:rFonts w:cs="v4.2.0"/>
              </w:rPr>
              <w:t xml:space="preserve"> 3.0GHz</w:t>
            </w:r>
          </w:p>
          <w:p>
            <w:pPr>
              <w:pStyle w:val="103"/>
              <w:rPr>
                <w:rFonts w:cs="v4.2.0"/>
              </w:rPr>
            </w:pPr>
            <w:r>
              <w:t xml:space="preserve">3.0GHz &lt; f </w:t>
            </w:r>
            <w:r>
              <w:rPr>
                <w:rFonts w:cs="Arial"/>
              </w:rPr>
              <w:t>≤</w:t>
            </w:r>
            <w:r>
              <w:t xml:space="preserve"> 4.2GHz</w:t>
            </w:r>
          </w:p>
        </w:tc>
        <w:tc>
          <w:tcPr>
            <w:tcW w:w="5869" w:type="dxa"/>
            <w:vAlign w:val="center"/>
          </w:tcPr>
          <w:p>
            <w:pPr>
              <w:pStyle w:val="105"/>
            </w:pPr>
            <w:r>
              <w:rPr>
                <w:snapToGrid w:val="0"/>
              </w:rPr>
              <w:t>±</w:t>
            </w:r>
            <w:r>
              <w:t xml:space="preserve"> 7.5dB</w:t>
            </w:r>
          </w:p>
          <w:p>
            <w:pPr>
              <w:pStyle w:val="105"/>
            </w:pPr>
            <w:r>
              <w:rPr>
                <w:snapToGrid w:val="0"/>
              </w:rPr>
              <w:t>±</w:t>
            </w:r>
            <w:r>
              <w:t xml:space="preserve"> 7.8dB</w:t>
            </w:r>
          </w:p>
        </w:tc>
      </w:tr>
    </w:tbl>
    <w:p>
      <w:pPr>
        <w:rPr>
          <w:lang w:val="en-US"/>
        </w:rPr>
      </w:pPr>
    </w:p>
    <w:p>
      <w:pPr>
        <w:pStyle w:val="7"/>
        <w:rPr>
          <w:lang w:val="en-US"/>
        </w:rPr>
      </w:pPr>
      <w:bookmarkStart w:id="538" w:name="_Toc24919"/>
      <w:bookmarkStart w:id="539" w:name="_Toc26110"/>
      <w:bookmarkStart w:id="540" w:name="_Toc12817"/>
      <w:bookmarkStart w:id="541" w:name="_Toc14770"/>
      <w:bookmarkStart w:id="542" w:name="_Toc26864"/>
      <w:bookmarkStart w:id="543" w:name="_Toc6182"/>
      <w:r>
        <w:t>6.3A.3.2.2</w:t>
      </w:r>
      <w:r>
        <w:tab/>
      </w:r>
      <w:r>
        <w:t>SRS time mask for UE category M1</w:t>
      </w:r>
      <w:bookmarkEnd w:id="538"/>
      <w:bookmarkEnd w:id="539"/>
      <w:bookmarkEnd w:id="540"/>
      <w:bookmarkEnd w:id="541"/>
      <w:bookmarkEnd w:id="542"/>
      <w:bookmarkEnd w:id="543"/>
    </w:p>
    <w:p>
      <w:pPr>
        <w:pStyle w:val="112"/>
        <w:rPr>
          <w:lang w:val="en-US"/>
        </w:rPr>
      </w:pPr>
      <w:r>
        <w:t>Editor’s Note: Addition to applicability spec is pending.</w:t>
      </w:r>
    </w:p>
    <w:p>
      <w:pPr>
        <w:pStyle w:val="9"/>
      </w:pPr>
      <w:r>
        <w:t>6.3A.3.2.2.1</w:t>
      </w:r>
      <w:r>
        <w:tab/>
      </w:r>
      <w:r>
        <w:t>Test purpose</w:t>
      </w:r>
    </w:p>
    <w:p>
      <w:r>
        <w:t>Same test purpose as in TS 36.521-1[14] clause 6.3.4.2.2.1.</w:t>
      </w:r>
    </w:p>
    <w:p>
      <w:pPr>
        <w:pStyle w:val="9"/>
      </w:pPr>
      <w:r>
        <w:t>6.3A.3.2.2.2</w:t>
      </w:r>
      <w:r>
        <w:tab/>
      </w:r>
      <w:r>
        <w:t>Test applicability</w:t>
      </w:r>
    </w:p>
    <w:p>
      <w:r>
        <w:t>This test case applies to all types of E-UTRA UE release 17 and forward of UE category M1 that support satellite access operation.</w:t>
      </w:r>
    </w:p>
    <w:p>
      <w:pPr>
        <w:pStyle w:val="9"/>
      </w:pPr>
      <w:r>
        <w:t>6.3A.3.2.2.3</w:t>
      </w:r>
      <w:r>
        <w:tab/>
      </w:r>
      <w:r>
        <w:t>Minimum conformance requirements</w:t>
      </w:r>
    </w:p>
    <w:p>
      <w:r>
        <w:rPr>
          <w:lang w:eastAsia="ja-JP"/>
        </w:rPr>
        <w:t xml:space="preserve">Same minimum conformance requirements as in </w:t>
      </w:r>
      <w:r>
        <w:t xml:space="preserve">TS 36.521-1[14] </w:t>
      </w:r>
      <w:r>
        <w:rPr>
          <w:lang w:eastAsia="ja-JP"/>
        </w:rPr>
        <w:t>clause 6.3.4.2.2.3.</w:t>
      </w:r>
    </w:p>
    <w:p>
      <w:pPr>
        <w:pStyle w:val="9"/>
      </w:pPr>
      <w:r>
        <w:t>6.3A.3.2.2.4</w:t>
      </w:r>
      <w:r>
        <w:tab/>
      </w:r>
      <w:r>
        <w:t>Test description</w:t>
      </w:r>
    </w:p>
    <w:p>
      <w:pPr>
        <w:pStyle w:val="9"/>
      </w:pPr>
      <w:r>
        <w:t>6.3A.3.2.2.4.1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Annexes A.2 and A.3</w:t>
      </w:r>
    </w:p>
    <w:p>
      <w:pPr>
        <w:pStyle w:val="113"/>
      </w:pPr>
      <w:r>
        <w:t>Table 6.3A.3.2.2.4.1-1: Test Configuration Table</w:t>
      </w:r>
    </w:p>
    <w:tbl>
      <w:tblPr>
        <w:tblStyle w:val="89"/>
        <w:tblW w:w="84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8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72" w:type="dxa"/>
            <w:gridSpan w:val="2"/>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Test Environment</w:t>
            </w:r>
          </w:p>
          <w:p>
            <w:pPr>
              <w:pStyle w:val="103"/>
              <w:rPr>
                <w:bCs/>
              </w:rPr>
            </w:pPr>
            <w:r>
              <w:t>(as specified in TS 36.508 [12] subclause 4.1)</w:t>
            </w:r>
          </w:p>
        </w:tc>
        <w:tc>
          <w:tcPr>
            <w:tcW w:w="3811" w:type="dxa"/>
            <w:vAlign w:val="center"/>
          </w:tcPr>
          <w:p>
            <w:pPr>
              <w:pStyle w:val="105"/>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Frequencies</w:t>
            </w:r>
          </w:p>
          <w:p>
            <w:pPr>
              <w:pStyle w:val="103"/>
            </w:pPr>
            <w:r>
              <w:t>(as specified in TS 36.508 [12] subclause 4.3.1)</w:t>
            </w:r>
          </w:p>
        </w:tc>
        <w:tc>
          <w:tcPr>
            <w:tcW w:w="3811" w:type="dxa"/>
          </w:tcPr>
          <w:p>
            <w:pPr>
              <w:pStyle w:val="105"/>
            </w:pPr>
            <w: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Channel Bandwidths</w:t>
            </w:r>
          </w:p>
          <w:p>
            <w:pPr>
              <w:pStyle w:val="103"/>
            </w:pPr>
            <w:r>
              <w:t>(as specified in TS 36.508 [12] subclause 4.3.1)</w:t>
            </w:r>
          </w:p>
        </w:tc>
        <w:tc>
          <w:tcPr>
            <w:tcW w:w="3811" w:type="dxa"/>
            <w:vAlign w:val="center"/>
          </w:tcPr>
          <w:p>
            <w:pPr>
              <w:pStyle w:val="105"/>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SRS configuration</w:t>
            </w:r>
          </w:p>
        </w:tc>
        <w:tc>
          <w:tcPr>
            <w:tcW w:w="3811" w:type="dxa"/>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p>
        </w:tc>
        <w:tc>
          <w:tcPr>
            <w:tcW w:w="3811" w:type="dxa"/>
            <w:vAlign w:val="center"/>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srs-BandwidthConfig</w:t>
            </w:r>
          </w:p>
        </w:tc>
        <w:tc>
          <w:tcPr>
            <w:tcW w:w="3811" w:type="dxa"/>
            <w:vAlign w:val="center"/>
          </w:tcPr>
          <w:p>
            <w:pPr>
              <w:pStyle w:val="105"/>
            </w:pPr>
            <w:r>
              <w:t>bw7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srs-SubframeConfig</w:t>
            </w:r>
          </w:p>
        </w:tc>
        <w:tc>
          <w:tcPr>
            <w:tcW w:w="3811" w:type="dxa"/>
            <w:vAlign w:val="center"/>
          </w:tcPr>
          <w:p>
            <w:pPr>
              <w:pStyle w:val="105"/>
            </w:pPr>
            <w:r>
              <w:t>sc3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ackNackSRS-SimultaneousTransmission</w:t>
            </w:r>
          </w:p>
        </w:tc>
        <w:tc>
          <w:tcPr>
            <w:tcW w:w="3811" w:type="dxa"/>
            <w:vAlign w:val="center"/>
          </w:tcPr>
          <w:p>
            <w:pPr>
              <w:pStyle w:val="105"/>
            </w:pPr>
            <w:r>
              <w:t>FALSE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srsMaxUpPts</w:t>
            </w:r>
          </w:p>
        </w:tc>
        <w:tc>
          <w:tcPr>
            <w:tcW w:w="3811" w:type="dxa"/>
            <w:vAlign w:val="center"/>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 xml:space="preserve">srs-Bandwidth </w:t>
            </w:r>
          </w:p>
        </w:tc>
        <w:tc>
          <w:tcPr>
            <w:tcW w:w="3811" w:type="dxa"/>
            <w:vAlign w:val="center"/>
          </w:tcPr>
          <w:p>
            <w:pPr>
              <w:pStyle w:val="105"/>
            </w:pPr>
            <w:r>
              <w:t>bw3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srs-HoppingBandwidth</w:t>
            </w:r>
          </w:p>
        </w:tc>
        <w:tc>
          <w:tcPr>
            <w:tcW w:w="3811" w:type="dxa"/>
            <w:vAlign w:val="center"/>
          </w:tcPr>
          <w:p>
            <w:pPr>
              <w:pStyle w:val="105"/>
            </w:pPr>
            <w:r>
              <w:t>hbw3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freqDomainPosition</w:t>
            </w:r>
          </w:p>
        </w:tc>
        <w:tc>
          <w:tcPr>
            <w:tcW w:w="3811" w:type="dxa"/>
            <w:vAlign w:val="center"/>
          </w:tcPr>
          <w:p>
            <w:pPr>
              <w:pStyle w:val="105"/>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Duration</w:t>
            </w:r>
          </w:p>
        </w:tc>
        <w:tc>
          <w:tcPr>
            <w:tcW w:w="3811" w:type="dxa"/>
            <w:vAlign w:val="center"/>
          </w:tcPr>
          <w:p>
            <w:pPr>
              <w:pStyle w:val="105"/>
            </w:pPr>
            <w:r>
              <w:t>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srs-ConfigIndex</w:t>
            </w:r>
          </w:p>
        </w:tc>
        <w:tc>
          <w:tcPr>
            <w:tcW w:w="3811" w:type="dxa"/>
            <w:vAlign w:val="center"/>
          </w:tcPr>
          <w:p>
            <w:pPr>
              <w:pStyle w:val="105"/>
            </w:pPr>
            <w: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transmissionComb</w:t>
            </w:r>
          </w:p>
        </w:tc>
        <w:tc>
          <w:tcPr>
            <w:tcW w:w="3811" w:type="dxa"/>
            <w:vAlign w:val="center"/>
          </w:tcPr>
          <w:p>
            <w:pPr>
              <w:pStyle w:val="105"/>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cyclicShift</w:t>
            </w:r>
          </w:p>
        </w:tc>
        <w:tc>
          <w:tcPr>
            <w:tcW w:w="3811" w:type="dxa"/>
            <w:vAlign w:val="center"/>
          </w:tcPr>
          <w:p>
            <w:pPr>
              <w:pStyle w:val="105"/>
            </w:pPr>
            <w:r>
              <w:t>cs0</w:t>
            </w:r>
          </w:p>
        </w:tc>
      </w:tr>
    </w:tbl>
    <w:p>
      <w:pPr>
        <w:rPr>
          <w:rFonts w:eastAsia="MS Mincho"/>
          <w:lang w:eastAsia="ja-JP"/>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 xml:space="preserve">Connect the SS to the UE antenna connectors as shown in TS 36.508 [12] Annex A Figure A.3 </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w:t>
      </w:r>
      <w:r>
        <w:rPr>
          <w:color w:val="000000" w:themeColor="text1"/>
          <w14:textFill>
            <w14:solidFill>
              <w14:schemeClr w14:val="tx1"/>
            </w14:solidFill>
          </w14:textFill>
        </w:rPr>
        <w:t xml:space="preserve">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w:t>
      </w:r>
      <w:r>
        <w:t>on of the test as define in TS 36.508[12] clause 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7.</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6.3A.3.2.2.4.3. Note that MPDCCH DCI format 6-0A sent after resetting uplink power with RRC Connection Reconfiguration, should have TPC command 0dB.</w:t>
      </w:r>
    </w:p>
    <w:p>
      <w:pPr>
        <w:pStyle w:val="9"/>
      </w:pPr>
      <w:r>
        <w:t>6.3A.3.2.2.4.2</w:t>
      </w:r>
      <w:r>
        <w:tab/>
      </w:r>
      <w:r>
        <w:t>Test procedure</w:t>
      </w:r>
    </w:p>
    <w:p>
      <w:pPr>
        <w:pStyle w:val="111"/>
        <w:overflowPunct w:val="0"/>
        <w:autoSpaceDE w:val="0"/>
        <w:autoSpaceDN w:val="0"/>
        <w:adjustRightInd w:val="0"/>
        <w:contextualSpacing w:val="0"/>
        <w:textAlignment w:val="baseline"/>
        <w:rPr>
          <w:lang w:val="en-US" w:eastAsia="en-GB"/>
        </w:rPr>
      </w:pPr>
      <w:r>
        <w:rPr>
          <w:rFonts w:hint="eastAsia"/>
          <w:lang w:eastAsia="en-GB"/>
        </w:rPr>
        <w:t>1.</w:t>
      </w:r>
      <w:r>
        <w:rPr>
          <w:rFonts w:hint="eastAsia"/>
          <w:lang w:eastAsia="en-GB"/>
        </w:rPr>
        <w:tab/>
      </w:r>
      <w:r>
        <w:rPr>
          <w:rFonts w:hint="eastAsia"/>
          <w:lang w:eastAsia="en-GB"/>
        </w:rPr>
        <w:t>For FDD UE, the SS measure the UE transmission OFF power during the 13 symbols preceding the SRS symbol excluding a transient period of 20 µs according to TS 36.521-1[14] Figure 6.3.4.2.2.3-1</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Measure the output power of the transmitted SRS according to TS 36.521-1[14] Figure 6.3.4.2.2.3-1 for FDD and HD-FDD UE and the transient periods are excluded from measurement accordingly.</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UE transmission OFF power during the sub-frame following the SRS under test, excluding a transient period of 20 µs according to TS 36.521-1[14] Figure 6.3A.3.2.2.3-1 for FDD and HD-FDD UE</w:t>
      </w:r>
    </w:p>
    <w:p>
      <w:pPr>
        <w:pStyle w:val="9"/>
      </w:pPr>
      <w:r>
        <w:t>6.3A.3.2.2.4.3</w:t>
      </w:r>
      <w:r>
        <w:tab/>
      </w:r>
      <w:r>
        <w:t>Message contents</w:t>
      </w:r>
    </w:p>
    <w:p>
      <w:pPr>
        <w:rPr>
          <w:lang w:eastAsia="ja-JP"/>
        </w:rPr>
      </w:pPr>
      <w:r>
        <w:rPr>
          <w:lang w:eastAsia="ja-JP"/>
        </w:rPr>
        <w:t xml:space="preserve">Same message contents as in </w:t>
      </w:r>
      <w:r>
        <w:rPr>
          <w:rFonts w:eastAsia="Malgun Gothic"/>
          <w:lang w:eastAsia="en-GB"/>
        </w:rPr>
        <w:t xml:space="preserve">TS 36.521-1[14] </w:t>
      </w:r>
      <w:r>
        <w:rPr>
          <w:lang w:eastAsia="ja-JP"/>
        </w:rPr>
        <w:t>clause 6.3.4.2.2.4.3 with the following exception.</w:t>
      </w:r>
    </w:p>
    <w:p>
      <w:pPr>
        <w:pStyle w:val="113"/>
      </w:pPr>
      <w:r>
        <w:t>Table 6.3A.3.2.2.4.3-1: SchedulingRequest-Config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36.331[6]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SchedulingRequest-Config-DEFAULT ::= CHOICE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setup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right w:val="single" w:color="auto" w:sz="4" w:space="0"/>
            </w:tcBorders>
          </w:tcPr>
          <w:p>
            <w:pPr>
              <w:pStyle w:val="103"/>
            </w:pPr>
            <w:r>
              <w:t xml:space="preserve">    sr-ConfigIndex</w:t>
            </w:r>
          </w:p>
        </w:tc>
        <w:tc>
          <w:tcPr>
            <w:tcW w:w="2268" w:type="dxa"/>
            <w:tcBorders>
              <w:top w:val="single" w:color="auto" w:sz="4" w:space="0"/>
              <w:left w:val="single" w:color="auto" w:sz="4" w:space="0"/>
              <w:bottom w:val="single" w:color="auto" w:sz="4" w:space="0"/>
              <w:right w:val="single" w:color="auto" w:sz="4" w:space="0"/>
            </w:tcBorders>
          </w:tcPr>
          <w:p>
            <w:pPr>
              <w:pStyle w:val="103"/>
            </w:pPr>
            <w:r>
              <w:t>33</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701"/>
        <w:gridCol w:w="72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1" w:type="dxa"/>
          </w:tcPr>
          <w:p>
            <w:pPr>
              <w:pStyle w:val="104"/>
              <w:keepNext w:val="0"/>
              <w:keepLines w:val="0"/>
            </w:pPr>
            <w:r>
              <w:t>Condition</w:t>
            </w:r>
          </w:p>
        </w:tc>
        <w:tc>
          <w:tcPr>
            <w:tcW w:w="7229" w:type="dxa"/>
          </w:tcPr>
          <w:p>
            <w:pPr>
              <w:pStyle w:val="104"/>
              <w:keepNext w:val="0"/>
              <w:keepLines w:val="0"/>
            </w:pPr>
            <w:r>
              <w:t>Explanation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1" w:type="dxa"/>
            <w:tcBorders>
              <w:top w:val="single" w:color="auto" w:sz="4" w:space="0"/>
              <w:left w:val="single" w:color="auto" w:sz="4" w:space="0"/>
              <w:bottom w:val="single" w:color="auto" w:sz="4" w:space="0"/>
              <w:right w:val="single" w:color="auto" w:sz="4" w:space="0"/>
            </w:tcBorders>
          </w:tcPr>
          <w:p>
            <w:pPr>
              <w:pStyle w:val="104"/>
              <w:keepNext w:val="0"/>
              <w:keepLines w:val="0"/>
            </w:pPr>
            <w:r>
              <w:t>HD-FDD</w:t>
            </w:r>
          </w:p>
        </w:tc>
        <w:tc>
          <w:tcPr>
            <w:tcW w:w="7229" w:type="dxa"/>
            <w:tcBorders>
              <w:top w:val="single" w:color="auto" w:sz="4" w:space="0"/>
              <w:left w:val="single" w:color="auto" w:sz="4" w:space="0"/>
              <w:bottom w:val="single" w:color="auto" w:sz="4" w:space="0"/>
              <w:right w:val="single" w:color="auto" w:sz="4" w:space="0"/>
            </w:tcBorders>
          </w:tcPr>
          <w:p>
            <w:pPr>
              <w:pStyle w:val="104"/>
              <w:keepNext w:val="0"/>
              <w:keepLines w:val="0"/>
            </w:pPr>
            <w:r>
              <w:t>Half Duplex FDD cell environment</w:t>
            </w:r>
          </w:p>
        </w:tc>
      </w:tr>
    </w:tbl>
    <w:p/>
    <w:p>
      <w:pPr>
        <w:pStyle w:val="9"/>
      </w:pPr>
      <w:r>
        <w:t>6.3A.3.2.2.5</w:t>
      </w:r>
      <w:r>
        <w:tab/>
      </w:r>
      <w:r>
        <w:t>Test requirement</w:t>
      </w:r>
    </w:p>
    <w:p>
      <w:r>
        <w:t xml:space="preserve">The requirement for the power measured in steps (1), (2) and (3) of the test procedure shall not </w:t>
      </w:r>
      <w:r>
        <w:rPr>
          <w:rFonts w:eastAsia="香~??’c‘I"/>
        </w:rPr>
        <w:t>exceed</w:t>
      </w:r>
      <w:r>
        <w:t xml:space="preserve"> the values specified in Table 6.3A.3.2.2.5-1.</w:t>
      </w:r>
    </w:p>
    <w:p>
      <w:pPr>
        <w:pStyle w:val="113"/>
      </w:pPr>
      <w:r>
        <w:t>Table 6.3A.3.2.2.5-1: SRS time mask</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tc>
        <w:tc>
          <w:tcPr>
            <w:tcW w:w="5869" w:type="dxa"/>
          </w:tcPr>
          <w:p>
            <w:pPr>
              <w:pStyle w:val="104"/>
            </w:pPr>
            <w:r>
              <w:t>Channel bandwidth / Output Power [dBm]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tc>
        <w:tc>
          <w:tcPr>
            <w:tcW w:w="5869" w:type="dxa"/>
          </w:tcPr>
          <w:p>
            <w:pPr>
              <w:pStyle w:val="104"/>
            </w:pPr>
            <w: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Transmit OFF power</w:t>
            </w:r>
          </w:p>
        </w:tc>
        <w:tc>
          <w:tcPr>
            <w:tcW w:w="5869" w:type="dxa"/>
            <w:vAlign w:val="center"/>
          </w:tcPr>
          <w:p>
            <w:pPr>
              <w:pStyle w:val="105"/>
            </w:pPr>
            <w:r>
              <w:rPr>
                <w:rFonts w:cs="v4.2.0"/>
              </w:rPr>
              <w:t xml:space="preserve">For carrier frequency f </w:t>
            </w:r>
            <w:r>
              <w:rPr>
                <w:rFonts w:cs="Arial"/>
              </w:rPr>
              <w:t>≤</w:t>
            </w:r>
            <w:r>
              <w:rPr>
                <w:rFonts w:cs="v4.2.0"/>
              </w:rPr>
              <w:t xml:space="preserve"> 3.0GHz: </w:t>
            </w:r>
            <w:r>
              <w:rPr/>
              <w:sym w:font="Symbol" w:char="F0A3"/>
            </w:r>
            <w:r>
              <w:t xml:space="preserve"> -48.5 dBm</w:t>
            </w:r>
          </w:p>
          <w:p>
            <w:pPr>
              <w:pStyle w:val="105"/>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Transmission OFF Measurement bandwidth</w:t>
            </w:r>
          </w:p>
        </w:tc>
        <w:tc>
          <w:tcPr>
            <w:tcW w:w="5869" w:type="dxa"/>
            <w:vAlign w:val="center"/>
          </w:tcPr>
          <w:p>
            <w:pPr>
              <w:pStyle w:val="105"/>
            </w:pPr>
            <w: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Expected SRS Transmission ON Measured power</w:t>
            </w:r>
          </w:p>
        </w:tc>
        <w:tc>
          <w:tcPr>
            <w:tcW w:w="5869" w:type="dxa"/>
            <w:vAlign w:val="center"/>
          </w:tcPr>
          <w:p>
            <w:pPr>
              <w:pStyle w:val="105"/>
            </w:pPr>
            <w:r>
              <w:t>-2.6 dBm</w:t>
            </w:r>
            <w:r>
              <w:rPr>
                <w:snapToGrid w:val="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ON power tolerance</w:t>
            </w:r>
          </w:p>
          <w:p>
            <w:pPr>
              <w:pStyle w:val="103"/>
            </w:pPr>
            <w:r>
              <w:rPr>
                <w:rFonts w:cs="v4.2.0"/>
              </w:rPr>
              <w:t xml:space="preserve">f </w:t>
            </w:r>
            <w:r>
              <w:rPr>
                <w:rFonts w:cs="Arial"/>
              </w:rPr>
              <w:t>≤</w:t>
            </w:r>
            <w:r>
              <w:rPr>
                <w:rFonts w:cs="v4.2.0"/>
              </w:rPr>
              <w:t xml:space="preserve"> 3.0GHz</w:t>
            </w:r>
          </w:p>
          <w:p>
            <w:pPr>
              <w:pStyle w:val="103"/>
              <w:rPr>
                <w:rFonts w:cs="v4.2.0"/>
              </w:rPr>
            </w:pPr>
            <w:r>
              <w:t xml:space="preserve">3.0GHz &lt; f </w:t>
            </w:r>
            <w:r>
              <w:rPr>
                <w:rFonts w:cs="Arial"/>
              </w:rPr>
              <w:t>≤</w:t>
            </w:r>
            <w:r>
              <w:t xml:space="preserve"> 4.2GHz</w:t>
            </w:r>
          </w:p>
        </w:tc>
        <w:tc>
          <w:tcPr>
            <w:tcW w:w="5869" w:type="dxa"/>
            <w:vAlign w:val="center"/>
          </w:tcPr>
          <w:p>
            <w:pPr>
              <w:pStyle w:val="105"/>
            </w:pPr>
            <w:r>
              <w:rPr>
                <w:snapToGrid w:val="0"/>
              </w:rPr>
              <w:t>±</w:t>
            </w:r>
            <w:r>
              <w:t xml:space="preserve"> 7.5dB</w:t>
            </w:r>
          </w:p>
          <w:p>
            <w:pPr>
              <w:pStyle w:val="105"/>
            </w:pPr>
            <w:r>
              <w:rPr>
                <w:snapToGrid w:val="0"/>
              </w:rPr>
              <w:t>±</w:t>
            </w:r>
            <w:r>
              <w:t xml:space="preserve"> 7.8dB</w:t>
            </w:r>
          </w:p>
        </w:tc>
      </w:tr>
    </w:tbl>
    <w:p/>
    <w:p>
      <w:pPr>
        <w:pStyle w:val="5"/>
        <w:rPr>
          <w:lang w:eastAsia="zh-CN"/>
        </w:rPr>
      </w:pPr>
      <w:bookmarkStart w:id="544" w:name="_Toc27031"/>
      <w:bookmarkStart w:id="545" w:name="_Toc8626"/>
      <w:bookmarkStart w:id="546" w:name="_Toc22238"/>
      <w:bookmarkStart w:id="547" w:name="_Toc3887"/>
      <w:bookmarkStart w:id="548" w:name="_Toc20294"/>
      <w:bookmarkStart w:id="549" w:name="_Toc12498"/>
      <w:r>
        <w:t>6.3A.4</w:t>
      </w:r>
      <w:r>
        <w:tab/>
      </w:r>
      <w:r>
        <w:t>Power control</w:t>
      </w:r>
      <w:r>
        <w:rPr>
          <w:lang w:eastAsia="zh-CN"/>
        </w:rPr>
        <w:t xml:space="preserve"> for category M1</w:t>
      </w:r>
      <w:bookmarkEnd w:id="529"/>
      <w:bookmarkEnd w:id="530"/>
      <w:bookmarkEnd w:id="531"/>
      <w:bookmarkEnd w:id="544"/>
      <w:bookmarkEnd w:id="545"/>
      <w:bookmarkEnd w:id="546"/>
      <w:bookmarkEnd w:id="547"/>
      <w:bookmarkEnd w:id="548"/>
      <w:bookmarkEnd w:id="549"/>
    </w:p>
    <w:p>
      <w:pPr>
        <w:pStyle w:val="6"/>
        <w:rPr>
          <w:lang w:val="en-US"/>
        </w:rPr>
      </w:pPr>
      <w:bookmarkStart w:id="550" w:name="_Toc27504"/>
      <w:bookmarkStart w:id="551" w:name="_Toc10466"/>
      <w:bookmarkStart w:id="552" w:name="_Toc7597"/>
      <w:bookmarkStart w:id="553" w:name="_Toc19985"/>
      <w:bookmarkStart w:id="554" w:name="_Toc15900"/>
      <w:bookmarkStart w:id="555" w:name="_Toc31211"/>
      <w:r>
        <w:t>6.3A.</w:t>
      </w:r>
      <w:r>
        <w:rPr>
          <w:rFonts w:hint="eastAsia"/>
        </w:rPr>
        <w:t>4</w:t>
      </w:r>
      <w:r>
        <w:t>.</w:t>
      </w:r>
      <w:r>
        <w:rPr>
          <w:rFonts w:hint="eastAsia"/>
        </w:rPr>
        <w:t>1</w:t>
      </w:r>
      <w:r>
        <w:tab/>
      </w:r>
      <w:r>
        <w:t>Power Control Absolute power tolerance for UE category M1</w:t>
      </w:r>
      <w:bookmarkEnd w:id="550"/>
      <w:bookmarkEnd w:id="551"/>
      <w:bookmarkEnd w:id="552"/>
      <w:bookmarkEnd w:id="553"/>
      <w:bookmarkEnd w:id="554"/>
      <w:bookmarkEnd w:id="555"/>
    </w:p>
    <w:p>
      <w:pPr>
        <w:pStyle w:val="112"/>
        <w:rPr>
          <w:lang w:val="en-US"/>
        </w:rPr>
      </w:pPr>
      <w:r>
        <w:t>Editor’s Note: Addition to applicability spec is pending.</w:t>
      </w:r>
    </w:p>
    <w:p>
      <w:pPr>
        <w:pStyle w:val="9"/>
      </w:pPr>
      <w:r>
        <w:t>6.3A.</w:t>
      </w:r>
      <w:r>
        <w:rPr>
          <w:rFonts w:hint="eastAsia"/>
        </w:rPr>
        <w:t>4</w:t>
      </w:r>
      <w:r>
        <w:t>.</w:t>
      </w:r>
      <w:r>
        <w:rPr>
          <w:rFonts w:hint="eastAsia"/>
        </w:rPr>
        <w:t>1</w:t>
      </w:r>
      <w:r>
        <w:t>.1</w:t>
      </w:r>
      <w:r>
        <w:tab/>
      </w:r>
      <w:r>
        <w:t>Test purpose</w:t>
      </w:r>
    </w:p>
    <w:p>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pPr>
        <w:pStyle w:val="9"/>
      </w:pPr>
      <w:r>
        <w:t>6.3A.</w:t>
      </w:r>
      <w:r>
        <w:rPr>
          <w:rFonts w:hint="eastAsia"/>
        </w:rPr>
        <w:t>4</w:t>
      </w:r>
      <w:r>
        <w:t>.</w:t>
      </w:r>
      <w:r>
        <w:rPr>
          <w:rFonts w:hint="eastAsia"/>
        </w:rPr>
        <w:t>1</w:t>
      </w:r>
      <w:r>
        <w:t>.2</w:t>
      </w:r>
      <w:r>
        <w:tab/>
      </w:r>
      <w:r>
        <w:t>Test applicability</w:t>
      </w:r>
    </w:p>
    <w:p>
      <w:pPr>
        <w:rPr>
          <w:lang w:val="en-US"/>
        </w:rPr>
      </w:pPr>
      <w:r>
        <w:t>This test case applies to all types of E-UTRA UE release 17 and forward of UE category M1 that support satellite access operation.</w:t>
      </w:r>
    </w:p>
    <w:p>
      <w:pPr>
        <w:pStyle w:val="9"/>
        <w:rPr>
          <w:lang w:val="en-US"/>
        </w:rPr>
      </w:pPr>
      <w:r>
        <w:t>6.3A.</w:t>
      </w:r>
      <w:r>
        <w:rPr>
          <w:rFonts w:hint="eastAsia"/>
        </w:rPr>
        <w:t>4</w:t>
      </w:r>
      <w:r>
        <w:t>.</w:t>
      </w:r>
      <w:r>
        <w:rPr>
          <w:rFonts w:hint="eastAsia"/>
        </w:rPr>
        <w:t>1</w:t>
      </w:r>
      <w:r>
        <w:t>.</w:t>
      </w:r>
      <w:r>
        <w:rPr>
          <w:rFonts w:hint="eastAsia"/>
        </w:rPr>
        <w:t>3</w:t>
      </w:r>
      <w:r>
        <w:tab/>
      </w:r>
      <w:r>
        <w:t>Minimum conformance requirements</w:t>
      </w:r>
    </w:p>
    <w:p>
      <w:pPr>
        <w:rPr>
          <w:snapToGrid w:val="0"/>
        </w:rPr>
      </w:pPr>
      <w:r>
        <w:t>Absolute power tolerance is the ability of the UE transmitter to set its initial output power to a specific value for the first sub-frame at the start of a contiguous transmission</w:t>
      </w:r>
      <w:r>
        <w:rPr>
          <w:snapToGrid w:val="0"/>
        </w:rPr>
        <w:t xml:space="preserve"> or non-contiguous transmission with a transmission gap larger than 20ms.</w:t>
      </w:r>
    </w:p>
    <w:p>
      <w:r>
        <w:t>The minimum requirement on absolute power tolerance is given in Table 6.3</w:t>
      </w:r>
      <w:r>
        <w:rPr>
          <w:rFonts w:eastAsia="PMingLiU"/>
          <w:lang w:eastAsia="zh-TW"/>
        </w:rPr>
        <w:t>A.4</w:t>
      </w:r>
      <w:r>
        <w:t>.1.3-1 over the power range bounded by the Maximum output power as defined in sub-clause 6.2</w:t>
      </w:r>
      <w:r>
        <w:rPr>
          <w:rFonts w:eastAsia="PMingLiU"/>
          <w:lang w:eastAsia="zh-TW"/>
        </w:rPr>
        <w:t>A</w:t>
      </w:r>
      <w:r>
        <w:rPr>
          <w:rFonts w:asciiTheme="minorEastAsia" w:hAnsiTheme="minorEastAsia" w:eastAsiaTheme="minorEastAsia"/>
          <w:lang w:val="en-US"/>
        </w:rPr>
        <w:t>.1</w:t>
      </w:r>
      <w:r>
        <w:t xml:space="preserve"> and the Minimum output power as defined in sub clause 6.3A.1.</w:t>
      </w:r>
    </w:p>
    <w:p>
      <w:pPr>
        <w:pStyle w:val="113"/>
      </w:pPr>
      <w:r>
        <w:t>Table 6.3</w:t>
      </w:r>
      <w:r>
        <w:rPr>
          <w:rFonts w:eastAsia="PMingLiU"/>
          <w:lang w:eastAsia="zh-TW"/>
        </w:rPr>
        <w:t>A</w:t>
      </w:r>
      <w:r>
        <w:t>.4.1.</w:t>
      </w:r>
      <w:r>
        <w:rPr>
          <w:rFonts w:eastAsia="PMingLiU"/>
          <w:lang w:eastAsia="zh-TW"/>
        </w:rPr>
        <w:t>3</w:t>
      </w:r>
      <w:r>
        <w:t>-1: Absolute power tolerance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0" w:type="dxa"/>
            <w:vAlign w:val="center"/>
          </w:tcPr>
          <w:p>
            <w:pPr>
              <w:pStyle w:val="104"/>
            </w:pPr>
            <w:r>
              <w:t>Conditions</w:t>
            </w:r>
          </w:p>
        </w:tc>
        <w:tc>
          <w:tcPr>
            <w:tcW w:w="1827" w:type="dxa"/>
            <w:vAlign w:val="center"/>
          </w:tcPr>
          <w:p>
            <w:pPr>
              <w:pStyle w:val="104"/>
              <w:rPr>
                <w:snapToGrid w:val="0"/>
              </w:rPr>
            </w:pPr>
            <w:r>
              <w:rPr>
                <w:snapToGrid w:val="0"/>
              </w:rPr>
              <w:t>Tolerance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0" w:type="dxa"/>
            <w:vAlign w:val="center"/>
          </w:tcPr>
          <w:p>
            <w:pPr>
              <w:pStyle w:val="105"/>
            </w:pPr>
            <w:r>
              <w:t>Normal conditions</w:t>
            </w:r>
          </w:p>
        </w:tc>
        <w:tc>
          <w:tcPr>
            <w:tcW w:w="1827" w:type="dxa"/>
            <w:vAlign w:val="center"/>
          </w:tcPr>
          <w:p>
            <w:pPr>
              <w:pStyle w:val="105"/>
            </w:pPr>
            <w:r>
              <w:rPr>
                <w:snapToGrid w:val="0"/>
              </w:rPr>
              <w:t>±</w:t>
            </w:r>
            <w:r>
              <w:t xml:space="preserve"> 9.0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0" w:type="dxa"/>
            <w:vAlign w:val="center"/>
          </w:tcPr>
          <w:p>
            <w:pPr>
              <w:pStyle w:val="105"/>
            </w:pPr>
            <w:r>
              <w:t>Extreme conditions</w:t>
            </w:r>
          </w:p>
        </w:tc>
        <w:tc>
          <w:tcPr>
            <w:tcW w:w="1827" w:type="dxa"/>
            <w:vAlign w:val="center"/>
          </w:tcPr>
          <w:p>
            <w:pPr>
              <w:pStyle w:val="105"/>
            </w:pPr>
            <w:r>
              <w:rPr>
                <w:snapToGrid w:val="0"/>
              </w:rPr>
              <w:t>±</w:t>
            </w:r>
            <w:r>
              <w:t xml:space="preserve"> 12.0 dB</w:t>
            </w:r>
          </w:p>
        </w:tc>
      </w:tr>
    </w:tbl>
    <w:p/>
    <w:p>
      <w:pPr>
        <w:rPr>
          <w:lang w:eastAsia="ja-JP"/>
        </w:rPr>
      </w:pPr>
      <w:r>
        <w:t>The normative reference for this requirement is TS 36.102 [11] clause 6.3A.4.</w:t>
      </w:r>
    </w:p>
    <w:p>
      <w:pPr>
        <w:pStyle w:val="9"/>
      </w:pPr>
      <w:r>
        <w:t>6.3A.4.1.4</w:t>
      </w:r>
      <w:r>
        <w:tab/>
      </w:r>
      <w:r>
        <w:t>Test description</w:t>
      </w:r>
    </w:p>
    <w:p>
      <w:pPr>
        <w:pStyle w:val="9"/>
      </w:pPr>
      <w:r>
        <w:t>6.3A.4.1.4.1</w:t>
      </w:r>
      <w:r>
        <w:tab/>
      </w:r>
      <w:r>
        <w:t>Initial conditions</w:t>
      </w:r>
    </w:p>
    <w:p>
      <w:r>
        <w:t>Initial conditions are a set of test configurations the UE needs to be tested in and the steps for the SS to take with the UE to reach the correct measurement state.</w:t>
      </w:r>
    </w:p>
    <w:p>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pPr>
        <w:pStyle w:val="113"/>
      </w:pPr>
      <w:r>
        <w:t>Table 6.3A.4.1.4.1-1: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601"/>
        <w:gridCol w:w="1417"/>
        <w:gridCol w:w="3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t>Test Environment as specified in</w:t>
            </w:r>
          </w:p>
          <w:p>
            <w:pPr>
              <w:pStyle w:val="103"/>
            </w:pPr>
            <w:r>
              <w:t>TS 36.508 [12] subclause 4.1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Frequencies 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Channel Bandwidths</w:t>
            </w:r>
            <w:r>
              <w:t xml:space="preserve"> </w:t>
            </w:r>
            <w:r>
              <w:rPr>
                <w:bCs/>
              </w:rPr>
              <w:t>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rFonts w:eastAsia="PMingLiU"/>
                <w:bCs/>
                <w:lang w:eastAsia="zh-TW"/>
              </w:rPr>
            </w:pPr>
            <w:r>
              <w:rPr>
                <w:rFonts w:eastAsia="PMingLiU"/>
                <w:bCs/>
                <w:lang w:eastAsia="zh-TW"/>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3"/>
            </w:pPr>
          </w:p>
        </w:tc>
        <w:tc>
          <w:tcPr>
            <w:tcW w:w="2931" w:type="dxa"/>
            <w:gridSpan w:val="2"/>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29"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gridSpan w:val="2"/>
            <w:vMerge w:val="restart"/>
            <w:tcBorders>
              <w:top w:val="single" w:color="auto" w:sz="4" w:space="0"/>
              <w:left w:val="single" w:color="auto" w:sz="4" w:space="0"/>
              <w:right w:val="single" w:color="auto" w:sz="4" w:space="0"/>
            </w:tcBorders>
          </w:tcPr>
          <w:p>
            <w:pPr>
              <w:pStyle w:val="105"/>
            </w:pPr>
            <w:r>
              <w:t>N/A</w:t>
            </w:r>
          </w:p>
        </w:tc>
        <w:tc>
          <w:tcPr>
            <w:tcW w:w="1417" w:type="dxa"/>
            <w:tcBorders>
              <w:top w:val="single" w:color="auto" w:sz="4" w:space="0"/>
              <w:left w:val="single" w:color="auto" w:sz="4" w:space="0"/>
              <w:bottom w:val="single" w:color="auto" w:sz="4" w:space="0"/>
              <w:right w:val="single" w:color="auto" w:sz="4" w:space="0"/>
            </w:tcBorders>
          </w:tcPr>
          <w:p>
            <w:pPr>
              <w:pStyle w:val="105"/>
            </w:pPr>
            <w:r>
              <w:t>Mod'n</w:t>
            </w:r>
          </w:p>
        </w:tc>
        <w:tc>
          <w:tcPr>
            <w:tcW w:w="3812"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p>
        </w:tc>
        <w:tc>
          <w:tcPr>
            <w:tcW w:w="3812"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r>
              <w:t>QPSK</w:t>
            </w:r>
          </w:p>
        </w:tc>
        <w:tc>
          <w:tcPr>
            <w:tcW w:w="3812" w:type="dxa"/>
            <w:tcBorders>
              <w:top w:val="single" w:color="auto" w:sz="4" w:space="0"/>
              <w:left w:val="single" w:color="auto" w:sz="4" w:space="0"/>
              <w:bottom w:val="single" w:color="auto" w:sz="4" w:space="0"/>
              <w:right w:val="single" w:color="auto" w:sz="4" w:space="0"/>
            </w:tcBorders>
          </w:tcPr>
          <w:p>
            <w:pPr>
              <w:pStyle w:val="105"/>
            </w:pPr>
            <w:r>
              <w:rPr>
                <w:rFonts w:eastAsia="PMingLiU"/>
                <w:lang w:eastAsia="zh-TW"/>
              </w:rPr>
              <w:t>6</w:t>
            </w:r>
          </w:p>
        </w:tc>
      </w:tr>
    </w:tbl>
    <w:p>
      <w:pPr>
        <w:rPr>
          <w:rFonts w:eastAsia="MS Mincho"/>
          <w:lang w:eastAsia="ja-JP"/>
        </w:rPr>
      </w:pPr>
    </w:p>
    <w:p>
      <w:pPr>
        <w:pStyle w:val="111"/>
        <w:overflowPunct w:val="0"/>
        <w:autoSpaceDE w:val="0"/>
        <w:autoSpaceDN w:val="0"/>
        <w:adjustRightInd w:val="0"/>
        <w:ind w:left="0" w:firstLine="284"/>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6.3A.4.1.4.1-1.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emula</w:t>
      </w:r>
      <w:r>
        <w:rPr>
          <w:color w:val="000000" w:themeColor="text1"/>
          <w14:textFill>
            <w14:solidFill>
              <w14:schemeClr w14:val="tx1"/>
            </w14:solidFill>
          </w14:textFill>
        </w:rPr>
        <w:t xml:space="preserve">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w:t>
      </w:r>
      <w:r>
        <w:t>ion of the test as define in TS 36.508[12] clause 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7.</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r>
      <w:r>
        <w:rPr>
          <w:rFonts w:hint="eastAsia"/>
          <w:lang w:eastAsia="en-GB"/>
        </w:rPr>
        <w:t>Ensure the UE is in State 3A-RF-CE according to TS 36.508 [12] clause 5.2A. 2 AA. Message contents are defined in clause 6.3A.4.1.4.3. Note that MPDCCH DCI format 6-0A sent after resetting uplink power with RRC Connection Reconfiguration, should have TPC command 0dB.</w:t>
      </w:r>
    </w:p>
    <w:p>
      <w:pPr>
        <w:pStyle w:val="9"/>
      </w:pPr>
      <w:r>
        <w:t>6.3A.4.1.4.2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via MPDCCH DCI format 6-0A with TPC command 0dB for C_RNTI to schedule the UL RMC according to Table 6.3A.4.1.4.1-1.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Measure the initial output power of the first subframe of UE PUSCH first transmission. The transient periods of 20us are excluded.</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Repeat for the two test points as indicated in section 6.3A.4.1.4.3. The timing of the execution between the two test points shall be larger than 20ms.</w:t>
      </w:r>
    </w:p>
    <w:p>
      <w:pPr>
        <w:pStyle w:val="9"/>
      </w:pPr>
      <w:r>
        <w:t>6.3A.4.1.4.3</w:t>
      </w:r>
      <w:r>
        <w:tab/>
      </w:r>
      <w:r>
        <w:t>Message contents</w:t>
      </w:r>
    </w:p>
    <w:p>
      <w:pPr>
        <w:rPr>
          <w:lang w:eastAsia="ja-JP"/>
        </w:rPr>
      </w:pPr>
      <w:r>
        <w:t>Message contents are according to TS 36.508 [12] subclause 4.6 with the following exception</w:t>
      </w:r>
      <w:r>
        <w:rPr>
          <w:lang w:eastAsia="ja-JP"/>
        </w:rPr>
        <w:t>s:</w:t>
      </w:r>
    </w:p>
    <w:p>
      <w:pPr>
        <w:pStyle w:val="113"/>
      </w:pPr>
      <w:r>
        <w:t xml:space="preserve"> Table 6.3</w:t>
      </w:r>
      <w:r>
        <w:rPr>
          <w:rFonts w:eastAsia="PMingLiU"/>
          <w:lang w:eastAsia="zh-TW"/>
        </w:rPr>
        <w:t>A</w:t>
      </w:r>
      <w:r>
        <w:t>.4.1.4.3-1: UplinkPowerControlCommon: Test point 1</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4.6.3, Table 4.6.3-25 UplinkPowerControlCommon-DEFAULT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UplinkPowerControlCommon-DEFAULT ::= SEQUENCE {</w:t>
            </w:r>
          </w:p>
          <w:p>
            <w:pPr>
              <w:pStyle w:val="103"/>
            </w:pPr>
            <w:r>
              <w:t>p0-NominalPUSCH</w:t>
            </w:r>
          </w:p>
        </w:tc>
        <w:tc>
          <w:tcPr>
            <w:tcW w:w="2267" w:type="dxa"/>
          </w:tcPr>
          <w:p>
            <w:pPr>
              <w:pStyle w:val="103"/>
            </w:pPr>
            <w:r>
              <w:t>-105</w:t>
            </w:r>
          </w:p>
        </w:tc>
        <w:tc>
          <w:tcPr>
            <w:tcW w:w="1700" w:type="dxa"/>
          </w:tcPr>
          <w:p>
            <w:pPr>
              <w:pStyle w:val="103"/>
            </w:pPr>
            <w:r>
              <w:t>Test point 1 to verify a UE relative low initial power transmission</w:t>
            </w:r>
          </w:p>
        </w:tc>
        <w:tc>
          <w:tcPr>
            <w:tcW w:w="1133" w:type="dxa"/>
          </w:tcPr>
          <w:p>
            <w:pPr>
              <w:pStyle w:val="103"/>
            </w:pPr>
          </w:p>
        </w:tc>
      </w:tr>
    </w:tbl>
    <w:p/>
    <w:p>
      <w:pPr>
        <w:pStyle w:val="113"/>
      </w:pPr>
      <w:r>
        <w:t>Table 6.3</w:t>
      </w:r>
      <w:r>
        <w:rPr>
          <w:rFonts w:eastAsia="PMingLiU"/>
          <w:lang w:eastAsia="zh-TW"/>
        </w:rPr>
        <w:t>A</w:t>
      </w:r>
      <w:r>
        <w:t>.4.1.4.3-2: UplinkPowerControlCommon: Test point 2</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4.6.3, Table 4.6.3-25 UplinkPowerControlCommon-DEFAULT</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jc w:val="center"/>
        </w:trPr>
        <w:tc>
          <w:tcPr>
            <w:tcW w:w="4535" w:type="dxa"/>
            <w:tcBorders>
              <w:right w:val="single" w:color="auto" w:sz="4" w:space="0"/>
            </w:tcBorders>
          </w:tcPr>
          <w:p>
            <w:pPr>
              <w:pStyle w:val="104"/>
            </w:pPr>
            <w:r>
              <w:t>Information Element</w:t>
            </w:r>
          </w:p>
        </w:tc>
        <w:tc>
          <w:tcPr>
            <w:tcW w:w="2267" w:type="dxa"/>
            <w:tcBorders>
              <w:left w:val="single" w:color="auto" w:sz="4" w:space="0"/>
              <w:right w:val="single" w:color="auto" w:sz="4" w:space="0"/>
            </w:tcBorders>
          </w:tcPr>
          <w:p>
            <w:pPr>
              <w:pStyle w:val="104"/>
            </w:pPr>
            <w:r>
              <w:t>Value/remark</w:t>
            </w:r>
          </w:p>
        </w:tc>
        <w:tc>
          <w:tcPr>
            <w:tcW w:w="1700" w:type="dxa"/>
            <w:tcBorders>
              <w:left w:val="single" w:color="auto" w:sz="4" w:space="0"/>
              <w:right w:val="single" w:color="auto" w:sz="4" w:space="0"/>
            </w:tcBorders>
          </w:tcPr>
          <w:p>
            <w:pPr>
              <w:pStyle w:val="104"/>
            </w:pPr>
            <w:r>
              <w:t>Comment</w:t>
            </w:r>
          </w:p>
        </w:tc>
        <w:tc>
          <w:tcPr>
            <w:tcW w:w="1133" w:type="dxa"/>
            <w:tcBorders>
              <w:left w:val="single" w:color="auto" w:sz="4" w:space="0"/>
            </w:tcBorders>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PrEx>
        <w:trPr>
          <w:jc w:val="center"/>
        </w:trPr>
        <w:tc>
          <w:tcPr>
            <w:tcW w:w="4535" w:type="dxa"/>
            <w:tcBorders>
              <w:right w:val="single" w:color="auto" w:sz="4" w:space="0"/>
            </w:tcBorders>
          </w:tcPr>
          <w:p>
            <w:pPr>
              <w:pStyle w:val="103"/>
            </w:pPr>
            <w:r>
              <w:t>UplinkPowerControlCommon-DEFAULT ::= SEQUENCE {</w:t>
            </w:r>
          </w:p>
          <w:p>
            <w:pPr>
              <w:pStyle w:val="103"/>
            </w:pPr>
            <w:r>
              <w:t>p0-NominalPUSCH</w:t>
            </w:r>
          </w:p>
        </w:tc>
        <w:tc>
          <w:tcPr>
            <w:tcW w:w="2267" w:type="dxa"/>
            <w:tcBorders>
              <w:left w:val="single" w:color="auto" w:sz="4" w:space="0"/>
              <w:right w:val="single" w:color="auto" w:sz="4" w:space="0"/>
            </w:tcBorders>
          </w:tcPr>
          <w:p>
            <w:pPr>
              <w:pStyle w:val="103"/>
            </w:pPr>
            <w:r>
              <w:t>-93</w:t>
            </w:r>
          </w:p>
        </w:tc>
        <w:tc>
          <w:tcPr>
            <w:tcW w:w="1700" w:type="dxa"/>
            <w:tcBorders>
              <w:left w:val="single" w:color="auto" w:sz="4" w:space="0"/>
              <w:right w:val="single" w:color="auto" w:sz="4" w:space="0"/>
            </w:tcBorders>
          </w:tcPr>
          <w:p>
            <w:pPr>
              <w:pStyle w:val="103"/>
            </w:pPr>
            <w:r>
              <w:t>Test point 2 to verify a UE relative high initial power transmission</w:t>
            </w:r>
          </w:p>
        </w:tc>
        <w:tc>
          <w:tcPr>
            <w:tcW w:w="1133" w:type="dxa"/>
            <w:tcBorders>
              <w:left w:val="single" w:color="auto" w:sz="4" w:space="0"/>
            </w:tcBorders>
          </w:tcPr>
          <w:p>
            <w:pPr>
              <w:pStyle w:val="103"/>
            </w:pPr>
          </w:p>
        </w:tc>
      </w:tr>
    </w:tbl>
    <w:p>
      <w:pPr>
        <w:rPr>
          <w:lang w:eastAsia="ja-JP"/>
        </w:rPr>
      </w:pPr>
    </w:p>
    <w:p>
      <w:pPr>
        <w:pStyle w:val="113"/>
      </w:pPr>
      <w:r>
        <w:t>Table 6.3</w:t>
      </w:r>
      <w:r>
        <w:rPr>
          <w:rFonts w:eastAsia="PMingLiU"/>
          <w:lang w:eastAsia="zh-TW"/>
        </w:rPr>
        <w:t>A</w:t>
      </w:r>
      <w:r>
        <w:t>.4.1.4.3-3: PhysicalConfigDedicated</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700"/>
        <w:gridCol w:w="12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03"/>
            </w:pPr>
            <w:r>
              <w:t>Derivation Path: TS 36.508 [12] clause 5.5.1.2, Table 5.5.1.2.1 PhysicalConfigDedicated-DEFAULT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Pr>
          <w:p>
            <w:pPr>
              <w:pStyle w:val="104"/>
            </w:pPr>
            <w:r>
              <w:t>Information Element</w:t>
            </w:r>
          </w:p>
        </w:tc>
        <w:tc>
          <w:tcPr>
            <w:tcW w:w="2267" w:type="dxa"/>
          </w:tcPr>
          <w:p>
            <w:pPr>
              <w:pStyle w:val="104"/>
            </w:pPr>
            <w:r>
              <w:t>Value/remark</w:t>
            </w:r>
          </w:p>
        </w:tc>
        <w:tc>
          <w:tcPr>
            <w:tcW w:w="1700" w:type="dxa"/>
          </w:tcPr>
          <w:p>
            <w:pPr>
              <w:pStyle w:val="104"/>
            </w:pPr>
            <w:r>
              <w:t>Comment</w:t>
            </w:r>
          </w:p>
        </w:tc>
        <w:tc>
          <w:tcPr>
            <w:tcW w:w="1245" w:type="dxa"/>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tcPr>
          <w:p>
            <w:pPr>
              <w:pStyle w:val="103"/>
            </w:pPr>
            <w:r>
              <w:t>PhysicalConfigDedicated-DEFAULT ::= SEQUENCE {</w:t>
            </w:r>
          </w:p>
        </w:tc>
        <w:tc>
          <w:tcPr>
            <w:tcW w:w="2267" w:type="dxa"/>
          </w:tcPr>
          <w:p/>
        </w:tc>
        <w:tc>
          <w:tcPr>
            <w:tcW w:w="1700" w:type="dxa"/>
          </w:tcPr>
          <w:p/>
        </w:tc>
        <w:tc>
          <w:tcPr>
            <w:tcW w:w="1245" w:type="dxa"/>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tcPr>
          <w:p>
            <w:pPr>
              <w:pStyle w:val="103"/>
            </w:pPr>
            <w:r>
              <w:t xml:space="preserve">  uplinkPowerControlDedicated</w:t>
            </w:r>
          </w:p>
        </w:tc>
        <w:tc>
          <w:tcPr>
            <w:tcW w:w="2267" w:type="dxa"/>
          </w:tcPr>
          <w:p>
            <w:pPr>
              <w:pStyle w:val="103"/>
            </w:pPr>
            <w:r>
              <w:t>UplinkPowerControlDedicated-DEFAULT</w:t>
            </w:r>
          </w:p>
        </w:tc>
        <w:tc>
          <w:tcPr>
            <w:tcW w:w="1700" w:type="dxa"/>
          </w:tcPr>
          <w:p>
            <w:pPr>
              <w:pStyle w:val="103"/>
            </w:pPr>
            <w:r>
              <w:t>See subclause 4.6.3</w:t>
            </w:r>
          </w:p>
        </w:tc>
        <w:tc>
          <w:tcPr>
            <w:tcW w:w="1245" w:type="dxa"/>
          </w:tcPr>
          <w:p>
            <w:pPr>
              <w:pStyle w:val="103"/>
            </w:pPr>
            <w:r>
              <w:t>SRB1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top w:val="nil"/>
            </w:tcBorders>
          </w:tcPr>
          <w:p>
            <w:pPr>
              <w:pStyle w:val="103"/>
            </w:pPr>
          </w:p>
        </w:tc>
        <w:tc>
          <w:tcPr>
            <w:tcW w:w="2267" w:type="dxa"/>
          </w:tcPr>
          <w:p>
            <w:pPr>
              <w:pStyle w:val="103"/>
            </w:pPr>
            <w:r>
              <w:t>UplinkPowerControlDedicated-DEFAULT</w:t>
            </w:r>
          </w:p>
        </w:tc>
        <w:tc>
          <w:tcPr>
            <w:tcW w:w="1700" w:type="dxa"/>
          </w:tcPr>
          <w:p>
            <w:pPr>
              <w:pStyle w:val="103"/>
            </w:pPr>
            <w:r>
              <w:t>See subclause 4.6.3</w:t>
            </w:r>
          </w:p>
        </w:tc>
        <w:tc>
          <w:tcPr>
            <w:tcW w:w="1245" w:type="dxa"/>
          </w:tcPr>
          <w:p>
            <w:pPr>
              <w:pStyle w:val="103"/>
            </w:pPr>
            <w:r>
              <w:t>RBC</w:t>
            </w:r>
          </w:p>
        </w:tc>
      </w:tr>
    </w:tbl>
    <w:p>
      <w:pPr>
        <w:rPr>
          <w:lang w:eastAsia="ja-JP"/>
        </w:rPr>
      </w:pPr>
    </w:p>
    <w:p>
      <w:pPr>
        <w:pStyle w:val="113"/>
      </w:pPr>
      <w:r>
        <w:t>Table 6.3</w:t>
      </w:r>
      <w:r>
        <w:rPr>
          <w:rFonts w:eastAsia="PMingLiU"/>
          <w:lang w:eastAsia="zh-TW"/>
        </w:rPr>
        <w:t>A</w:t>
      </w:r>
      <w:r>
        <w:t>.4.1.4.3-4: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TS 36.508 [12] clause 4.6.3, Table 4.6.3-26 UplinkPowerControlDedicated-DEFAULT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5"/>
            </w:pPr>
          </w:p>
        </w:tc>
        <w:tc>
          <w:tcPr>
            <w:tcW w:w="1701" w:type="dxa"/>
            <w:tcBorders>
              <w:top w:val="single" w:color="auto" w:sz="4" w:space="0"/>
              <w:left w:val="single" w:color="auto" w:sz="4" w:space="0"/>
              <w:bottom w:val="single" w:color="auto" w:sz="4" w:space="0"/>
              <w:right w:val="single" w:color="auto" w:sz="4" w:space="0"/>
            </w:tcBorders>
          </w:tcPr>
          <w:p>
            <w:pPr>
              <w:pStyle w:val="105"/>
            </w:pPr>
          </w:p>
        </w:tc>
        <w:tc>
          <w:tcPr>
            <w:tcW w:w="1275" w:type="dxa"/>
            <w:tcBorders>
              <w:top w:val="single" w:color="auto" w:sz="4" w:space="0"/>
              <w:left w:val="single" w:color="auto" w:sz="4" w:space="0"/>
              <w:bottom w:val="single" w:color="auto" w:sz="4" w:space="0"/>
              <w:right w:val="single" w:color="auto" w:sz="4" w:space="0"/>
            </w:tcBorders>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nil"/>
              <w:right w:val="single" w:color="auto" w:sz="4" w:space="0"/>
            </w:tcBorders>
          </w:tcPr>
          <w:p>
            <w:pPr>
              <w:pStyle w:val="103"/>
            </w:pPr>
            <w:r>
              <w:t xml:space="preserve">  p0-UE-PUSCH </w:t>
            </w:r>
          </w:p>
        </w:tc>
        <w:tc>
          <w:tcPr>
            <w:tcW w:w="2268" w:type="dxa"/>
            <w:tcBorders>
              <w:top w:val="single" w:color="auto" w:sz="4" w:space="0"/>
              <w:left w:val="single" w:color="auto" w:sz="4" w:space="0"/>
              <w:bottom w:val="single" w:color="auto" w:sz="4" w:space="0"/>
              <w:right w:val="single" w:color="auto" w:sz="4" w:space="0"/>
            </w:tcBorders>
          </w:tcPr>
          <w:p>
            <w:pPr>
              <w:pStyle w:val="105"/>
            </w:pPr>
            <w:r>
              <w:t>1</w:t>
            </w:r>
          </w:p>
        </w:tc>
        <w:tc>
          <w:tcPr>
            <w:tcW w:w="1701" w:type="dxa"/>
            <w:tcBorders>
              <w:top w:val="single" w:color="auto" w:sz="4" w:space="0"/>
              <w:left w:val="single" w:color="auto" w:sz="4" w:space="0"/>
              <w:bottom w:val="single" w:color="auto" w:sz="4" w:space="0"/>
              <w:right w:val="single" w:color="auto" w:sz="4" w:space="0"/>
            </w:tcBorders>
          </w:tcPr>
          <w:p>
            <w:pPr>
              <w:pStyle w:val="105"/>
            </w:pPr>
          </w:p>
        </w:tc>
        <w:tc>
          <w:tcPr>
            <w:tcW w:w="1275" w:type="dxa"/>
            <w:tcBorders>
              <w:top w:val="single" w:color="auto" w:sz="4" w:space="0"/>
              <w:left w:val="single" w:color="auto" w:sz="4" w:space="0"/>
              <w:bottom w:val="single" w:color="auto" w:sz="4" w:space="0"/>
              <w:right w:val="single" w:color="auto" w:sz="4" w:space="0"/>
            </w:tcBorders>
          </w:tcPr>
          <w:p>
            <w:pPr>
              <w:pStyle w:val="105"/>
            </w:pPr>
            <w:r>
              <w:t>SRB1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nil"/>
              <w:left w:val="single" w:color="auto" w:sz="4" w:space="0"/>
              <w:bottom w:val="single" w:color="auto" w:sz="4" w:space="0"/>
              <w:right w:val="single" w:color="auto" w:sz="4" w:space="0"/>
            </w:tcBorders>
          </w:tcPr>
          <w:p>
            <w:pPr>
              <w:pStyle w:val="103"/>
            </w:pPr>
          </w:p>
        </w:tc>
        <w:tc>
          <w:tcPr>
            <w:tcW w:w="2268" w:type="dxa"/>
            <w:tcBorders>
              <w:top w:val="single" w:color="auto" w:sz="4" w:space="0"/>
              <w:left w:val="single" w:color="auto" w:sz="4" w:space="0"/>
              <w:bottom w:val="single" w:color="auto" w:sz="4" w:space="0"/>
              <w:right w:val="single" w:color="auto" w:sz="4" w:space="0"/>
            </w:tcBorders>
          </w:tcPr>
          <w:p>
            <w:pPr>
              <w:pStyle w:val="105"/>
            </w:pPr>
            <w:r>
              <w:t>0</w:t>
            </w:r>
          </w:p>
        </w:tc>
        <w:tc>
          <w:tcPr>
            <w:tcW w:w="1701" w:type="dxa"/>
            <w:tcBorders>
              <w:top w:val="single" w:color="auto" w:sz="4" w:space="0"/>
              <w:left w:val="single" w:color="auto" w:sz="4" w:space="0"/>
              <w:bottom w:val="single" w:color="auto" w:sz="4" w:space="0"/>
              <w:right w:val="single" w:color="auto" w:sz="4" w:space="0"/>
            </w:tcBorders>
          </w:tcPr>
          <w:p>
            <w:pPr>
              <w:pStyle w:val="105"/>
            </w:pPr>
          </w:p>
        </w:tc>
        <w:tc>
          <w:tcPr>
            <w:tcW w:w="1275" w:type="dxa"/>
            <w:tcBorders>
              <w:top w:val="single" w:color="auto" w:sz="4" w:space="0"/>
              <w:left w:val="single" w:color="auto" w:sz="4" w:space="0"/>
              <w:bottom w:val="single" w:color="auto" w:sz="4" w:space="0"/>
              <w:right w:val="single" w:color="auto" w:sz="4" w:space="0"/>
            </w:tcBorders>
          </w:tcPr>
          <w:p>
            <w:pPr>
              <w:pStyle w:val="105"/>
            </w:pPr>
            <w:r>
              <w:t>RBC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5"/>
            </w:pPr>
          </w:p>
        </w:tc>
        <w:tc>
          <w:tcPr>
            <w:tcW w:w="1701" w:type="dxa"/>
            <w:tcBorders>
              <w:top w:val="single" w:color="auto" w:sz="4" w:space="0"/>
              <w:left w:val="single" w:color="auto" w:sz="4" w:space="0"/>
              <w:bottom w:val="single" w:color="auto" w:sz="4" w:space="0"/>
              <w:right w:val="single" w:color="auto" w:sz="4" w:space="0"/>
            </w:tcBorders>
          </w:tcPr>
          <w:p>
            <w:pPr>
              <w:pStyle w:val="105"/>
            </w:pPr>
          </w:p>
        </w:tc>
        <w:tc>
          <w:tcPr>
            <w:tcW w:w="1275" w:type="dxa"/>
            <w:tcBorders>
              <w:top w:val="single" w:color="auto" w:sz="4" w:space="0"/>
              <w:left w:val="single" w:color="auto" w:sz="4" w:space="0"/>
              <w:bottom w:val="single" w:color="auto" w:sz="4" w:space="0"/>
              <w:right w:val="single" w:color="auto" w:sz="4" w:space="0"/>
            </w:tcBorders>
          </w:tcPr>
          <w:p>
            <w:pPr>
              <w:pStyle w:val="105"/>
            </w:pPr>
          </w:p>
        </w:tc>
      </w:tr>
    </w:tbl>
    <w:p/>
    <w:p>
      <w:pPr>
        <w:pStyle w:val="9"/>
      </w:pPr>
      <w:r>
        <w:t>6.3A.</w:t>
      </w:r>
      <w:r>
        <w:rPr>
          <w:rFonts w:hint="eastAsia"/>
        </w:rPr>
        <w:t>4</w:t>
      </w:r>
      <w:r>
        <w:t>.</w:t>
      </w:r>
      <w:r>
        <w:rPr>
          <w:rFonts w:hint="eastAsia"/>
        </w:rPr>
        <w:t>1</w:t>
      </w:r>
      <w:r>
        <w:t>.5</w:t>
      </w:r>
      <w:r>
        <w:tab/>
      </w:r>
      <w:r>
        <w:t>Test requirement</w:t>
      </w:r>
    </w:p>
    <w:p>
      <w:r>
        <w:t xml:space="preserve">The requirement for the power measured in step (2) of the test procedure is not to </w:t>
      </w:r>
      <w:r>
        <w:rPr>
          <w:rFonts w:eastAsia="香~??’c‘I"/>
        </w:rPr>
        <w:t>exceed</w:t>
      </w:r>
      <w:r>
        <w:t xml:space="preserve"> the values specified in Table 6.3</w:t>
      </w:r>
      <w:r>
        <w:rPr>
          <w:rFonts w:eastAsia="PMingLiU"/>
          <w:lang w:eastAsia="zh-TW"/>
        </w:rPr>
        <w:t>A</w:t>
      </w:r>
      <w:r>
        <w:t>.</w:t>
      </w:r>
      <w:r>
        <w:rPr>
          <w:rFonts w:hint="eastAsia"/>
        </w:rPr>
        <w:t>4.</w:t>
      </w:r>
      <w:r>
        <w:t>1.5-1 and 6.3</w:t>
      </w:r>
      <w:r>
        <w:rPr>
          <w:rFonts w:eastAsia="PMingLiU"/>
          <w:lang w:eastAsia="zh-TW"/>
        </w:rPr>
        <w:t>A</w:t>
      </w:r>
      <w:r>
        <w:t>.4.1.5-2.</w:t>
      </w:r>
    </w:p>
    <w:p>
      <w:pPr>
        <w:pStyle w:val="113"/>
      </w:pPr>
      <w:r>
        <w:t>Table 6.3</w:t>
      </w:r>
      <w:r>
        <w:rPr>
          <w:rFonts w:eastAsia="PMingLiU"/>
          <w:lang w:eastAsia="zh-TW"/>
        </w:rPr>
        <w:t>A</w:t>
      </w:r>
      <w:r>
        <w:t>.4.1.5-1: Absolute power tolerance: test point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63"/>
        <w:gridCol w:w="2544"/>
        <w:gridCol w:w="2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Merge w:val="restart"/>
            <w:vAlign w:val="center"/>
          </w:tcPr>
          <w:p>
            <w:pPr>
              <w:pStyle w:val="105"/>
              <w:rPr>
                <w:rFonts w:eastAsia="PMingLiU"/>
                <w:lang w:eastAsia="zh-TW"/>
              </w:rPr>
            </w:pPr>
          </w:p>
        </w:tc>
        <w:tc>
          <w:tcPr>
            <w:tcW w:w="4783" w:type="dxa"/>
            <w:gridSpan w:val="2"/>
            <w:vAlign w:val="center"/>
          </w:tcPr>
          <w:p>
            <w:pPr>
              <w:pStyle w:val="105"/>
              <w:rPr>
                <w:rFonts w:eastAsia="PMingLiU"/>
                <w:b/>
                <w:lang w:eastAsia="zh-TW"/>
              </w:rPr>
            </w:pPr>
            <w:r>
              <w:rPr>
                <w:rFonts w:eastAsia="PMingLiU"/>
                <w:b/>
                <w:lang w:eastAsia="zh-TW"/>
              </w:rPr>
              <w:t>UE Power Class / E</w:t>
            </w:r>
            <w:r>
              <w:rPr>
                <w:b/>
              </w:rPr>
              <w:t>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Merge w:val="continue"/>
            <w:vAlign w:val="center"/>
          </w:tcPr>
          <w:p>
            <w:pPr>
              <w:pStyle w:val="105"/>
            </w:pPr>
          </w:p>
        </w:tc>
        <w:tc>
          <w:tcPr>
            <w:tcW w:w="2544" w:type="dxa"/>
            <w:vAlign w:val="center"/>
          </w:tcPr>
          <w:p>
            <w:pPr>
              <w:pStyle w:val="105"/>
              <w:rPr>
                <w:rFonts w:eastAsia="PMingLiU"/>
                <w:b/>
                <w:lang w:eastAsia="zh-TW"/>
              </w:rPr>
            </w:pPr>
            <w:r>
              <w:rPr>
                <w:rFonts w:eastAsia="PMingLiU"/>
                <w:b/>
                <w:lang w:eastAsia="zh-TW"/>
              </w:rPr>
              <w:t>Class 3</w:t>
            </w:r>
          </w:p>
        </w:tc>
        <w:tc>
          <w:tcPr>
            <w:tcW w:w="2239" w:type="dxa"/>
          </w:tcPr>
          <w:p>
            <w:pPr>
              <w:pStyle w:val="105"/>
              <w:rPr>
                <w:rFonts w:eastAsia="PMingLiU"/>
                <w:b/>
                <w:lang w:eastAsia="zh-TW"/>
              </w:rPr>
            </w:pPr>
            <w:r>
              <w:rPr>
                <w:rFonts w:eastAsia="PMingLiU"/>
                <w:b/>
                <w:lang w:eastAsia="zh-TW"/>
              </w:rPr>
              <w:t>Class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Expected Measured power Normal conditions</w:t>
            </w:r>
          </w:p>
        </w:tc>
        <w:tc>
          <w:tcPr>
            <w:tcW w:w="2544" w:type="dxa"/>
            <w:vAlign w:val="center"/>
          </w:tcPr>
          <w:p>
            <w:pPr>
              <w:pStyle w:val="105"/>
            </w:pPr>
            <w:r>
              <w:t>-14.8 dBm</w:t>
            </w:r>
          </w:p>
        </w:tc>
        <w:tc>
          <w:tcPr>
            <w:tcW w:w="2239" w:type="dxa"/>
            <w:vAlign w:val="center"/>
          </w:tcPr>
          <w:p>
            <w:pPr>
              <w:pStyle w:val="105"/>
            </w:pPr>
            <w:r>
              <w:t>-14.8 dB</w:t>
            </w:r>
            <w:r>
              <w:rPr>
                <w:rFonts w:eastAsia="PMingLiU"/>
                <w:lang w:eastAsia="zh-TW"/>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2544" w:type="dxa"/>
            <w:vAlign w:val="center"/>
          </w:tcPr>
          <w:p>
            <w:pPr>
              <w:pStyle w:val="105"/>
              <w:rPr>
                <w:rFonts w:eastAsia="PMingLiU"/>
                <w:lang w:eastAsia="zh-TW"/>
              </w:rPr>
            </w:pPr>
            <w:r>
              <w:rPr>
                <w:snapToGrid w:val="0"/>
              </w:rPr>
              <w:t>±</w:t>
            </w:r>
            <w:r>
              <w:t xml:space="preserve"> 10.0dB</w:t>
            </w:r>
          </w:p>
        </w:tc>
        <w:tc>
          <w:tcPr>
            <w:tcW w:w="2239" w:type="dxa"/>
            <w:vAlign w:val="center"/>
          </w:tcPr>
          <w:p>
            <w:pPr>
              <w:pStyle w:val="105"/>
              <w:rPr>
                <w:snapToGrid w:val="0"/>
              </w:rPr>
            </w:pPr>
            <w:r>
              <w:rPr>
                <w:snapToGrid w:val="0"/>
              </w:rPr>
              <w:t>±</w:t>
            </w:r>
            <w:r>
              <w:t xml:space="preserve"> 10.0dB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Expected Measured power Extreme conditions</w:t>
            </w:r>
          </w:p>
        </w:tc>
        <w:tc>
          <w:tcPr>
            <w:tcW w:w="2544" w:type="dxa"/>
            <w:vAlign w:val="center"/>
          </w:tcPr>
          <w:p>
            <w:pPr>
              <w:pStyle w:val="105"/>
            </w:pPr>
            <w:r>
              <w:t>-14.8 dBm</w:t>
            </w:r>
          </w:p>
        </w:tc>
        <w:tc>
          <w:tcPr>
            <w:tcW w:w="2239" w:type="dxa"/>
            <w:vAlign w:val="center"/>
          </w:tcPr>
          <w:p>
            <w:pPr>
              <w:pStyle w:val="105"/>
            </w:pPr>
            <w:r>
              <w:t>-14.8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2544" w:type="dxa"/>
            <w:vAlign w:val="center"/>
          </w:tcPr>
          <w:p>
            <w:pPr>
              <w:pStyle w:val="105"/>
              <w:rPr>
                <w:rFonts w:eastAsia="PMingLiU"/>
                <w:lang w:eastAsia="zh-TW"/>
              </w:rPr>
            </w:pPr>
            <w:r>
              <w:rPr>
                <w:snapToGrid w:val="0"/>
              </w:rPr>
              <w:t>±</w:t>
            </w:r>
            <w:r>
              <w:t xml:space="preserve"> 13.0dB</w:t>
            </w:r>
          </w:p>
        </w:tc>
        <w:tc>
          <w:tcPr>
            <w:tcW w:w="2239" w:type="dxa"/>
            <w:vAlign w:val="center"/>
          </w:tcPr>
          <w:p>
            <w:pPr>
              <w:pStyle w:val="105"/>
              <w:rPr>
                <w:snapToGrid w:val="0"/>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46" w:type="dxa"/>
            <w:gridSpan w:val="3"/>
            <w:vAlign w:val="center"/>
          </w:tcPr>
          <w:p>
            <w:pPr>
              <w:pStyle w:val="118"/>
            </w:pPr>
            <w:r>
              <w:t>Note 1:</w:t>
            </w:r>
            <w:r>
              <w:tab/>
            </w:r>
            <w:r>
              <w:t xml:space="preserve">The lower power limit shall not exceed the minimum output power requirements defined in </w:t>
            </w:r>
            <w:r>
              <w:rPr>
                <w:rFonts w:eastAsia="PMingLiU"/>
                <w:lang w:eastAsia="zh-TW"/>
              </w:rPr>
              <w:tab/>
            </w:r>
            <w:r>
              <w:t>sub-clause 6.3</w:t>
            </w:r>
            <w:r>
              <w:rPr>
                <w:rFonts w:eastAsia="PMingLiU"/>
                <w:lang w:eastAsia="zh-TW"/>
              </w:rPr>
              <w:t>A</w:t>
            </w:r>
            <w:r>
              <w:t>.1</w:t>
            </w:r>
          </w:p>
        </w:tc>
      </w:tr>
    </w:tbl>
    <w:p/>
    <w:p>
      <w:pPr>
        <w:pStyle w:val="113"/>
      </w:pPr>
      <w:r>
        <w:t>Table 6.3</w:t>
      </w:r>
      <w:r>
        <w:rPr>
          <w:rFonts w:eastAsia="PMingLiU"/>
          <w:lang w:eastAsia="zh-TW"/>
        </w:rPr>
        <w:t>A</w:t>
      </w:r>
      <w:r>
        <w:t>.4.1.5-2: Absolute power tolerance: test point 2</w:t>
      </w:r>
    </w:p>
    <w:tbl>
      <w:tblPr>
        <w:tblStyle w:val="89"/>
        <w:tblW w:w="71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52"/>
        <w:gridCol w:w="1843"/>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Merge w:val="restart"/>
            <w:vAlign w:val="center"/>
          </w:tcPr>
          <w:p>
            <w:pPr>
              <w:pStyle w:val="105"/>
            </w:pPr>
          </w:p>
        </w:tc>
        <w:tc>
          <w:tcPr>
            <w:tcW w:w="3544" w:type="dxa"/>
            <w:gridSpan w:val="2"/>
            <w:vAlign w:val="center"/>
          </w:tcPr>
          <w:p>
            <w:pPr>
              <w:pStyle w:val="105"/>
              <w:rPr>
                <w:rFonts w:eastAsia="PMingLiU"/>
                <w:b/>
                <w:lang w:eastAsia="zh-TW"/>
              </w:rPr>
            </w:pPr>
            <w:r>
              <w:rPr>
                <w:rFonts w:eastAsia="PMingLiU"/>
                <w:b/>
                <w:lang w:eastAsia="zh-TW"/>
              </w:rPr>
              <w:t>E</w:t>
            </w:r>
            <w:r>
              <w:rPr>
                <w:b/>
              </w:rPr>
              <w:t>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Merge w:val="continue"/>
            <w:vAlign w:val="center"/>
          </w:tcPr>
          <w:p>
            <w:pPr>
              <w:pStyle w:val="105"/>
            </w:pPr>
          </w:p>
        </w:tc>
        <w:tc>
          <w:tcPr>
            <w:tcW w:w="1843" w:type="dxa"/>
            <w:vAlign w:val="center"/>
          </w:tcPr>
          <w:p>
            <w:pPr>
              <w:pStyle w:val="105"/>
              <w:rPr>
                <w:rFonts w:eastAsia="PMingLiU"/>
                <w:b/>
                <w:lang w:eastAsia="zh-TW"/>
              </w:rPr>
            </w:pPr>
            <w:r>
              <w:rPr>
                <w:rFonts w:eastAsia="PMingLiU"/>
                <w:b/>
                <w:lang w:eastAsia="zh-TW"/>
              </w:rPr>
              <w:t>Class 3</w:t>
            </w:r>
          </w:p>
        </w:tc>
        <w:tc>
          <w:tcPr>
            <w:tcW w:w="1701" w:type="dxa"/>
          </w:tcPr>
          <w:p>
            <w:pPr>
              <w:pStyle w:val="105"/>
              <w:rPr>
                <w:rFonts w:eastAsia="PMingLiU"/>
                <w:b/>
                <w:lang w:eastAsia="zh-TW"/>
              </w:rPr>
            </w:pPr>
            <w:r>
              <w:rPr>
                <w:rFonts w:eastAsia="PMingLiU"/>
                <w:b/>
                <w:lang w:eastAsia="zh-TW"/>
              </w:rPr>
              <w:t>Class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Expected Measured power Normal conditions</w:t>
            </w:r>
          </w:p>
        </w:tc>
        <w:tc>
          <w:tcPr>
            <w:tcW w:w="1843" w:type="dxa"/>
            <w:vAlign w:val="center"/>
          </w:tcPr>
          <w:p>
            <w:pPr>
              <w:pStyle w:val="105"/>
            </w:pPr>
            <w:r>
              <w:t>-2.8 dBm</w:t>
            </w:r>
          </w:p>
        </w:tc>
        <w:tc>
          <w:tcPr>
            <w:tcW w:w="1701" w:type="dxa"/>
            <w:vAlign w:val="center"/>
          </w:tcPr>
          <w:p>
            <w:pPr>
              <w:pStyle w:val="105"/>
              <w:rPr>
                <w:rFonts w:eastAsia="PMingLiU"/>
                <w:lang w:eastAsia="zh-TW"/>
              </w:rPr>
            </w:pPr>
            <w:r>
              <w:t>-2.8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1843" w:type="dxa"/>
            <w:vAlign w:val="center"/>
          </w:tcPr>
          <w:p>
            <w:pPr>
              <w:pStyle w:val="105"/>
              <w:rPr>
                <w:rFonts w:eastAsia="PMingLiU"/>
                <w:lang w:eastAsia="zh-TW"/>
              </w:rPr>
            </w:pPr>
            <w:r>
              <w:rPr>
                <w:snapToGrid w:val="0"/>
              </w:rPr>
              <w:t>±</w:t>
            </w:r>
            <w:r>
              <w:t xml:space="preserve"> 10.0dB</w:t>
            </w:r>
          </w:p>
        </w:tc>
        <w:tc>
          <w:tcPr>
            <w:tcW w:w="1701" w:type="dxa"/>
            <w:vAlign w:val="center"/>
          </w:tcPr>
          <w:p>
            <w:pPr>
              <w:pStyle w:val="105"/>
              <w:rPr>
                <w:rFonts w:eastAsia="PMingLiU"/>
                <w:lang w:eastAsia="zh-TW"/>
              </w:rPr>
            </w:pPr>
            <w:r>
              <w:rPr>
                <w:snapToGrid w:val="0"/>
              </w:rPr>
              <w:t>±</w:t>
            </w:r>
            <w:r>
              <w:t xml:space="preserve"> 10.0d</w:t>
            </w:r>
            <w:r>
              <w:rPr>
                <w:rFonts w:eastAsia="PMingLiU"/>
                <w:lang w:eastAsia="zh-TW"/>
              </w:rPr>
              <w:t>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Expected Measured power Extreme conditions</w:t>
            </w:r>
          </w:p>
        </w:tc>
        <w:tc>
          <w:tcPr>
            <w:tcW w:w="1843" w:type="dxa"/>
            <w:vAlign w:val="center"/>
          </w:tcPr>
          <w:p>
            <w:pPr>
              <w:pStyle w:val="105"/>
            </w:pPr>
            <w:r>
              <w:t>-2.8 dBm</w:t>
            </w:r>
          </w:p>
        </w:tc>
        <w:tc>
          <w:tcPr>
            <w:tcW w:w="1701" w:type="dxa"/>
            <w:vAlign w:val="center"/>
          </w:tcPr>
          <w:p>
            <w:pPr>
              <w:pStyle w:val="105"/>
            </w:pPr>
            <w:r>
              <w:t>-2.8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1843" w:type="dxa"/>
            <w:vAlign w:val="center"/>
          </w:tcPr>
          <w:p>
            <w:pPr>
              <w:pStyle w:val="105"/>
              <w:rPr>
                <w:rFonts w:eastAsia="PMingLiU"/>
                <w:lang w:eastAsia="zh-TW"/>
              </w:rPr>
            </w:pPr>
            <w:r>
              <w:rPr>
                <w:snapToGrid w:val="0"/>
              </w:rPr>
              <w:t>±</w:t>
            </w:r>
            <w:r>
              <w:t xml:space="preserve"> 13.0dB</w:t>
            </w:r>
          </w:p>
        </w:tc>
        <w:tc>
          <w:tcPr>
            <w:tcW w:w="1701" w:type="dxa"/>
            <w:vAlign w:val="center"/>
          </w:tcPr>
          <w:p>
            <w:pPr>
              <w:pStyle w:val="105"/>
              <w:rPr>
                <w:rFonts w:eastAsia="PMingLiU"/>
                <w:lang w:eastAsia="zh-TW"/>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96" w:type="dxa"/>
            <w:gridSpan w:val="3"/>
            <w:vAlign w:val="center"/>
          </w:tcPr>
          <w:p>
            <w:pPr>
              <w:pStyle w:val="118"/>
            </w:pPr>
            <w:r>
              <w:t>Note 1:</w:t>
            </w:r>
            <w:r>
              <w:tab/>
            </w:r>
            <w:r>
              <w:t>The upper power limit shall not exceed the maximum output power requirements defined in sub-clause 6.2</w:t>
            </w:r>
            <w:r>
              <w:rPr>
                <w:rFonts w:eastAsia="PMingLiU"/>
                <w:lang w:eastAsia="zh-TW"/>
              </w:rPr>
              <w:t>A</w:t>
            </w:r>
            <w:r>
              <w:t>.1</w:t>
            </w:r>
          </w:p>
        </w:tc>
      </w:tr>
    </w:tbl>
    <w:p>
      <w:pPr>
        <w:rPr>
          <w:lang w:eastAsia="zh-TW"/>
        </w:rPr>
      </w:pPr>
    </w:p>
    <w:p>
      <w:pPr>
        <w:pStyle w:val="6"/>
        <w:rPr>
          <w:lang w:val="en-US"/>
        </w:rPr>
      </w:pPr>
      <w:bookmarkStart w:id="556" w:name="_Toc5065"/>
      <w:bookmarkStart w:id="557" w:name="_Toc5574"/>
      <w:bookmarkStart w:id="558" w:name="_Toc10347"/>
      <w:bookmarkStart w:id="559" w:name="_Toc9368"/>
      <w:bookmarkStart w:id="560" w:name="_Toc30330"/>
      <w:bookmarkStart w:id="561" w:name="_Toc14114"/>
      <w:bookmarkStart w:id="562" w:name="_Toc120570040"/>
      <w:bookmarkStart w:id="563" w:name="_Toc18892"/>
      <w:bookmarkStart w:id="564" w:name="_Toc121162832"/>
      <w:r>
        <w:t>6.3A.</w:t>
      </w:r>
      <w:r>
        <w:rPr>
          <w:rFonts w:hint="eastAsia"/>
        </w:rPr>
        <w:t>4</w:t>
      </w:r>
      <w:r>
        <w:t>.2</w:t>
      </w:r>
      <w:r>
        <w:tab/>
      </w:r>
      <w:r>
        <w:t>Power Control Relative power tolerance for UE category M1</w:t>
      </w:r>
      <w:bookmarkEnd w:id="556"/>
      <w:bookmarkEnd w:id="557"/>
      <w:bookmarkEnd w:id="558"/>
      <w:bookmarkEnd w:id="559"/>
      <w:bookmarkEnd w:id="560"/>
      <w:bookmarkEnd w:id="561"/>
    </w:p>
    <w:p>
      <w:pPr>
        <w:pStyle w:val="112"/>
        <w:rPr>
          <w:lang w:val="en-US"/>
        </w:rPr>
      </w:pPr>
      <w:r>
        <w:t>Editor’s Note: Addition to applicability spec is pending.</w:t>
      </w:r>
    </w:p>
    <w:p>
      <w:pPr>
        <w:pStyle w:val="9"/>
      </w:pPr>
      <w:r>
        <w:t>6.3A.</w:t>
      </w:r>
      <w:r>
        <w:rPr>
          <w:rFonts w:hint="eastAsia"/>
        </w:rPr>
        <w:t>4</w:t>
      </w:r>
      <w:r>
        <w:t>.2.1</w:t>
      </w:r>
      <w:r>
        <w:tab/>
      </w:r>
      <w:r>
        <w:t>Test purpose</w:t>
      </w:r>
    </w:p>
    <w:p>
      <w:pPr>
        <w:rPr>
          <w:rFonts w:eastAsia="PMingLiU" w:cs="v5.0.0"/>
          <w:snapToGrid w:val="0"/>
          <w:lang w:eastAsia="zh-TW"/>
        </w:rPr>
      </w:pPr>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pPr>
        <w:pStyle w:val="9"/>
      </w:pPr>
      <w:r>
        <w:t>6.3A.</w:t>
      </w:r>
      <w:r>
        <w:rPr>
          <w:rFonts w:hint="eastAsia"/>
        </w:rPr>
        <w:t>4</w:t>
      </w:r>
      <w:r>
        <w:t>.2.2</w:t>
      </w:r>
      <w:r>
        <w:tab/>
      </w:r>
      <w:r>
        <w:t>Test applicability</w:t>
      </w:r>
    </w:p>
    <w:p>
      <w:r>
        <w:t>This test case applies to all types of E-UTRA UE release 17 and forward of UE category M1 that support satellite access operation.</w:t>
      </w:r>
    </w:p>
    <w:p>
      <w:pPr>
        <w:pStyle w:val="9"/>
      </w:pPr>
      <w:r>
        <w:t>6.3A.</w:t>
      </w:r>
      <w:r>
        <w:rPr>
          <w:rFonts w:hint="eastAsia"/>
        </w:rPr>
        <w:t>4</w:t>
      </w:r>
      <w:r>
        <w:t>.2.</w:t>
      </w:r>
      <w:r>
        <w:rPr>
          <w:rFonts w:hint="eastAsia"/>
        </w:rPr>
        <w:t>3</w:t>
      </w:r>
      <w:r>
        <w:tab/>
      </w:r>
      <w:r>
        <w:t>Minimum conformance requirements</w:t>
      </w:r>
    </w:p>
    <w:p>
      <w:r>
        <w:t>The UE shall meet the requirements specified in Table 6.3</w:t>
      </w:r>
      <w:r>
        <w:rPr>
          <w:rFonts w:eastAsia="PMingLiU"/>
          <w:lang w:eastAsia="zh-TW"/>
        </w:rPr>
        <w:t>A</w:t>
      </w:r>
      <w:r>
        <w:t>.</w:t>
      </w:r>
      <w:r>
        <w:rPr>
          <w:rFonts w:hint="eastAsia"/>
        </w:rPr>
        <w:t>4.</w:t>
      </w:r>
      <w:r>
        <w:t>2.3-1.</w:t>
      </w:r>
    </w:p>
    <w:p>
      <w:pPr>
        <w:rPr>
          <w:rFonts w:eastAsia="MS Mincho"/>
        </w:rPr>
      </w:pPr>
      <w:r>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w:t>
      </w:r>
      <w:r>
        <w:rPr>
          <w:rFonts w:hint="eastAsia" w:eastAsia="MS Mincho"/>
        </w:rPr>
        <w:t>1</w:t>
      </w:r>
      <w:r>
        <w:rPr>
          <w:rFonts w:eastAsia="MS Mincho"/>
        </w:rPr>
        <w:t xml:space="preserve"> and 6.2A.</w:t>
      </w:r>
      <w:r>
        <w:rPr>
          <w:rFonts w:hint="eastAsia" w:eastAsia="MS Mincho"/>
        </w:rPr>
        <w:t>1</w:t>
      </w:r>
      <w:r>
        <w:rPr>
          <w:rFonts w:eastAsia="MS Mincho"/>
        </w:rPr>
        <w:t>. For these exceptions the power tolerance limit is a maximum of ±6.0 dB in Table 6.3</w:t>
      </w:r>
      <w:r>
        <w:rPr>
          <w:rFonts w:eastAsia="PMingLiU"/>
          <w:lang w:eastAsia="zh-TW"/>
        </w:rPr>
        <w:t>A</w:t>
      </w:r>
      <w:r>
        <w:rPr>
          <w:rFonts w:eastAsia="MS Mincho"/>
        </w:rPr>
        <w:t>.4.2.3-1.</w:t>
      </w:r>
    </w:p>
    <w:p>
      <w:pPr>
        <w:pStyle w:val="113"/>
      </w:pPr>
      <w:r>
        <w:t>Table 6.3A.4.2.3-1: Relative Power Tolerance for Transmission (normal conditions)</w:t>
      </w:r>
    </w:p>
    <w:tbl>
      <w:tblPr>
        <w:tblStyle w:val="89"/>
        <w:tblW w:w="68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0"/>
        <w:gridCol w:w="1813"/>
        <w:gridCol w:w="1909"/>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jc w:val="center"/>
        </w:trPr>
        <w:tc>
          <w:tcPr>
            <w:tcW w:w="1600" w:type="dxa"/>
            <w:shd w:val="clear" w:color="auto" w:fill="auto"/>
            <w:vAlign w:val="center"/>
          </w:tcPr>
          <w:p>
            <w:pPr>
              <w:pStyle w:val="104"/>
              <w:rPr>
                <w:rFonts w:eastAsia="MS Mincho"/>
              </w:rPr>
            </w:pPr>
            <w:r>
              <w:t xml:space="preserve">Power step </w:t>
            </w:r>
            <w:r>
              <w:rPr>
                <w:rFonts w:ascii="Symbol" w:hAnsi="Symbol"/>
              </w:rPr>
              <w:t></w:t>
            </w:r>
            <w:r>
              <w:t>P (Up or down) [dB]</w:t>
            </w:r>
          </w:p>
        </w:tc>
        <w:tc>
          <w:tcPr>
            <w:tcW w:w="1813" w:type="dxa"/>
            <w:shd w:val="clear" w:color="auto" w:fill="auto"/>
            <w:vAlign w:val="center"/>
          </w:tcPr>
          <w:p>
            <w:pPr>
              <w:pStyle w:val="104"/>
            </w:pPr>
            <w:r>
              <w:rPr>
                <w:rFonts w:cs="v5.0.0"/>
              </w:rPr>
              <w:t>All combinations of PUSCH and PUCCH transitions [dB]</w:t>
            </w:r>
          </w:p>
        </w:tc>
        <w:tc>
          <w:tcPr>
            <w:tcW w:w="1909" w:type="dxa"/>
            <w:shd w:val="clear" w:color="auto" w:fill="auto"/>
            <w:vAlign w:val="center"/>
          </w:tcPr>
          <w:p>
            <w:pPr>
              <w:pStyle w:val="104"/>
            </w:pPr>
            <w:r>
              <w:rPr>
                <w:rFonts w:cs="v5.0.0"/>
              </w:rPr>
              <w:t>All combinations of PUSCH/PUCCH and SRS transitions between sub-frames [dB]</w:t>
            </w:r>
          </w:p>
        </w:tc>
        <w:tc>
          <w:tcPr>
            <w:tcW w:w="1549" w:type="dxa"/>
            <w:shd w:val="clear" w:color="auto" w:fill="auto"/>
            <w:vAlign w:val="center"/>
          </w:tcPr>
          <w:p>
            <w:pPr>
              <w:pStyle w:val="104"/>
            </w:pPr>
            <w:r>
              <w:rPr>
                <w:rFonts w:eastAsia="MS Mincho"/>
              </w:rPr>
              <w:t>PRACH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ΔP &lt; 2</w:t>
            </w:r>
          </w:p>
        </w:tc>
        <w:tc>
          <w:tcPr>
            <w:tcW w:w="1813" w:type="dxa"/>
            <w:shd w:val="clear" w:color="auto" w:fill="auto"/>
            <w:vAlign w:val="center"/>
          </w:tcPr>
          <w:p>
            <w:pPr>
              <w:pStyle w:val="105"/>
            </w:pPr>
            <w:r>
              <w:rPr>
                <w:rFonts w:cs="Arial"/>
              </w:rPr>
              <w:t>±</w:t>
            </w:r>
            <w:r>
              <w:t>2.5 (Note 3)</w:t>
            </w:r>
          </w:p>
        </w:tc>
        <w:tc>
          <w:tcPr>
            <w:tcW w:w="1909" w:type="dxa"/>
            <w:shd w:val="clear" w:color="auto" w:fill="auto"/>
            <w:vAlign w:val="center"/>
          </w:tcPr>
          <w:p>
            <w:pPr>
              <w:pStyle w:val="105"/>
            </w:pPr>
            <w:r>
              <w:t>±3.0</w:t>
            </w:r>
          </w:p>
        </w:tc>
        <w:tc>
          <w:tcPr>
            <w:tcW w:w="1549" w:type="dxa"/>
            <w:shd w:val="clear" w:color="auto" w:fill="auto"/>
            <w:vAlign w:val="center"/>
          </w:tcPr>
          <w:p>
            <w:pPr>
              <w:pStyle w:val="105"/>
            </w:pPr>
            <w:r>
              <w:rPr>
                <w:rFonts w:cs="Arial"/>
              </w:rPr>
              <w:t>±</w:t>
            </w:r>
            <w: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2 </w:t>
            </w:r>
            <w:r>
              <w:rPr>
                <w:rFonts w:cs="Arial"/>
              </w:rPr>
              <w:t>≤</w:t>
            </w:r>
            <w:r>
              <w:t xml:space="preserve"> ΔP &lt; 3</w:t>
            </w:r>
          </w:p>
        </w:tc>
        <w:tc>
          <w:tcPr>
            <w:tcW w:w="1813" w:type="dxa"/>
            <w:shd w:val="clear" w:color="auto" w:fill="auto"/>
            <w:vAlign w:val="center"/>
          </w:tcPr>
          <w:p>
            <w:pPr>
              <w:pStyle w:val="105"/>
            </w:pPr>
            <w:r>
              <w:rPr>
                <w:rFonts w:cs="Arial"/>
              </w:rPr>
              <w:t>±</w:t>
            </w:r>
            <w:r>
              <w:t>3.0</w:t>
            </w:r>
          </w:p>
        </w:tc>
        <w:tc>
          <w:tcPr>
            <w:tcW w:w="1909" w:type="dxa"/>
            <w:shd w:val="clear" w:color="auto" w:fill="auto"/>
            <w:vAlign w:val="center"/>
          </w:tcPr>
          <w:p>
            <w:pPr>
              <w:pStyle w:val="105"/>
            </w:pPr>
            <w:r>
              <w:t>±4.0</w:t>
            </w:r>
          </w:p>
        </w:tc>
        <w:tc>
          <w:tcPr>
            <w:tcW w:w="1549" w:type="dxa"/>
            <w:shd w:val="clear" w:color="auto" w:fill="auto"/>
            <w:vAlign w:val="center"/>
          </w:tcPr>
          <w:p>
            <w:pPr>
              <w:pStyle w:val="105"/>
            </w:pPr>
            <w:r>
              <w:rPr>
                <w:rFonts w:cs="Arial"/>
              </w:rPr>
              <w:t>±</w:t>
            </w: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5" w:hRule="atLeast"/>
          <w:jc w:val="center"/>
        </w:trPr>
        <w:tc>
          <w:tcPr>
            <w:tcW w:w="1600" w:type="dxa"/>
            <w:shd w:val="clear" w:color="auto" w:fill="auto"/>
            <w:vAlign w:val="center"/>
          </w:tcPr>
          <w:p>
            <w:pPr>
              <w:pStyle w:val="105"/>
            </w:pPr>
            <w:r>
              <w:t xml:space="preserve">3 </w:t>
            </w:r>
            <w:r>
              <w:rPr>
                <w:rFonts w:cs="Arial"/>
              </w:rPr>
              <w:t>≤</w:t>
            </w:r>
            <w:r>
              <w:t xml:space="preserve"> ΔP &lt; 4</w:t>
            </w:r>
          </w:p>
        </w:tc>
        <w:tc>
          <w:tcPr>
            <w:tcW w:w="1813" w:type="dxa"/>
            <w:shd w:val="clear" w:color="auto" w:fill="auto"/>
            <w:vAlign w:val="center"/>
          </w:tcPr>
          <w:p>
            <w:pPr>
              <w:pStyle w:val="105"/>
            </w:pPr>
            <w:r>
              <w:rPr>
                <w:rFonts w:cs="Arial"/>
              </w:rPr>
              <w:t>±</w:t>
            </w:r>
            <w:r>
              <w:t>3.5</w:t>
            </w:r>
          </w:p>
        </w:tc>
        <w:tc>
          <w:tcPr>
            <w:tcW w:w="1909" w:type="dxa"/>
            <w:shd w:val="clear" w:color="auto" w:fill="auto"/>
            <w:vAlign w:val="center"/>
          </w:tcPr>
          <w:p>
            <w:pPr>
              <w:pStyle w:val="105"/>
            </w:pPr>
            <w:r>
              <w:t>±5.0</w:t>
            </w:r>
          </w:p>
        </w:tc>
        <w:tc>
          <w:tcPr>
            <w:tcW w:w="1549" w:type="dxa"/>
            <w:shd w:val="clear" w:color="auto" w:fill="auto"/>
            <w:vAlign w:val="center"/>
          </w:tcPr>
          <w:p>
            <w:pPr>
              <w:pStyle w:val="105"/>
            </w:pPr>
            <w:r>
              <w:rPr>
                <w:rFonts w:cs="Arial"/>
              </w:rPr>
              <w:t>±</w:t>
            </w:r>
            <w: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4 </w:t>
            </w:r>
            <w:r>
              <w:rPr>
                <w:rFonts w:cs="Arial"/>
              </w:rPr>
              <w:t>≤</w:t>
            </w:r>
            <w:r>
              <w:t xml:space="preserve"> ΔP ≤ 10</w:t>
            </w:r>
          </w:p>
        </w:tc>
        <w:tc>
          <w:tcPr>
            <w:tcW w:w="1813" w:type="dxa"/>
            <w:shd w:val="clear" w:color="auto" w:fill="auto"/>
            <w:vAlign w:val="center"/>
          </w:tcPr>
          <w:p>
            <w:pPr>
              <w:pStyle w:val="105"/>
            </w:pPr>
            <w:r>
              <w:t>±4.0</w:t>
            </w:r>
          </w:p>
        </w:tc>
        <w:tc>
          <w:tcPr>
            <w:tcW w:w="1909" w:type="dxa"/>
            <w:shd w:val="clear" w:color="auto" w:fill="auto"/>
            <w:vAlign w:val="center"/>
          </w:tcPr>
          <w:p>
            <w:pPr>
              <w:pStyle w:val="105"/>
            </w:pPr>
            <w:r>
              <w:t>±6.0</w:t>
            </w:r>
          </w:p>
        </w:tc>
        <w:tc>
          <w:tcPr>
            <w:tcW w:w="1549" w:type="dxa"/>
            <w:shd w:val="clear" w:color="auto" w:fill="auto"/>
            <w:vAlign w:val="center"/>
          </w:tcPr>
          <w:p>
            <w:pPr>
              <w:pStyle w:val="105"/>
            </w:pPr>
            <w: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10 </w:t>
            </w:r>
            <w:r>
              <w:rPr>
                <w:rFonts w:cs="Arial"/>
              </w:rPr>
              <w:t>≤</w:t>
            </w:r>
            <w:r>
              <w:t xml:space="preserve"> ΔP &lt; 15</w:t>
            </w:r>
          </w:p>
        </w:tc>
        <w:tc>
          <w:tcPr>
            <w:tcW w:w="1813" w:type="dxa"/>
            <w:shd w:val="clear" w:color="auto" w:fill="auto"/>
            <w:vAlign w:val="center"/>
          </w:tcPr>
          <w:p>
            <w:pPr>
              <w:pStyle w:val="105"/>
            </w:pPr>
            <w:r>
              <w:t>±5.0</w:t>
            </w:r>
          </w:p>
        </w:tc>
        <w:tc>
          <w:tcPr>
            <w:tcW w:w="1909" w:type="dxa"/>
            <w:shd w:val="clear" w:color="auto" w:fill="auto"/>
            <w:vAlign w:val="center"/>
          </w:tcPr>
          <w:p>
            <w:pPr>
              <w:pStyle w:val="105"/>
            </w:pPr>
            <w:r>
              <w:t>±8.0</w:t>
            </w:r>
          </w:p>
        </w:tc>
        <w:tc>
          <w:tcPr>
            <w:tcW w:w="1549" w:type="dxa"/>
            <w:shd w:val="clear" w:color="auto" w:fill="auto"/>
            <w:vAlign w:val="center"/>
          </w:tcPr>
          <w:p>
            <w:pPr>
              <w:pStyle w:val="105"/>
            </w:pPr>
            <w: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15 </w:t>
            </w:r>
            <w:r>
              <w:rPr>
                <w:rFonts w:cs="Arial"/>
              </w:rPr>
              <w:t>≤</w:t>
            </w:r>
            <w:r>
              <w:t xml:space="preserve"> ΔP</w:t>
            </w:r>
          </w:p>
        </w:tc>
        <w:tc>
          <w:tcPr>
            <w:tcW w:w="1813" w:type="dxa"/>
            <w:shd w:val="clear" w:color="auto" w:fill="auto"/>
            <w:vAlign w:val="center"/>
          </w:tcPr>
          <w:p>
            <w:pPr>
              <w:pStyle w:val="105"/>
            </w:pPr>
            <w:r>
              <w:t>±6.0</w:t>
            </w:r>
          </w:p>
        </w:tc>
        <w:tc>
          <w:tcPr>
            <w:tcW w:w="1909" w:type="dxa"/>
            <w:shd w:val="clear" w:color="auto" w:fill="auto"/>
            <w:vAlign w:val="center"/>
          </w:tcPr>
          <w:p>
            <w:pPr>
              <w:pStyle w:val="105"/>
            </w:pPr>
            <w:r>
              <w:t>±9.0</w:t>
            </w:r>
          </w:p>
        </w:tc>
        <w:tc>
          <w:tcPr>
            <w:tcW w:w="1549" w:type="dxa"/>
            <w:shd w:val="clear" w:color="auto" w:fill="auto"/>
            <w:vAlign w:val="center"/>
          </w:tcPr>
          <w:p>
            <w:pPr>
              <w:pStyle w:val="105"/>
            </w:pPr>
            <w: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6871" w:type="dxa"/>
            <w:gridSpan w:val="4"/>
            <w:shd w:val="clear" w:color="auto" w:fill="auto"/>
            <w:vAlign w:val="center"/>
          </w:tcPr>
          <w:p>
            <w:pPr>
              <w:pStyle w:val="118"/>
              <w:rPr>
                <w:rFonts w:eastAsiaTheme="minorEastAsia"/>
              </w:rPr>
            </w:pPr>
            <w:r>
              <w:t>Note 1:</w:t>
            </w:r>
            <w:r>
              <w:tab/>
            </w:r>
            <w:r>
              <w:t>For extreme conditions an additional ± 2.0 dB relaxation is allowed</w:t>
            </w:r>
          </w:p>
        </w:tc>
      </w:tr>
    </w:tbl>
    <w:p/>
    <w:p>
      <w:r>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Pr>
          <w:rFonts w:eastAsia="PMingLiU"/>
          <w:lang w:eastAsia="zh-TW"/>
        </w:rPr>
        <w:t>A</w:t>
      </w:r>
      <w:r>
        <w:t>.4.2.3-1.</w:t>
      </w:r>
    </w:p>
    <w:p>
      <w:pPr>
        <w:rPr>
          <w:lang w:eastAsia="ja-JP"/>
        </w:rPr>
      </w:pPr>
      <w:r>
        <w:t>The normative reference for this requirement is TS 36.102 [11] clause 6.3A.4.</w:t>
      </w:r>
    </w:p>
    <w:p>
      <w:pPr>
        <w:pStyle w:val="9"/>
      </w:pPr>
      <w:r>
        <w:t>6.3A.4.2.4</w:t>
      </w:r>
      <w:r>
        <w:tab/>
      </w:r>
      <w:r>
        <w:t>Test description</w:t>
      </w:r>
    </w:p>
    <w:p>
      <w:pPr>
        <w:pStyle w:val="9"/>
      </w:pPr>
      <w:r>
        <w:t>6.3A.4.2.4.1</w:t>
      </w:r>
      <w:r>
        <w:tab/>
      </w:r>
      <w:r>
        <w:t>Initial conditions</w:t>
      </w:r>
    </w:p>
    <w:p>
      <w:r>
        <w:t>Initial conditions are a set of test configurations the UE needs to be tested in and the steps for the SS to take with the UE to reach the correct measurement state.</w:t>
      </w:r>
    </w:p>
    <w:p>
      <w:pPr>
        <w:rPr>
          <w:rFonts w:eastAsia="MS Mincho"/>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pPr>
        <w:pStyle w:val="113"/>
      </w:pPr>
      <w:r>
        <w:t>Table 6.3A.4.2.4.1-1: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601"/>
        <w:gridCol w:w="1417"/>
        <w:gridCol w:w="3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t>Test Environment as specified in</w:t>
            </w:r>
          </w:p>
          <w:p>
            <w:pPr>
              <w:pStyle w:val="103"/>
            </w:pPr>
            <w:r>
              <w:t>TS 36.508 [12] subclause 4.1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Frequencies 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Low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Channel Bandwidths</w:t>
            </w:r>
            <w:r>
              <w:t xml:space="preserve"> </w:t>
            </w:r>
            <w:r>
              <w:rPr>
                <w:bCs/>
              </w:rPr>
              <w:t>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rFonts w:eastAsia="PMingLiU"/>
                <w:bCs/>
                <w:lang w:eastAsia="zh-TW"/>
              </w:rPr>
            </w:pPr>
            <w:r>
              <w:rPr>
                <w:rFonts w:eastAsia="PMingLiU"/>
                <w:bCs/>
                <w:lang w:eastAsia="zh-TW"/>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3"/>
            </w:pPr>
          </w:p>
        </w:tc>
        <w:tc>
          <w:tcPr>
            <w:tcW w:w="2931" w:type="dxa"/>
            <w:gridSpan w:val="2"/>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29"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gridSpan w:val="2"/>
            <w:vMerge w:val="restart"/>
            <w:tcBorders>
              <w:top w:val="single" w:color="auto" w:sz="4" w:space="0"/>
              <w:left w:val="single" w:color="auto" w:sz="4" w:space="0"/>
              <w:right w:val="single" w:color="auto" w:sz="4" w:space="0"/>
            </w:tcBorders>
          </w:tcPr>
          <w:p>
            <w:pPr>
              <w:pStyle w:val="105"/>
            </w:pPr>
            <w:r>
              <w:t>N/A</w:t>
            </w:r>
          </w:p>
        </w:tc>
        <w:tc>
          <w:tcPr>
            <w:tcW w:w="1417" w:type="dxa"/>
            <w:tcBorders>
              <w:top w:val="single" w:color="auto" w:sz="4" w:space="0"/>
              <w:left w:val="single" w:color="auto" w:sz="4" w:space="0"/>
              <w:bottom w:val="single" w:color="auto" w:sz="4" w:space="0"/>
              <w:right w:val="single" w:color="auto" w:sz="4" w:space="0"/>
            </w:tcBorders>
          </w:tcPr>
          <w:p>
            <w:pPr>
              <w:pStyle w:val="105"/>
            </w:pPr>
            <w:r>
              <w:t>Mod'n</w:t>
            </w:r>
          </w:p>
        </w:tc>
        <w:tc>
          <w:tcPr>
            <w:tcW w:w="3812"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p>
        </w:tc>
        <w:tc>
          <w:tcPr>
            <w:tcW w:w="3812"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r>
              <w:t>QPSK</w:t>
            </w:r>
          </w:p>
        </w:tc>
        <w:tc>
          <w:tcPr>
            <w:tcW w:w="3812" w:type="dxa"/>
            <w:tcBorders>
              <w:top w:val="single" w:color="auto" w:sz="4" w:space="0"/>
              <w:left w:val="single" w:color="auto" w:sz="4" w:space="0"/>
              <w:bottom w:val="single" w:color="auto" w:sz="4" w:space="0"/>
              <w:right w:val="single" w:color="auto" w:sz="4" w:space="0"/>
            </w:tcBorders>
          </w:tcPr>
          <w:p>
            <w:pPr>
              <w:pStyle w:val="105"/>
            </w:pPr>
            <w:r>
              <w:t>See table 6.3</w:t>
            </w:r>
            <w:r>
              <w:rPr>
                <w:rFonts w:eastAsia="PMingLiU"/>
                <w:lang w:eastAsia="zh-TW"/>
              </w:rPr>
              <w:t>A</w:t>
            </w:r>
            <w:r>
              <w:t>.4.2.5-1</w:t>
            </w:r>
          </w:p>
          <w:p>
            <w:pPr>
              <w:pStyle w:val="105"/>
            </w:pPr>
            <w:r>
              <w:t>6.3</w:t>
            </w:r>
            <w:r>
              <w:rPr>
                <w:rFonts w:eastAsia="PMingLiU"/>
                <w:lang w:eastAsia="zh-TW"/>
              </w:rPr>
              <w:t>A</w:t>
            </w:r>
            <w:r>
              <w:t>.4.2.5-2</w:t>
            </w:r>
          </w:p>
          <w:p>
            <w:pPr>
              <w:pStyle w:val="105"/>
            </w:pPr>
            <w:r>
              <w:t>6.3</w:t>
            </w:r>
            <w:r>
              <w:rPr>
                <w:rFonts w:eastAsia="PMingLiU"/>
                <w:lang w:eastAsia="zh-TW"/>
              </w:rPr>
              <w:t>A</w:t>
            </w:r>
            <w:r>
              <w:t>.4.2.5-3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5"/>
              <w:jc w:val="left"/>
            </w:pPr>
            <w:r>
              <w:t>Note 1:</w:t>
            </w:r>
            <w:r>
              <w:tab/>
            </w:r>
            <w:r>
              <w:t>The RBstart of partial RB allocation shall be RB#0.</w:t>
            </w:r>
          </w:p>
        </w:tc>
      </w:tr>
    </w:tbl>
    <w:p>
      <w:pPr>
        <w:rPr>
          <w:rFonts w:eastAsia="MS Mincho"/>
          <w:lang w:eastAsia="ja-JP"/>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6.3A.4.2.4.1-1.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 xml:space="preserve">UE location according to TS 36.508 [12] clause </w:t>
      </w:r>
      <w:r>
        <w:rPr>
          <w:lang w:eastAsia="en-GB"/>
        </w:rPr>
        <w:t>5.6.1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emu</w:t>
      </w:r>
      <w:r>
        <w:rPr>
          <w:color w:val="000000" w:themeColor="text1"/>
          <w14:textFill>
            <w14:solidFill>
              <w14:schemeClr w14:val="tx1"/>
            </w14:solidFill>
          </w14:textFill>
        </w:rPr>
        <w:t xml:space="preserve">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w:t>
      </w:r>
      <w:r>
        <w:t>ion of the test as define in TS 36.508[12] clause 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 xml:space="preserve">Ensure the UE is in State 3A-RF-CE according to TS 36.508 [12] clause 5.2A. 2 AA. Message contents are defined in clause 6.3A.4.2.4.3. </w:t>
      </w:r>
    </w:p>
    <w:p>
      <w:pPr>
        <w:pStyle w:val="9"/>
      </w:pPr>
      <w:r>
        <w:t>6.3A.4.2.4.2</w:t>
      </w:r>
      <w:r>
        <w:tab/>
      </w:r>
      <w:r>
        <w:t>Test procedure</w:t>
      </w:r>
    </w:p>
    <w:p>
      <w:pPr>
        <w:rPr>
          <w:rFonts w:eastAsia="PMingLiU"/>
          <w:lang w:eastAsia="zh-TW"/>
        </w:rPr>
      </w:pPr>
      <w:r>
        <w:t>The procedure is separated in various subtests to verify different aspects of relative power control. The power patterns of the subtests are described in figure 6.3</w:t>
      </w:r>
      <w:r>
        <w:rPr>
          <w:rFonts w:eastAsia="PMingLiU"/>
          <w:lang w:eastAsia="zh-TW"/>
        </w:rPr>
        <w:t>A</w:t>
      </w:r>
      <w:r>
        <w:t>.4.2.4.2-1.</w:t>
      </w:r>
    </w:p>
    <w:p>
      <w:pPr>
        <w:pStyle w:val="113"/>
      </w:pPr>
      <w:r>
        <w:rPr>
          <w:snapToGrid w:val="0"/>
        </w:rPr>
        <w:object>
          <v:shape id="_x0000_i1027" o:spt="75" type="#_x0000_t75" style="height:443.4pt;width:474pt;" o:ole="t" filled="f" o:preferrelative="t" stroked="f" coordsize="21600,21600">
            <v:path/>
            <v:fill on="f" focussize="0,0"/>
            <v:stroke on="f" joinstyle="miter"/>
            <v:imagedata r:id="rId21" o:title=""/>
            <o:lock v:ext="edit" aspectratio="t"/>
            <w10:wrap type="none"/>
            <w10:anchorlock/>
          </v:shape>
          <o:OLEObject Type="Embed" ProgID="Word.Picture.8" ShapeID="_x0000_i1027" DrawAspect="Content" ObjectID="_1468075727" r:id="rId20">
            <o:LockedField>false</o:LockedField>
          </o:OLEObject>
        </w:object>
      </w:r>
    </w:p>
    <w:p>
      <w:pPr>
        <w:pStyle w:val="120"/>
      </w:pPr>
      <w:r>
        <w:t>Figure 6.3</w:t>
      </w:r>
      <w:r>
        <w:rPr>
          <w:rFonts w:eastAsia="PMingLiU"/>
          <w:lang w:eastAsia="zh-TW"/>
        </w:rPr>
        <w:t>A</w:t>
      </w:r>
      <w:r>
        <w:t>.4.2.4.2-1: FDD ramping up test power patterns</w:t>
      </w:r>
    </w:p>
    <w:p>
      <w:pPr>
        <w:pStyle w:val="113"/>
      </w:pPr>
      <w:r>
        <w:rPr>
          <w:snapToGrid w:val="0"/>
        </w:rPr>
        <w:object>
          <v:shape id="_x0000_i1028" o:spt="75" type="#_x0000_t75" style="height:459.6pt;width:481.2pt;" o:ole="t" filled="f" o:preferrelative="t" stroked="f" coordsize="21600,21600">
            <v:path/>
            <v:fill on="f" focussize="0,0"/>
            <v:stroke on="f" joinstyle="miter"/>
            <v:imagedata r:id="rId23" o:title=""/>
            <o:lock v:ext="edit" aspectratio="t"/>
            <w10:wrap type="none"/>
            <w10:anchorlock/>
          </v:shape>
          <o:OLEObject Type="Embed" ProgID="Word.Picture.8" ShapeID="_x0000_i1028" DrawAspect="Content" ObjectID="_1468075728" r:id="rId22">
            <o:LockedField>false</o:LockedField>
          </o:OLEObject>
        </w:object>
      </w:r>
    </w:p>
    <w:p>
      <w:pPr>
        <w:pStyle w:val="120"/>
      </w:pPr>
      <w:r>
        <w:t>Figure 6.3</w:t>
      </w:r>
      <w:r>
        <w:rPr>
          <w:rFonts w:eastAsia="PMingLiU"/>
          <w:lang w:eastAsia="zh-TW"/>
        </w:rPr>
        <w:t>A</w:t>
      </w:r>
      <w:r>
        <w:t>.4.2.4.2-2: FDD ramping down test power patterns</w:t>
      </w:r>
    </w:p>
    <w:p>
      <w:pPr>
        <w:pStyle w:val="113"/>
      </w:pPr>
      <w:bookmarkStart w:id="565" w:name="_MON_1543744446"/>
      <w:bookmarkEnd w:id="565"/>
      <w:r>
        <w:rPr>
          <w:snapToGrid w:val="0"/>
        </w:rPr>
        <w:object>
          <v:shape id="_x0000_i1029" o:spt="75" type="#_x0000_t75" style="height:443.4pt;width:474pt;" o:ole="t" filled="f" o:preferrelative="t" stroked="f" coordsize="21600,21600">
            <v:path/>
            <v:fill on="f" focussize="0,0"/>
            <v:stroke on="f" joinstyle="miter"/>
            <v:imagedata r:id="rId25" o:title=""/>
            <o:lock v:ext="edit" aspectratio="t"/>
            <w10:wrap type="none"/>
            <w10:anchorlock/>
          </v:shape>
          <o:OLEObject Type="Embed" ProgID="Word.Picture.8" ShapeID="_x0000_i1029" DrawAspect="Content" ObjectID="_1468075729" r:id="rId24">
            <o:LockedField>false</o:LockedField>
          </o:OLEObject>
        </w:object>
      </w:r>
    </w:p>
    <w:p>
      <w:pPr>
        <w:pStyle w:val="120"/>
      </w:pPr>
      <w:r>
        <w:t>Figure 6.3</w:t>
      </w:r>
      <w:r>
        <w:rPr>
          <w:rFonts w:eastAsia="PMingLiU"/>
          <w:lang w:eastAsia="zh-TW"/>
        </w:rPr>
        <w:t>A</w:t>
      </w:r>
      <w:r>
        <w:t>.4.2.4.2-3: HD-FDD ramping up test power patterns</w:t>
      </w:r>
    </w:p>
    <w:p>
      <w:pPr>
        <w:pStyle w:val="113"/>
      </w:pPr>
      <w:bookmarkStart w:id="566" w:name="_MON_1543749848"/>
      <w:bookmarkEnd w:id="566"/>
      <w:r>
        <w:rPr>
          <w:snapToGrid w:val="0"/>
        </w:rPr>
        <w:object>
          <v:shape id="_x0000_i1030" o:spt="75" type="#_x0000_t75" style="height:443.4pt;width:474pt;" o:ole="t" filled="f" o:preferrelative="t" stroked="f" coordsize="21600,21600">
            <v:path/>
            <v:fill on="f" focussize="0,0"/>
            <v:stroke on="f" joinstyle="miter"/>
            <v:imagedata r:id="rId27" o:title=""/>
            <o:lock v:ext="edit" aspectratio="t"/>
            <w10:wrap type="none"/>
            <w10:anchorlock/>
          </v:shape>
          <o:OLEObject Type="Embed" ProgID="Word.Picture.8" ShapeID="_x0000_i1030" DrawAspect="Content" ObjectID="_1468075730" r:id="rId26">
            <o:LockedField>false</o:LockedField>
          </o:OLEObject>
        </w:object>
      </w:r>
    </w:p>
    <w:p>
      <w:pPr>
        <w:pStyle w:val="120"/>
      </w:pPr>
      <w:r>
        <w:t>Figure 6.3</w:t>
      </w:r>
      <w:r>
        <w:rPr>
          <w:rFonts w:eastAsia="PMingLiU"/>
          <w:lang w:eastAsia="zh-TW"/>
        </w:rPr>
        <w:t>A</w:t>
      </w:r>
      <w:r>
        <w:t>.4.2.4.2-4: HD-FDD ramping down test power patterns</w:t>
      </w:r>
    </w:p>
    <w:p>
      <w:pPr>
        <w:pStyle w:val="113"/>
      </w:pPr>
      <w:r>
        <w:drawing>
          <wp:inline distT="0" distB="0" distL="0" distR="0">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pPr>
        <w:pStyle w:val="120"/>
      </w:pPr>
      <w:r>
        <w:t>Figure 6.3</w:t>
      </w:r>
      <w:r>
        <w:rPr>
          <w:rFonts w:eastAsia="PMingLiU"/>
          <w:lang w:eastAsia="zh-TW"/>
        </w:rPr>
        <w:t>A</w:t>
      </w:r>
      <w:r>
        <w:t>.4.2.4.2-5: Alternating Test Power patterns</w:t>
      </w:r>
    </w:p>
    <w:p>
      <w:pPr>
        <w:pStyle w:val="111"/>
        <w:ind w:left="0" w:firstLine="0"/>
        <w:rPr>
          <w:rFonts w:eastAsia="PMingLiU"/>
          <w:lang w:eastAsia="zh-TW"/>
        </w:rPr>
      </w:pPr>
      <w:r>
        <w:t>1.</w:t>
      </w:r>
      <w:r>
        <w:tab/>
      </w:r>
      <w:r>
        <w:t>Sub test: ramping up pattern</w:t>
      </w:r>
    </w:p>
    <w:p>
      <w:pPr>
        <w:pStyle w:val="11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r>
      <w:r>
        <w:rPr>
          <w:rFonts w:hint="eastAsia"/>
          <w:lang w:eastAsia="en-GB"/>
        </w:rPr>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pPr>
        <w:pStyle w:val="11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r>
      <w:r>
        <w:rPr>
          <w:rFonts w:hint="eastAsia"/>
          <w:lang w:eastAsia="en-GB"/>
        </w:rPr>
        <w:t>Schedule the UE's PUSCH data transmission as described in Figure 6.3A.4.2.4.2-1 (FDD pattern A: sub-test is divided in 4 arbitrary radio frames with 10 active uplink sub-frames per radio frame)  and Figure 6.3A4..2.4.2-5 (HD-FDD pattern A: sub-test is divided in 14 arbitrary radio frames with 3 active uplink sub-frames per radio frame) with an uplink RB allocation as defined in tables 6.3A.4.2.5-1.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pPr>
        <w:pStyle w:val="11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r>
      <w:r>
        <w:rPr>
          <w:rFonts w:hint="eastAsia"/>
          <w:lang w:eastAsia="en-GB"/>
        </w:rPr>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pPr>
        <w:pStyle w:val="11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r>
      <w:r>
        <w:rPr>
          <w:rFonts w:hint="eastAsia"/>
          <w:lang w:eastAsia="en-GB"/>
        </w:rPr>
        <w:t>Repeat the subtest different pattern B, C to move the RB allocation change at different points in the pattern as described in Table 6.3A.4.2.5-1 to force bigger UE power steps at various points in the power range.</w:t>
      </w:r>
    </w:p>
    <w:p>
      <w:pPr>
        <w:pStyle w:val="111"/>
        <w:ind w:left="0" w:firstLine="0"/>
      </w:pPr>
      <w:r>
        <w:t>2.</w:t>
      </w:r>
      <w:r>
        <w:tab/>
      </w:r>
      <w:r>
        <w:t>Sub test: ramping down pattern</w:t>
      </w:r>
    </w:p>
    <w:p>
      <w:pPr>
        <w:pStyle w:val="11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r>
      <w:r>
        <w:rPr>
          <w:rFonts w:hint="eastAsia"/>
          <w:lang w:eastAsia="en-GB"/>
        </w:rPr>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 with UE power class 3 or +15.0dBm +/- 3.2 dB for carrier frequency f ≤ 3.0GHz with UE power class 5 or +9.0 dBm +/- 3.2 dB for carrier frequency f ≤ 3.0GHz with UE power class 6.</w:t>
      </w:r>
    </w:p>
    <w:p>
      <w:pPr>
        <w:pStyle w:val="11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r>
      <w:r>
        <w:rPr>
          <w:rFonts w:hint="eastAsia"/>
          <w:lang w:eastAsia="en-GB"/>
        </w:rPr>
        <w:t>Schedule the UE's PUSCH data transmission as described in Figure 6.3A.4.2.4.2-2 (FDD pattern A: sub-test is divided in 4 arbitrary radio frames with 10 active uplink sub-frames per radio frame) and Figure 6.3.5EA.2.4.2-6 (HD-FDD pattern A: sub-test is divided in 14 arbitrary radio frames with 3 active uplink sub-frames per radio frame)with an uplink RB allocation as defined in table 6.3A.4.2.5-2.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pPr>
        <w:pStyle w:val="11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r>
      <w:r>
        <w:rPr>
          <w:rFonts w:hint="eastAsia"/>
          <w:lang w:eastAsia="en-GB"/>
        </w:rPr>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pPr>
        <w:pStyle w:val="11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r>
      <w:r>
        <w:rPr>
          <w:rFonts w:hint="eastAsia"/>
          <w:lang w:eastAsia="en-GB"/>
        </w:rPr>
        <w:t>Repeat the subtest different pattern B, C to move the RB allocation change at different points in the pattern as described in Table 6.3A.4.2.5-2 to force bigger UE power steps at various points in the power range.</w:t>
      </w:r>
    </w:p>
    <w:p>
      <w:pPr>
        <w:pStyle w:val="111"/>
        <w:ind w:left="0" w:firstLine="0"/>
      </w:pPr>
      <w:r>
        <w:t>3.</w:t>
      </w:r>
      <w:r>
        <w:tab/>
      </w:r>
      <w:r>
        <w:t>Sub test: alternating pattern</w:t>
      </w:r>
    </w:p>
    <w:p>
      <w:pPr>
        <w:pStyle w:val="111"/>
        <w:overflowPunct w:val="0"/>
        <w:autoSpaceDE w:val="0"/>
        <w:autoSpaceDN w:val="0"/>
        <w:adjustRightInd w:val="0"/>
        <w:contextualSpacing w:val="0"/>
        <w:textAlignment w:val="baseline"/>
        <w:rPr>
          <w:lang w:eastAsia="en-GB"/>
        </w:rPr>
      </w:pPr>
      <w:r>
        <w:rPr>
          <w:rFonts w:hint="eastAsia"/>
          <w:lang w:eastAsia="en-GB"/>
        </w:rPr>
        <w:t>3.1</w:t>
      </w:r>
      <w:r>
        <w:rPr>
          <w:rFonts w:hint="eastAsia"/>
          <w:lang w:eastAsia="en-GB"/>
        </w:rPr>
        <w:tab/>
      </w:r>
      <w:r>
        <w:rPr>
          <w:rFonts w:hint="eastAsia"/>
          <w:lang w:eastAsia="en-GB"/>
        </w:rPr>
        <w:t>SS sends uplink scheduling information for each UL HARQ process via P MPDCCH DCI format 6-0A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pPr>
        <w:pStyle w:val="111"/>
        <w:overflowPunct w:val="0"/>
        <w:autoSpaceDE w:val="0"/>
        <w:autoSpaceDN w:val="0"/>
        <w:adjustRightInd w:val="0"/>
        <w:contextualSpacing w:val="0"/>
        <w:textAlignment w:val="baseline"/>
        <w:rPr>
          <w:lang w:eastAsia="en-GB"/>
        </w:rPr>
      </w:pPr>
      <w:r>
        <w:rPr>
          <w:rFonts w:hint="eastAsia"/>
          <w:lang w:eastAsia="en-GB"/>
        </w:rPr>
        <w:t>3.2</w:t>
      </w:r>
      <w:r>
        <w:rPr>
          <w:rFonts w:hint="eastAsia"/>
          <w:lang w:eastAsia="en-GB"/>
        </w:rPr>
        <w:tab/>
      </w:r>
      <w:r>
        <w:rPr>
          <w:rFonts w:hint="eastAsia"/>
          <w:lang w:eastAsia="en-GB"/>
        </w:rPr>
        <w:t>Schedule the UE's PUSCH data transmission as described in Figure 6.3A.4.2.4.2-5 for 10 sub-frames (FDD ) and 20 sub-frames (HD-FDD) with an uplink RB allocation alternating pattern as defined in table 6.3A.4.2.5-3 while transmitting 0dB TPC command for PUSCH via the MPDCCH.</w:t>
      </w:r>
    </w:p>
    <w:p>
      <w:pPr>
        <w:pStyle w:val="111"/>
        <w:overflowPunct w:val="0"/>
        <w:autoSpaceDE w:val="0"/>
        <w:autoSpaceDN w:val="0"/>
        <w:adjustRightInd w:val="0"/>
        <w:contextualSpacing w:val="0"/>
        <w:textAlignment w:val="baseline"/>
        <w:rPr>
          <w:lang w:eastAsia="en-GB"/>
        </w:rPr>
      </w:pPr>
      <w:r>
        <w:rPr>
          <w:rFonts w:hint="eastAsia"/>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pPr>
        <w:pStyle w:val="9"/>
      </w:pPr>
      <w:r>
        <w:t>6.3A.4.2.4.3</w:t>
      </w:r>
      <w:r>
        <w:tab/>
      </w:r>
      <w:r>
        <w:t>Message contents</w:t>
      </w:r>
    </w:p>
    <w:p>
      <w:pPr>
        <w:rPr>
          <w:lang w:eastAsia="ja-JP"/>
        </w:rPr>
      </w:pPr>
      <w:r>
        <w:t>Message contents are according to TS 36.508 [12] subclause 4.6</w:t>
      </w:r>
      <w:r>
        <w:rPr>
          <w:lang w:eastAsia="ja-JP"/>
        </w:rPr>
        <w:t>.</w:t>
      </w:r>
    </w:p>
    <w:p>
      <w:pPr>
        <w:pStyle w:val="9"/>
      </w:pPr>
      <w:r>
        <w:t>6.3A.</w:t>
      </w:r>
      <w:r>
        <w:rPr>
          <w:rFonts w:hint="eastAsia"/>
        </w:rPr>
        <w:t>4</w:t>
      </w:r>
      <w:r>
        <w:t>.2.5</w:t>
      </w:r>
      <w:r>
        <w:tab/>
      </w:r>
      <w:r>
        <w:t>Test requirement</w:t>
      </w:r>
    </w:p>
    <w:p>
      <w:r>
        <w:t>Each UE power step measured in the test procedure 6.3</w:t>
      </w:r>
      <w:r>
        <w:rPr>
          <w:rFonts w:eastAsia="PMingLiU"/>
          <w:lang w:eastAsia="zh-TW"/>
        </w:rPr>
        <w:t>A</w:t>
      </w:r>
      <w:r>
        <w:t>.4.2.4.2 should satisfy the test requirements specified in Table 6.3</w:t>
      </w:r>
      <w:r>
        <w:rPr>
          <w:rFonts w:eastAsia="PMingLiU"/>
          <w:lang w:eastAsia="zh-TW"/>
        </w:rPr>
        <w:t>A</w:t>
      </w:r>
      <w:r>
        <w:t>.4.2.5-1, thru 6.3</w:t>
      </w:r>
      <w:r>
        <w:rPr>
          <w:rFonts w:eastAsia="PMingLiU"/>
          <w:lang w:eastAsia="zh-TW"/>
        </w:rPr>
        <w:t>A</w:t>
      </w:r>
      <w:r>
        <w:t>.4.2.5-3 for normal conditions; for extreme conditions an additional ± 2.0 dB relaxation is allowed.</w:t>
      </w:r>
    </w:p>
    <w:p>
      <w:r>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pPr>
        <w:pStyle w:val="113"/>
      </w:pPr>
      <w:r>
        <w:t>Table 6.3A.4.2.5-1: Test Requirements Relative Power Tolerance for Transmission (normal conditions – Note 5) channel bandwidth 1.4MHz (ramping up)</w:t>
      </w:r>
    </w:p>
    <w:tbl>
      <w:tblPr>
        <w:tblStyle w:val="89"/>
        <w:tblW w:w="7654" w:type="dxa"/>
        <w:jc w:val="center"/>
        <w:tblLayout w:type="autofit"/>
        <w:tblCellMar>
          <w:top w:w="0" w:type="dxa"/>
          <w:left w:w="108" w:type="dxa"/>
          <w:bottom w:w="0" w:type="dxa"/>
          <w:right w:w="108" w:type="dxa"/>
        </w:tblCellMar>
      </w:tblPr>
      <w:tblGrid>
        <w:gridCol w:w="1206"/>
        <w:gridCol w:w="1112"/>
        <w:gridCol w:w="1107"/>
        <w:gridCol w:w="1017"/>
        <w:gridCol w:w="1056"/>
        <w:gridCol w:w="2156"/>
      </w:tblGrid>
      <w:tr>
        <w:tblPrEx>
          <w:tblCellMar>
            <w:top w:w="0" w:type="dxa"/>
            <w:left w:w="108" w:type="dxa"/>
            <w:bottom w:w="0" w:type="dxa"/>
            <w:right w:w="108" w:type="dxa"/>
          </w:tblCellMar>
        </w:tblPrEx>
        <w:trPr>
          <w:trHeight w:val="240" w:hRule="atLeast"/>
          <w:jc w:val="center"/>
        </w:trPr>
        <w:tc>
          <w:tcPr>
            <w:tcW w:w="1206" w:type="dxa"/>
            <w:tcBorders>
              <w:top w:val="single" w:color="auto" w:sz="4" w:space="0"/>
              <w:left w:val="single" w:color="auto" w:sz="4" w:space="0"/>
              <w:bottom w:val="nil"/>
              <w:right w:val="single" w:color="000000" w:sz="4" w:space="0"/>
            </w:tcBorders>
          </w:tcPr>
          <w:p>
            <w:pPr>
              <w:pStyle w:val="104"/>
            </w:pPr>
            <w:r>
              <w:t>Sub-test (ramp up)</w:t>
            </w:r>
          </w:p>
        </w:tc>
        <w:tc>
          <w:tcPr>
            <w:tcW w:w="1112" w:type="dxa"/>
            <w:tcBorders>
              <w:top w:val="single" w:color="auto" w:sz="4" w:space="0"/>
              <w:left w:val="single" w:color="auto" w:sz="4" w:space="0"/>
              <w:bottom w:val="nil"/>
              <w:right w:val="single" w:color="auto" w:sz="4" w:space="0"/>
            </w:tcBorders>
          </w:tcPr>
          <w:p>
            <w:pPr>
              <w:pStyle w:val="104"/>
            </w:pPr>
            <w:r>
              <w:t>Uplink RB allocation</w:t>
            </w:r>
          </w:p>
        </w:tc>
        <w:tc>
          <w:tcPr>
            <w:tcW w:w="1107" w:type="dxa"/>
            <w:tcBorders>
              <w:top w:val="single" w:color="auto" w:sz="4" w:space="0"/>
              <w:left w:val="single" w:color="auto" w:sz="4" w:space="0"/>
              <w:bottom w:val="nil"/>
              <w:right w:val="single" w:color="auto" w:sz="4" w:space="0"/>
            </w:tcBorders>
          </w:tcPr>
          <w:p>
            <w:pPr>
              <w:pStyle w:val="104"/>
            </w:pPr>
            <w:r>
              <w:t>TPC command</w:t>
            </w:r>
          </w:p>
        </w:tc>
        <w:tc>
          <w:tcPr>
            <w:tcW w:w="1017" w:type="dxa"/>
            <w:tcBorders>
              <w:top w:val="single" w:color="auto" w:sz="4" w:space="0"/>
              <w:left w:val="single" w:color="auto" w:sz="4" w:space="0"/>
              <w:bottom w:val="nil"/>
              <w:right w:val="single" w:color="auto" w:sz="4" w:space="0"/>
            </w:tcBorders>
            <w:vAlign w:val="center"/>
          </w:tcPr>
          <w:p>
            <w:pPr>
              <w:pStyle w:val="104"/>
            </w:pPr>
            <w:r>
              <w:t>Expected power step size (Up)</w:t>
            </w:r>
          </w:p>
        </w:tc>
        <w:tc>
          <w:tcPr>
            <w:tcW w:w="1056" w:type="dxa"/>
            <w:tcBorders>
              <w:top w:val="single" w:color="auto" w:sz="4" w:space="0"/>
              <w:left w:val="single" w:color="auto" w:sz="4" w:space="0"/>
              <w:bottom w:val="nil"/>
              <w:right w:val="single" w:color="000000" w:sz="4" w:space="0"/>
            </w:tcBorders>
            <w:shd w:val="clear" w:color="auto" w:fill="auto"/>
            <w:vAlign w:val="center"/>
          </w:tcPr>
          <w:p>
            <w:pPr>
              <w:pStyle w:val="104"/>
            </w:pPr>
            <w:r>
              <w:t>Power step size range (Up)</w:t>
            </w:r>
          </w:p>
        </w:tc>
        <w:tc>
          <w:tcPr>
            <w:tcW w:w="2156" w:type="dxa"/>
            <w:tcBorders>
              <w:top w:val="single" w:color="auto" w:sz="4" w:space="0"/>
              <w:left w:val="nil"/>
              <w:bottom w:val="nil"/>
              <w:right w:val="single" w:color="auto" w:sz="4" w:space="0"/>
            </w:tcBorders>
            <w:shd w:val="clear" w:color="auto" w:fill="auto"/>
            <w:vAlign w:val="center"/>
          </w:tcPr>
          <w:p>
            <w:pPr>
              <w:pStyle w:val="104"/>
            </w:pPr>
            <w:r>
              <w:t>PUSCH</w:t>
            </w:r>
          </w:p>
        </w:tc>
      </w:tr>
      <w:tr>
        <w:tblPrEx>
          <w:tblCellMar>
            <w:top w:w="0" w:type="dxa"/>
            <w:left w:w="108" w:type="dxa"/>
            <w:bottom w:w="0" w:type="dxa"/>
            <w:right w:w="108" w:type="dxa"/>
          </w:tblCellMar>
        </w:tblPrEx>
        <w:trPr>
          <w:trHeight w:val="255" w:hRule="atLeast"/>
          <w:jc w:val="center"/>
        </w:trPr>
        <w:tc>
          <w:tcPr>
            <w:tcW w:w="1206" w:type="dxa"/>
            <w:tcBorders>
              <w:top w:val="nil"/>
              <w:left w:val="single" w:color="auto" w:sz="4" w:space="0"/>
              <w:bottom w:val="single" w:color="auto" w:sz="4" w:space="0"/>
              <w:right w:val="single" w:color="000000" w:sz="4" w:space="0"/>
            </w:tcBorders>
          </w:tcPr>
          <w:p>
            <w:pPr>
              <w:pStyle w:val="103"/>
            </w:pPr>
          </w:p>
        </w:tc>
        <w:tc>
          <w:tcPr>
            <w:tcW w:w="1112" w:type="dxa"/>
            <w:tcBorders>
              <w:top w:val="nil"/>
              <w:left w:val="single" w:color="auto" w:sz="4" w:space="0"/>
              <w:bottom w:val="single" w:color="auto" w:sz="4" w:space="0"/>
              <w:right w:val="single" w:color="auto" w:sz="4" w:space="0"/>
            </w:tcBorders>
          </w:tcPr>
          <w:p>
            <w:pPr>
              <w:pStyle w:val="103"/>
            </w:pPr>
          </w:p>
        </w:tc>
        <w:tc>
          <w:tcPr>
            <w:tcW w:w="1107" w:type="dxa"/>
            <w:tcBorders>
              <w:top w:val="nil"/>
              <w:left w:val="single" w:color="auto" w:sz="4" w:space="0"/>
              <w:bottom w:val="single" w:color="auto" w:sz="4" w:space="0"/>
              <w:right w:val="single" w:color="auto" w:sz="4" w:space="0"/>
            </w:tcBorders>
          </w:tcPr>
          <w:p>
            <w:pPr>
              <w:pStyle w:val="103"/>
            </w:pPr>
          </w:p>
        </w:tc>
        <w:tc>
          <w:tcPr>
            <w:tcW w:w="1017" w:type="dxa"/>
            <w:tcBorders>
              <w:top w:val="nil"/>
              <w:left w:val="single" w:color="auto" w:sz="4" w:space="0"/>
              <w:bottom w:val="single" w:color="auto" w:sz="4" w:space="0"/>
              <w:right w:val="single" w:color="auto" w:sz="4" w:space="0"/>
            </w:tcBorders>
            <w:vAlign w:val="center"/>
          </w:tcPr>
          <w:p>
            <w:pPr>
              <w:pStyle w:val="104"/>
            </w:pPr>
            <w:r>
              <w:t>ΔP [dB]</w:t>
            </w:r>
          </w:p>
        </w:tc>
        <w:tc>
          <w:tcPr>
            <w:tcW w:w="1056" w:type="dxa"/>
            <w:tcBorders>
              <w:top w:val="nil"/>
              <w:left w:val="single" w:color="auto" w:sz="4" w:space="0"/>
              <w:bottom w:val="single" w:color="auto" w:sz="4" w:space="0"/>
              <w:right w:val="single" w:color="000000" w:sz="4" w:space="0"/>
            </w:tcBorders>
            <w:shd w:val="clear" w:color="auto" w:fill="auto"/>
            <w:vAlign w:val="center"/>
          </w:tcPr>
          <w:p>
            <w:pPr>
              <w:pStyle w:val="104"/>
            </w:pPr>
            <w:r>
              <w:t>ΔP [dB]</w:t>
            </w:r>
          </w:p>
        </w:tc>
        <w:tc>
          <w:tcPr>
            <w:tcW w:w="2156" w:type="dxa"/>
            <w:tcBorders>
              <w:top w:val="nil"/>
              <w:left w:val="nil"/>
              <w:bottom w:val="single" w:color="auto" w:sz="4" w:space="0"/>
              <w:right w:val="single" w:color="auto" w:sz="4" w:space="0"/>
            </w:tcBorders>
            <w:shd w:val="clear" w:color="auto" w:fill="auto"/>
            <w:vAlign w:val="center"/>
          </w:tcPr>
          <w:p>
            <w:pPr>
              <w:pStyle w:val="104"/>
            </w:pPr>
            <w:r>
              <w:t>[dB]</w:t>
            </w:r>
          </w:p>
        </w:tc>
      </w:tr>
      <w:tr>
        <w:tblPrEx>
          <w:tblCellMar>
            <w:top w:w="0" w:type="dxa"/>
            <w:left w:w="108" w:type="dxa"/>
            <w:bottom w:w="0" w:type="dxa"/>
            <w:right w:w="108" w:type="dxa"/>
          </w:tblCellMar>
        </w:tblPrEx>
        <w:trPr>
          <w:trHeight w:val="240" w:hRule="atLeast"/>
          <w:jc w:val="center"/>
        </w:trPr>
        <w:tc>
          <w:tcPr>
            <w:tcW w:w="1206" w:type="dxa"/>
            <w:tcBorders>
              <w:top w:val="single" w:color="auto" w:sz="4" w:space="0"/>
              <w:left w:val="single" w:color="auto" w:sz="4" w:space="0"/>
              <w:bottom w:val="single" w:color="auto" w:sz="4" w:space="0"/>
              <w:right w:val="single" w:color="auto" w:sz="4" w:space="0"/>
            </w:tcBorders>
          </w:tcPr>
          <w:p>
            <w:pPr>
              <w:pStyle w:val="105"/>
            </w:pPr>
            <w:r>
              <w:t>Subframes before RB change</w:t>
            </w:r>
          </w:p>
        </w:tc>
        <w:tc>
          <w:tcPr>
            <w:tcW w:w="1112" w:type="dxa"/>
            <w:tcBorders>
              <w:top w:val="single" w:color="auto" w:sz="4" w:space="0"/>
              <w:left w:val="single" w:color="auto" w:sz="4" w:space="0"/>
              <w:bottom w:val="single" w:color="auto" w:sz="4" w:space="0"/>
              <w:right w:val="single" w:color="auto" w:sz="4" w:space="0"/>
            </w:tcBorders>
          </w:tcPr>
          <w:p>
            <w:pPr>
              <w:pStyle w:val="103"/>
            </w:pPr>
            <w:r>
              <w:t>Fixed = 1</w:t>
            </w:r>
          </w:p>
        </w:tc>
        <w:tc>
          <w:tcPr>
            <w:tcW w:w="1107" w:type="dxa"/>
            <w:tcBorders>
              <w:top w:val="single" w:color="auto" w:sz="4" w:space="0"/>
              <w:left w:val="single" w:color="auto" w:sz="4" w:space="0"/>
              <w:bottom w:val="single" w:color="auto" w:sz="4" w:space="0"/>
              <w:right w:val="single" w:color="auto" w:sz="4" w:space="0"/>
            </w:tcBorders>
          </w:tcPr>
          <w:p>
            <w:pPr>
              <w:pStyle w:val="103"/>
            </w:pPr>
            <w:r>
              <w:t>TPC=+1dB</w:t>
            </w:r>
          </w:p>
        </w:tc>
        <w:tc>
          <w:tcPr>
            <w:tcW w:w="1017"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05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ΔP &lt; 2</w:t>
            </w:r>
          </w:p>
        </w:tc>
        <w:tc>
          <w:tcPr>
            <w:tcW w:w="2156" w:type="dxa"/>
            <w:tcBorders>
              <w:top w:val="single" w:color="auto" w:sz="4" w:space="0"/>
              <w:left w:val="nil"/>
              <w:bottom w:val="single" w:color="auto" w:sz="4" w:space="0"/>
              <w:right w:val="single" w:color="auto" w:sz="4" w:space="0"/>
            </w:tcBorders>
            <w:shd w:val="clear" w:color="auto" w:fill="auto"/>
            <w:vAlign w:val="center"/>
          </w:tcPr>
          <w:p>
            <w:pPr>
              <w:pStyle w:val="105"/>
            </w:pPr>
            <w:r>
              <w:rPr>
                <w:rFonts w:cs="Arial"/>
              </w:rPr>
              <w:t>1 ± (1.7</w:t>
            </w:r>
            <w:r>
              <w:t>)</w:t>
            </w:r>
          </w:p>
        </w:tc>
      </w:tr>
      <w:tr>
        <w:tblPrEx>
          <w:tblCellMar>
            <w:top w:w="0" w:type="dxa"/>
            <w:left w:w="108" w:type="dxa"/>
            <w:bottom w:w="0" w:type="dxa"/>
            <w:right w:w="108" w:type="dxa"/>
          </w:tblCellMar>
        </w:tblPrEx>
        <w:trPr>
          <w:trHeight w:val="240" w:hRule="atLeast"/>
          <w:jc w:val="center"/>
        </w:trPr>
        <w:tc>
          <w:tcPr>
            <w:tcW w:w="1206" w:type="dxa"/>
            <w:tcBorders>
              <w:top w:val="nil"/>
              <w:left w:val="single" w:color="auto" w:sz="4" w:space="0"/>
              <w:bottom w:val="single" w:color="auto" w:sz="4" w:space="0"/>
              <w:right w:val="single" w:color="auto" w:sz="4" w:space="0"/>
            </w:tcBorders>
          </w:tcPr>
          <w:p>
            <w:pPr>
              <w:pStyle w:val="105"/>
            </w:pPr>
            <w:r>
              <w:t>RB change</w:t>
            </w:r>
          </w:p>
        </w:tc>
        <w:tc>
          <w:tcPr>
            <w:tcW w:w="1112" w:type="dxa"/>
            <w:tcBorders>
              <w:top w:val="nil"/>
              <w:left w:val="single" w:color="auto" w:sz="4" w:space="0"/>
              <w:bottom w:val="single" w:color="auto" w:sz="4" w:space="0"/>
              <w:right w:val="single" w:color="auto" w:sz="4" w:space="0"/>
            </w:tcBorders>
          </w:tcPr>
          <w:p>
            <w:pPr>
              <w:pStyle w:val="103"/>
            </w:pPr>
            <w:r>
              <w:t>Change from 1 to 6 RBs</w:t>
            </w:r>
          </w:p>
        </w:tc>
        <w:tc>
          <w:tcPr>
            <w:tcW w:w="1107" w:type="dxa"/>
            <w:tcBorders>
              <w:top w:val="nil"/>
              <w:left w:val="single" w:color="auto" w:sz="4" w:space="0"/>
              <w:bottom w:val="single" w:color="auto" w:sz="4" w:space="0"/>
              <w:right w:val="single" w:color="auto" w:sz="4" w:space="0"/>
            </w:tcBorders>
          </w:tcPr>
          <w:p>
            <w:pPr>
              <w:pStyle w:val="103"/>
            </w:pPr>
            <w:r>
              <w:t>TPC=+1dB</w:t>
            </w:r>
          </w:p>
        </w:tc>
        <w:tc>
          <w:tcPr>
            <w:tcW w:w="1017" w:type="dxa"/>
            <w:tcBorders>
              <w:top w:val="nil"/>
              <w:left w:val="single" w:color="auto" w:sz="4" w:space="0"/>
              <w:bottom w:val="single" w:color="auto" w:sz="4" w:space="0"/>
              <w:right w:val="single" w:color="auto" w:sz="4" w:space="0"/>
            </w:tcBorders>
            <w:vAlign w:val="center"/>
          </w:tcPr>
          <w:p>
            <w:pPr>
              <w:pStyle w:val="105"/>
            </w:pPr>
            <w:r>
              <w:t>8.78</w:t>
            </w:r>
          </w:p>
        </w:tc>
        <w:tc>
          <w:tcPr>
            <w:tcW w:w="1056" w:type="dxa"/>
            <w:tcBorders>
              <w:top w:val="nil"/>
              <w:left w:val="single" w:color="auto" w:sz="4" w:space="0"/>
              <w:bottom w:val="single" w:color="auto" w:sz="4" w:space="0"/>
              <w:right w:val="single" w:color="auto" w:sz="4" w:space="0"/>
            </w:tcBorders>
            <w:shd w:val="clear" w:color="auto" w:fill="auto"/>
            <w:vAlign w:val="center"/>
          </w:tcPr>
          <w:p>
            <w:pPr>
              <w:pStyle w:val="105"/>
            </w:pPr>
            <w:r>
              <w:t xml:space="preserve">4 </w:t>
            </w:r>
            <w:r>
              <w:rPr>
                <w:rFonts w:cs="Arial"/>
              </w:rPr>
              <w:t>≤</w:t>
            </w:r>
            <w:r>
              <w:t xml:space="preserve"> ΔP &lt; 10</w:t>
            </w:r>
          </w:p>
        </w:tc>
        <w:tc>
          <w:tcPr>
            <w:tcW w:w="2156" w:type="dxa"/>
            <w:tcBorders>
              <w:top w:val="nil"/>
              <w:left w:val="nil"/>
              <w:bottom w:val="single" w:color="auto" w:sz="4" w:space="0"/>
              <w:right w:val="single" w:color="auto" w:sz="4" w:space="0"/>
            </w:tcBorders>
            <w:shd w:val="clear" w:color="auto" w:fill="auto"/>
            <w:vAlign w:val="center"/>
          </w:tcPr>
          <w:p>
            <w:pPr>
              <w:pStyle w:val="105"/>
              <w:rPr>
                <w:rFonts w:eastAsiaTheme="minorEastAsia"/>
              </w:rPr>
            </w:pPr>
            <w:r>
              <w:t>8.78 ± (4.7) Note 2</w:t>
            </w:r>
          </w:p>
        </w:tc>
      </w:tr>
      <w:tr>
        <w:tblPrEx>
          <w:tblCellMar>
            <w:top w:w="0" w:type="dxa"/>
            <w:left w:w="108" w:type="dxa"/>
            <w:bottom w:w="0" w:type="dxa"/>
            <w:right w:w="108" w:type="dxa"/>
          </w:tblCellMar>
        </w:tblPrEx>
        <w:trPr>
          <w:trHeight w:val="240" w:hRule="atLeast"/>
          <w:jc w:val="center"/>
        </w:trPr>
        <w:tc>
          <w:tcPr>
            <w:tcW w:w="1206" w:type="dxa"/>
            <w:tcBorders>
              <w:top w:val="nil"/>
              <w:left w:val="single" w:color="auto" w:sz="4" w:space="0"/>
              <w:bottom w:val="single" w:color="auto" w:sz="4" w:space="0"/>
              <w:right w:val="single" w:color="auto" w:sz="4" w:space="0"/>
            </w:tcBorders>
          </w:tcPr>
          <w:p>
            <w:pPr>
              <w:pStyle w:val="105"/>
            </w:pPr>
            <w:r>
              <w:t>Subframes after RB change</w:t>
            </w:r>
          </w:p>
        </w:tc>
        <w:tc>
          <w:tcPr>
            <w:tcW w:w="1112" w:type="dxa"/>
            <w:tcBorders>
              <w:top w:val="nil"/>
              <w:left w:val="single" w:color="auto" w:sz="4" w:space="0"/>
              <w:bottom w:val="single" w:color="auto" w:sz="4" w:space="0"/>
              <w:right w:val="single" w:color="auto" w:sz="4" w:space="0"/>
            </w:tcBorders>
          </w:tcPr>
          <w:p>
            <w:pPr>
              <w:pStyle w:val="103"/>
            </w:pPr>
            <w:r>
              <w:t>Fixed = 6</w:t>
            </w:r>
          </w:p>
        </w:tc>
        <w:tc>
          <w:tcPr>
            <w:tcW w:w="1107" w:type="dxa"/>
            <w:tcBorders>
              <w:top w:val="nil"/>
              <w:left w:val="single" w:color="auto" w:sz="4" w:space="0"/>
              <w:bottom w:val="single" w:color="auto" w:sz="4" w:space="0"/>
              <w:right w:val="single" w:color="auto" w:sz="4" w:space="0"/>
            </w:tcBorders>
          </w:tcPr>
          <w:p>
            <w:pPr>
              <w:pStyle w:val="103"/>
            </w:pPr>
            <w:r>
              <w:t>TPC=+1dB</w:t>
            </w:r>
          </w:p>
        </w:tc>
        <w:tc>
          <w:tcPr>
            <w:tcW w:w="1017" w:type="dxa"/>
            <w:tcBorders>
              <w:top w:val="nil"/>
              <w:left w:val="single" w:color="auto" w:sz="4" w:space="0"/>
              <w:bottom w:val="single" w:color="auto" w:sz="4" w:space="0"/>
              <w:right w:val="single" w:color="auto" w:sz="4" w:space="0"/>
            </w:tcBorders>
            <w:vAlign w:val="center"/>
          </w:tcPr>
          <w:p>
            <w:pPr>
              <w:pStyle w:val="105"/>
            </w:pPr>
            <w:r>
              <w:t>1</w:t>
            </w:r>
          </w:p>
        </w:tc>
        <w:tc>
          <w:tcPr>
            <w:tcW w:w="1056" w:type="dxa"/>
            <w:tcBorders>
              <w:top w:val="nil"/>
              <w:left w:val="single" w:color="auto" w:sz="4" w:space="0"/>
              <w:bottom w:val="single" w:color="auto" w:sz="4" w:space="0"/>
              <w:right w:val="single" w:color="auto" w:sz="4" w:space="0"/>
            </w:tcBorders>
            <w:shd w:val="clear" w:color="auto" w:fill="auto"/>
            <w:vAlign w:val="center"/>
          </w:tcPr>
          <w:p>
            <w:pPr>
              <w:pStyle w:val="105"/>
            </w:pPr>
            <w:r>
              <w:t>ΔP &lt; 2</w:t>
            </w:r>
          </w:p>
        </w:tc>
        <w:tc>
          <w:tcPr>
            <w:tcW w:w="2156" w:type="dxa"/>
            <w:tcBorders>
              <w:top w:val="nil"/>
              <w:left w:val="nil"/>
              <w:bottom w:val="single" w:color="auto" w:sz="4" w:space="0"/>
              <w:right w:val="single" w:color="auto" w:sz="4" w:space="0"/>
            </w:tcBorders>
            <w:shd w:val="clear" w:color="auto" w:fill="auto"/>
            <w:vAlign w:val="center"/>
          </w:tcPr>
          <w:p>
            <w:pPr>
              <w:pStyle w:val="105"/>
            </w:pPr>
            <w:r>
              <w:rPr>
                <w:rFonts w:cs="Arial"/>
              </w:rPr>
              <w:t>1 ± (1.7</w:t>
            </w:r>
            <w:r>
              <w:t>)</w:t>
            </w:r>
          </w:p>
        </w:tc>
      </w:tr>
      <w:tr>
        <w:tblPrEx>
          <w:tblCellMar>
            <w:top w:w="0" w:type="dxa"/>
            <w:left w:w="108" w:type="dxa"/>
            <w:bottom w:w="0" w:type="dxa"/>
            <w:right w:w="108" w:type="dxa"/>
          </w:tblCellMar>
        </w:tblPrEx>
        <w:trPr>
          <w:trHeight w:val="240" w:hRule="atLeast"/>
          <w:jc w:val="center"/>
        </w:trPr>
        <w:tc>
          <w:tcPr>
            <w:tcW w:w="7654" w:type="dxa"/>
            <w:gridSpan w:val="6"/>
            <w:tcBorders>
              <w:top w:val="single" w:color="auto" w:sz="4" w:space="0"/>
              <w:left w:val="single" w:color="auto" w:sz="4" w:space="0"/>
              <w:bottom w:val="single" w:color="auto" w:sz="4" w:space="0"/>
              <w:right w:val="single" w:color="auto" w:sz="4" w:space="0"/>
            </w:tcBorders>
          </w:tcPr>
          <w:p>
            <w:pPr>
              <w:pStyle w:val="118"/>
            </w:pPr>
            <w:r>
              <w:t>Note 1:</w:t>
            </w:r>
            <w:r>
              <w:tab/>
            </w:r>
            <w:r>
              <w:t>Position of RB change:</w:t>
            </w:r>
            <w:r>
              <w:br w:type="textWrapping"/>
            </w:r>
            <w:r>
              <w:t>Pattern A the position of RB uplink allocation change is after 10 active uplink subframes</w:t>
            </w:r>
            <w:r>
              <w:br w:type="textWrapping"/>
            </w:r>
            <w:r>
              <w:t>Pattern B the position of RB uplink allocation change is after 20 active uplink subframes</w:t>
            </w:r>
            <w:r>
              <w:br w:type="textWrapping"/>
            </w:r>
            <w:r>
              <w:t>Pattern C the position of RB uplink allocation change is after 30 active uplink subframes</w:t>
            </w:r>
          </w:p>
          <w:p>
            <w:pPr>
              <w:pStyle w:val="118"/>
            </w:pPr>
            <w:r>
              <w:t>Note 2:</w:t>
            </w:r>
            <w:r>
              <w:tab/>
            </w:r>
            <w:r>
              <w:t>When Note 3 does not apply.</w:t>
            </w:r>
          </w:p>
          <w:p>
            <w:pPr>
              <w:pStyle w:val="118"/>
            </w:pPr>
            <w:r>
              <w:t>Note 3:</w:t>
            </w:r>
            <w:r>
              <w:tab/>
            </w:r>
            <w:r>
              <w:t>N/A</w:t>
            </w:r>
          </w:p>
          <w:p>
            <w:pPr>
              <w:pStyle w:val="118"/>
            </w:pPr>
            <w:r>
              <w:t>Note 4:</w:t>
            </w:r>
            <w:r>
              <w:tab/>
            </w:r>
            <w:r>
              <w:t>N/A</w:t>
            </w:r>
          </w:p>
          <w:p>
            <w:pPr>
              <w:pStyle w:val="118"/>
            </w:pPr>
            <w:r>
              <w:t>Note 5:</w:t>
            </w:r>
            <w:r>
              <w:tab/>
            </w:r>
            <w:r>
              <w:t>For extreme conditions an additional ± 2.0 dB relaxation is allowed.</w:t>
            </w:r>
          </w:p>
          <w:p>
            <w:pPr>
              <w:pStyle w:val="118"/>
            </w:pPr>
            <w:r>
              <w:t>Note 6:</w:t>
            </w:r>
            <w:r>
              <w:tab/>
            </w:r>
            <w:r>
              <w:t>The starting resource block shall be RB# 0.</w:t>
            </w:r>
          </w:p>
        </w:tc>
      </w:tr>
    </w:tbl>
    <w:p/>
    <w:p>
      <w:pPr>
        <w:pStyle w:val="113"/>
      </w:pPr>
      <w:r>
        <w:t>Table 6.3A.4.2.5-2: Test Requirements Relative Power Tolerance for Transmission (normal conditions – Note 5) channel bandwidth 1.4MHz (ramping down)</w:t>
      </w:r>
    </w:p>
    <w:tbl>
      <w:tblPr>
        <w:tblStyle w:val="89"/>
        <w:tblW w:w="7512" w:type="dxa"/>
        <w:jc w:val="center"/>
        <w:tblLayout w:type="autofit"/>
        <w:tblCellMar>
          <w:top w:w="0" w:type="dxa"/>
          <w:left w:w="108" w:type="dxa"/>
          <w:bottom w:w="0" w:type="dxa"/>
          <w:right w:w="108" w:type="dxa"/>
        </w:tblCellMar>
      </w:tblPr>
      <w:tblGrid>
        <w:gridCol w:w="1206"/>
        <w:gridCol w:w="1112"/>
        <w:gridCol w:w="1107"/>
        <w:gridCol w:w="1017"/>
        <w:gridCol w:w="1056"/>
        <w:gridCol w:w="2014"/>
      </w:tblGrid>
      <w:tr>
        <w:tblPrEx>
          <w:tblCellMar>
            <w:top w:w="0" w:type="dxa"/>
            <w:left w:w="108" w:type="dxa"/>
            <w:bottom w:w="0" w:type="dxa"/>
            <w:right w:w="108" w:type="dxa"/>
          </w:tblCellMar>
        </w:tblPrEx>
        <w:trPr>
          <w:trHeight w:val="240" w:hRule="atLeast"/>
          <w:jc w:val="center"/>
        </w:trPr>
        <w:tc>
          <w:tcPr>
            <w:tcW w:w="1206" w:type="dxa"/>
            <w:tcBorders>
              <w:top w:val="single" w:color="auto" w:sz="4" w:space="0"/>
              <w:left w:val="single" w:color="auto" w:sz="4" w:space="0"/>
              <w:bottom w:val="nil"/>
              <w:right w:val="single" w:color="000000" w:sz="4" w:space="0"/>
            </w:tcBorders>
          </w:tcPr>
          <w:p>
            <w:pPr>
              <w:pStyle w:val="104"/>
            </w:pPr>
            <w:r>
              <w:t>Sub-test (ramp down)</w:t>
            </w:r>
          </w:p>
        </w:tc>
        <w:tc>
          <w:tcPr>
            <w:tcW w:w="1112" w:type="dxa"/>
            <w:tcBorders>
              <w:top w:val="single" w:color="auto" w:sz="4" w:space="0"/>
              <w:left w:val="single" w:color="auto" w:sz="4" w:space="0"/>
              <w:bottom w:val="nil"/>
              <w:right w:val="single" w:color="auto" w:sz="4" w:space="0"/>
            </w:tcBorders>
          </w:tcPr>
          <w:p>
            <w:pPr>
              <w:pStyle w:val="104"/>
            </w:pPr>
            <w:r>
              <w:t>Uplink RB allocation</w:t>
            </w:r>
          </w:p>
        </w:tc>
        <w:tc>
          <w:tcPr>
            <w:tcW w:w="1107" w:type="dxa"/>
            <w:tcBorders>
              <w:top w:val="single" w:color="auto" w:sz="4" w:space="0"/>
              <w:left w:val="single" w:color="auto" w:sz="4" w:space="0"/>
              <w:bottom w:val="nil"/>
              <w:right w:val="single" w:color="auto" w:sz="4" w:space="0"/>
            </w:tcBorders>
          </w:tcPr>
          <w:p>
            <w:pPr>
              <w:pStyle w:val="104"/>
            </w:pPr>
            <w:r>
              <w:t>TPC command</w:t>
            </w:r>
          </w:p>
        </w:tc>
        <w:tc>
          <w:tcPr>
            <w:tcW w:w="1017" w:type="dxa"/>
            <w:tcBorders>
              <w:top w:val="single" w:color="auto" w:sz="4" w:space="0"/>
              <w:left w:val="single" w:color="auto" w:sz="4" w:space="0"/>
              <w:bottom w:val="nil"/>
              <w:right w:val="single" w:color="auto" w:sz="4" w:space="0"/>
            </w:tcBorders>
            <w:vAlign w:val="center"/>
          </w:tcPr>
          <w:p>
            <w:pPr>
              <w:pStyle w:val="104"/>
            </w:pPr>
            <w:r>
              <w:t>Expected power step size (down)</w:t>
            </w:r>
          </w:p>
        </w:tc>
        <w:tc>
          <w:tcPr>
            <w:tcW w:w="1056" w:type="dxa"/>
            <w:tcBorders>
              <w:top w:val="single" w:color="auto" w:sz="4" w:space="0"/>
              <w:left w:val="single" w:color="auto" w:sz="4" w:space="0"/>
              <w:bottom w:val="nil"/>
              <w:right w:val="single" w:color="000000" w:sz="4" w:space="0"/>
            </w:tcBorders>
            <w:shd w:val="clear" w:color="auto" w:fill="auto"/>
            <w:vAlign w:val="center"/>
          </w:tcPr>
          <w:p>
            <w:pPr>
              <w:pStyle w:val="104"/>
            </w:pPr>
            <w:r>
              <w:t>Power step size range (down)</w:t>
            </w:r>
          </w:p>
        </w:tc>
        <w:tc>
          <w:tcPr>
            <w:tcW w:w="2014" w:type="dxa"/>
            <w:tcBorders>
              <w:top w:val="single" w:color="auto" w:sz="4" w:space="0"/>
              <w:left w:val="nil"/>
              <w:bottom w:val="nil"/>
              <w:right w:val="single" w:color="auto" w:sz="4" w:space="0"/>
            </w:tcBorders>
            <w:shd w:val="clear" w:color="auto" w:fill="auto"/>
            <w:vAlign w:val="center"/>
          </w:tcPr>
          <w:p>
            <w:pPr>
              <w:pStyle w:val="104"/>
            </w:pPr>
            <w:r>
              <w:t>PUSCH</w:t>
            </w:r>
          </w:p>
        </w:tc>
      </w:tr>
      <w:tr>
        <w:tblPrEx>
          <w:tblCellMar>
            <w:top w:w="0" w:type="dxa"/>
            <w:left w:w="108" w:type="dxa"/>
            <w:bottom w:w="0" w:type="dxa"/>
            <w:right w:w="108" w:type="dxa"/>
          </w:tblCellMar>
        </w:tblPrEx>
        <w:trPr>
          <w:trHeight w:val="255" w:hRule="atLeast"/>
          <w:jc w:val="center"/>
        </w:trPr>
        <w:tc>
          <w:tcPr>
            <w:tcW w:w="1206" w:type="dxa"/>
            <w:tcBorders>
              <w:top w:val="nil"/>
              <w:left w:val="single" w:color="auto" w:sz="4" w:space="0"/>
              <w:bottom w:val="single" w:color="auto" w:sz="4" w:space="0"/>
              <w:right w:val="single" w:color="000000" w:sz="4" w:space="0"/>
            </w:tcBorders>
          </w:tcPr>
          <w:p>
            <w:pPr>
              <w:pStyle w:val="103"/>
            </w:pPr>
          </w:p>
        </w:tc>
        <w:tc>
          <w:tcPr>
            <w:tcW w:w="1112" w:type="dxa"/>
            <w:tcBorders>
              <w:top w:val="nil"/>
              <w:left w:val="single" w:color="auto" w:sz="4" w:space="0"/>
              <w:bottom w:val="single" w:color="auto" w:sz="4" w:space="0"/>
              <w:right w:val="single" w:color="auto" w:sz="4" w:space="0"/>
            </w:tcBorders>
          </w:tcPr>
          <w:p>
            <w:pPr>
              <w:pStyle w:val="103"/>
            </w:pPr>
          </w:p>
        </w:tc>
        <w:tc>
          <w:tcPr>
            <w:tcW w:w="1107" w:type="dxa"/>
            <w:tcBorders>
              <w:top w:val="nil"/>
              <w:left w:val="single" w:color="auto" w:sz="4" w:space="0"/>
              <w:bottom w:val="single" w:color="auto" w:sz="4" w:space="0"/>
              <w:right w:val="single" w:color="auto" w:sz="4" w:space="0"/>
            </w:tcBorders>
          </w:tcPr>
          <w:p>
            <w:pPr>
              <w:pStyle w:val="103"/>
            </w:pPr>
          </w:p>
        </w:tc>
        <w:tc>
          <w:tcPr>
            <w:tcW w:w="1017" w:type="dxa"/>
            <w:tcBorders>
              <w:top w:val="nil"/>
              <w:left w:val="single" w:color="auto" w:sz="4" w:space="0"/>
              <w:bottom w:val="single" w:color="auto" w:sz="4" w:space="0"/>
              <w:right w:val="single" w:color="auto" w:sz="4" w:space="0"/>
            </w:tcBorders>
            <w:vAlign w:val="center"/>
          </w:tcPr>
          <w:p>
            <w:pPr>
              <w:pStyle w:val="104"/>
            </w:pPr>
            <w:r>
              <w:t>ΔP [dB]</w:t>
            </w:r>
          </w:p>
        </w:tc>
        <w:tc>
          <w:tcPr>
            <w:tcW w:w="1056" w:type="dxa"/>
            <w:tcBorders>
              <w:top w:val="nil"/>
              <w:left w:val="single" w:color="auto" w:sz="4" w:space="0"/>
              <w:bottom w:val="single" w:color="auto" w:sz="4" w:space="0"/>
              <w:right w:val="single" w:color="000000" w:sz="4" w:space="0"/>
            </w:tcBorders>
            <w:shd w:val="clear" w:color="auto" w:fill="auto"/>
            <w:vAlign w:val="center"/>
          </w:tcPr>
          <w:p>
            <w:pPr>
              <w:pStyle w:val="104"/>
            </w:pPr>
            <w:r>
              <w:t>ΔP [dB]</w:t>
            </w:r>
          </w:p>
        </w:tc>
        <w:tc>
          <w:tcPr>
            <w:tcW w:w="2014" w:type="dxa"/>
            <w:tcBorders>
              <w:top w:val="nil"/>
              <w:left w:val="nil"/>
              <w:bottom w:val="single" w:color="auto" w:sz="4" w:space="0"/>
              <w:right w:val="single" w:color="auto" w:sz="4" w:space="0"/>
            </w:tcBorders>
            <w:shd w:val="clear" w:color="auto" w:fill="auto"/>
            <w:vAlign w:val="center"/>
          </w:tcPr>
          <w:p>
            <w:pPr>
              <w:pStyle w:val="104"/>
            </w:pPr>
            <w:r>
              <w:t>[dB]</w:t>
            </w:r>
          </w:p>
        </w:tc>
      </w:tr>
      <w:tr>
        <w:tblPrEx>
          <w:tblCellMar>
            <w:top w:w="0" w:type="dxa"/>
            <w:left w:w="108" w:type="dxa"/>
            <w:bottom w:w="0" w:type="dxa"/>
            <w:right w:w="108" w:type="dxa"/>
          </w:tblCellMar>
        </w:tblPrEx>
        <w:trPr>
          <w:trHeight w:val="240" w:hRule="atLeast"/>
          <w:jc w:val="center"/>
        </w:trPr>
        <w:tc>
          <w:tcPr>
            <w:tcW w:w="1206" w:type="dxa"/>
            <w:tcBorders>
              <w:top w:val="single" w:color="auto" w:sz="4" w:space="0"/>
              <w:left w:val="single" w:color="auto" w:sz="4" w:space="0"/>
              <w:bottom w:val="single" w:color="auto" w:sz="4" w:space="0"/>
              <w:right w:val="single" w:color="auto" w:sz="4" w:space="0"/>
            </w:tcBorders>
          </w:tcPr>
          <w:p>
            <w:pPr>
              <w:pStyle w:val="105"/>
            </w:pPr>
            <w:r>
              <w:t>Subframes before RB change</w:t>
            </w:r>
          </w:p>
        </w:tc>
        <w:tc>
          <w:tcPr>
            <w:tcW w:w="1112" w:type="dxa"/>
            <w:tcBorders>
              <w:top w:val="single" w:color="auto" w:sz="4" w:space="0"/>
              <w:left w:val="single" w:color="auto" w:sz="4" w:space="0"/>
              <w:bottom w:val="single" w:color="auto" w:sz="4" w:space="0"/>
              <w:right w:val="single" w:color="auto" w:sz="4" w:space="0"/>
            </w:tcBorders>
          </w:tcPr>
          <w:p>
            <w:pPr>
              <w:pStyle w:val="103"/>
            </w:pPr>
            <w:r>
              <w:t>Fixed = 5</w:t>
            </w:r>
          </w:p>
        </w:tc>
        <w:tc>
          <w:tcPr>
            <w:tcW w:w="1107" w:type="dxa"/>
            <w:tcBorders>
              <w:top w:val="single" w:color="auto" w:sz="4" w:space="0"/>
              <w:left w:val="single" w:color="auto" w:sz="4" w:space="0"/>
              <w:bottom w:val="single" w:color="auto" w:sz="4" w:space="0"/>
              <w:right w:val="single" w:color="auto" w:sz="4" w:space="0"/>
            </w:tcBorders>
          </w:tcPr>
          <w:p>
            <w:pPr>
              <w:pStyle w:val="103"/>
            </w:pPr>
            <w:r>
              <w:t>TPC=-1dB</w:t>
            </w:r>
          </w:p>
        </w:tc>
        <w:tc>
          <w:tcPr>
            <w:tcW w:w="1017"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05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ΔP &lt; 2</w:t>
            </w:r>
          </w:p>
        </w:tc>
        <w:tc>
          <w:tcPr>
            <w:tcW w:w="2014" w:type="dxa"/>
            <w:tcBorders>
              <w:top w:val="single" w:color="auto" w:sz="4" w:space="0"/>
              <w:left w:val="nil"/>
              <w:bottom w:val="single" w:color="auto" w:sz="4" w:space="0"/>
              <w:right w:val="single" w:color="auto" w:sz="4" w:space="0"/>
            </w:tcBorders>
            <w:shd w:val="clear" w:color="auto" w:fill="auto"/>
            <w:vAlign w:val="center"/>
          </w:tcPr>
          <w:p>
            <w:pPr>
              <w:pStyle w:val="105"/>
            </w:pPr>
            <w:r>
              <w:rPr>
                <w:rFonts w:cs="Arial"/>
              </w:rPr>
              <w:t>1 ± (1.7</w:t>
            </w:r>
            <w:r>
              <w:t>)</w:t>
            </w:r>
          </w:p>
        </w:tc>
      </w:tr>
      <w:tr>
        <w:tblPrEx>
          <w:tblCellMar>
            <w:top w:w="0" w:type="dxa"/>
            <w:left w:w="108" w:type="dxa"/>
            <w:bottom w:w="0" w:type="dxa"/>
            <w:right w:w="108" w:type="dxa"/>
          </w:tblCellMar>
        </w:tblPrEx>
        <w:trPr>
          <w:trHeight w:val="240" w:hRule="atLeast"/>
          <w:jc w:val="center"/>
        </w:trPr>
        <w:tc>
          <w:tcPr>
            <w:tcW w:w="1206" w:type="dxa"/>
            <w:tcBorders>
              <w:top w:val="nil"/>
              <w:left w:val="single" w:color="auto" w:sz="4" w:space="0"/>
              <w:bottom w:val="single" w:color="auto" w:sz="4" w:space="0"/>
              <w:right w:val="single" w:color="auto" w:sz="4" w:space="0"/>
            </w:tcBorders>
          </w:tcPr>
          <w:p>
            <w:pPr>
              <w:pStyle w:val="105"/>
            </w:pPr>
            <w:r>
              <w:t>RB change</w:t>
            </w:r>
          </w:p>
        </w:tc>
        <w:tc>
          <w:tcPr>
            <w:tcW w:w="1112" w:type="dxa"/>
            <w:tcBorders>
              <w:top w:val="nil"/>
              <w:left w:val="single" w:color="auto" w:sz="4" w:space="0"/>
              <w:bottom w:val="single" w:color="auto" w:sz="4" w:space="0"/>
              <w:right w:val="single" w:color="auto" w:sz="4" w:space="0"/>
            </w:tcBorders>
          </w:tcPr>
          <w:p>
            <w:pPr>
              <w:pStyle w:val="103"/>
            </w:pPr>
            <w:r>
              <w:t>Change from 5 to 1 RBs</w:t>
            </w:r>
          </w:p>
        </w:tc>
        <w:tc>
          <w:tcPr>
            <w:tcW w:w="1107" w:type="dxa"/>
            <w:tcBorders>
              <w:top w:val="nil"/>
              <w:left w:val="single" w:color="auto" w:sz="4" w:space="0"/>
              <w:bottom w:val="single" w:color="auto" w:sz="4" w:space="0"/>
              <w:right w:val="single" w:color="auto" w:sz="4" w:space="0"/>
            </w:tcBorders>
          </w:tcPr>
          <w:p>
            <w:pPr>
              <w:pStyle w:val="103"/>
            </w:pPr>
            <w:r>
              <w:t>TPC=-1dB</w:t>
            </w:r>
          </w:p>
        </w:tc>
        <w:tc>
          <w:tcPr>
            <w:tcW w:w="1017" w:type="dxa"/>
            <w:tcBorders>
              <w:top w:val="nil"/>
              <w:left w:val="single" w:color="auto" w:sz="4" w:space="0"/>
              <w:bottom w:val="single" w:color="auto" w:sz="4" w:space="0"/>
              <w:right w:val="single" w:color="auto" w:sz="4" w:space="0"/>
            </w:tcBorders>
            <w:vAlign w:val="center"/>
          </w:tcPr>
          <w:p>
            <w:pPr>
              <w:pStyle w:val="105"/>
            </w:pPr>
            <w:r>
              <w:t>7.99</w:t>
            </w:r>
          </w:p>
        </w:tc>
        <w:tc>
          <w:tcPr>
            <w:tcW w:w="1056" w:type="dxa"/>
            <w:tcBorders>
              <w:top w:val="nil"/>
              <w:left w:val="single" w:color="auto" w:sz="4" w:space="0"/>
              <w:bottom w:val="single" w:color="auto" w:sz="4" w:space="0"/>
              <w:right w:val="single" w:color="auto" w:sz="4" w:space="0"/>
            </w:tcBorders>
            <w:shd w:val="clear" w:color="auto" w:fill="auto"/>
            <w:vAlign w:val="center"/>
          </w:tcPr>
          <w:p>
            <w:pPr>
              <w:pStyle w:val="105"/>
            </w:pPr>
            <w:r>
              <w:t xml:space="preserve">4 </w:t>
            </w:r>
            <w:r>
              <w:rPr>
                <w:rFonts w:cs="Arial"/>
              </w:rPr>
              <w:t>≤</w:t>
            </w:r>
            <w:r>
              <w:t xml:space="preserve"> ΔP &lt; 10</w:t>
            </w:r>
          </w:p>
        </w:tc>
        <w:tc>
          <w:tcPr>
            <w:tcW w:w="2014" w:type="dxa"/>
            <w:tcBorders>
              <w:top w:val="nil"/>
              <w:left w:val="nil"/>
              <w:bottom w:val="single" w:color="auto" w:sz="4" w:space="0"/>
              <w:right w:val="single" w:color="auto" w:sz="4" w:space="0"/>
            </w:tcBorders>
            <w:shd w:val="clear" w:color="auto" w:fill="auto"/>
            <w:vAlign w:val="center"/>
          </w:tcPr>
          <w:p>
            <w:pPr>
              <w:pStyle w:val="105"/>
              <w:rPr>
                <w:rFonts w:eastAsiaTheme="minorEastAsia"/>
              </w:rPr>
            </w:pPr>
            <w:r>
              <w:t>7.99 ± (4.7) Note 2</w:t>
            </w:r>
          </w:p>
        </w:tc>
      </w:tr>
      <w:tr>
        <w:tblPrEx>
          <w:tblCellMar>
            <w:top w:w="0" w:type="dxa"/>
            <w:left w:w="108" w:type="dxa"/>
            <w:bottom w:w="0" w:type="dxa"/>
            <w:right w:w="108" w:type="dxa"/>
          </w:tblCellMar>
        </w:tblPrEx>
        <w:trPr>
          <w:trHeight w:val="240" w:hRule="atLeast"/>
          <w:jc w:val="center"/>
        </w:trPr>
        <w:tc>
          <w:tcPr>
            <w:tcW w:w="1206" w:type="dxa"/>
            <w:tcBorders>
              <w:top w:val="nil"/>
              <w:left w:val="single" w:color="auto" w:sz="4" w:space="0"/>
              <w:bottom w:val="single" w:color="auto" w:sz="4" w:space="0"/>
              <w:right w:val="single" w:color="auto" w:sz="4" w:space="0"/>
            </w:tcBorders>
          </w:tcPr>
          <w:p>
            <w:pPr>
              <w:pStyle w:val="105"/>
            </w:pPr>
            <w:r>
              <w:t>Subframes after RB change</w:t>
            </w:r>
          </w:p>
        </w:tc>
        <w:tc>
          <w:tcPr>
            <w:tcW w:w="1112" w:type="dxa"/>
            <w:tcBorders>
              <w:top w:val="nil"/>
              <w:left w:val="single" w:color="auto" w:sz="4" w:space="0"/>
              <w:bottom w:val="single" w:color="auto" w:sz="4" w:space="0"/>
              <w:right w:val="single" w:color="auto" w:sz="4" w:space="0"/>
            </w:tcBorders>
          </w:tcPr>
          <w:p>
            <w:pPr>
              <w:pStyle w:val="103"/>
            </w:pPr>
            <w:r>
              <w:t>Fixed = 1</w:t>
            </w:r>
          </w:p>
        </w:tc>
        <w:tc>
          <w:tcPr>
            <w:tcW w:w="1107" w:type="dxa"/>
            <w:tcBorders>
              <w:top w:val="nil"/>
              <w:left w:val="single" w:color="auto" w:sz="4" w:space="0"/>
              <w:bottom w:val="single" w:color="auto" w:sz="4" w:space="0"/>
              <w:right w:val="single" w:color="auto" w:sz="4" w:space="0"/>
            </w:tcBorders>
          </w:tcPr>
          <w:p>
            <w:pPr>
              <w:pStyle w:val="103"/>
            </w:pPr>
            <w:r>
              <w:t>TPC=-1dB</w:t>
            </w:r>
          </w:p>
        </w:tc>
        <w:tc>
          <w:tcPr>
            <w:tcW w:w="1017" w:type="dxa"/>
            <w:tcBorders>
              <w:top w:val="nil"/>
              <w:left w:val="single" w:color="auto" w:sz="4" w:space="0"/>
              <w:bottom w:val="single" w:color="auto" w:sz="4" w:space="0"/>
              <w:right w:val="single" w:color="auto" w:sz="4" w:space="0"/>
            </w:tcBorders>
            <w:vAlign w:val="center"/>
          </w:tcPr>
          <w:p>
            <w:pPr>
              <w:pStyle w:val="105"/>
            </w:pPr>
            <w:r>
              <w:t>1</w:t>
            </w:r>
          </w:p>
        </w:tc>
        <w:tc>
          <w:tcPr>
            <w:tcW w:w="1056" w:type="dxa"/>
            <w:tcBorders>
              <w:top w:val="nil"/>
              <w:left w:val="single" w:color="auto" w:sz="4" w:space="0"/>
              <w:bottom w:val="single" w:color="auto" w:sz="4" w:space="0"/>
              <w:right w:val="single" w:color="auto" w:sz="4" w:space="0"/>
            </w:tcBorders>
            <w:shd w:val="clear" w:color="auto" w:fill="auto"/>
            <w:vAlign w:val="center"/>
          </w:tcPr>
          <w:p>
            <w:pPr>
              <w:pStyle w:val="105"/>
            </w:pPr>
            <w:r>
              <w:t>ΔP &lt; 2</w:t>
            </w:r>
          </w:p>
        </w:tc>
        <w:tc>
          <w:tcPr>
            <w:tcW w:w="2014" w:type="dxa"/>
            <w:tcBorders>
              <w:top w:val="nil"/>
              <w:left w:val="nil"/>
              <w:bottom w:val="single" w:color="auto" w:sz="4" w:space="0"/>
              <w:right w:val="single" w:color="auto" w:sz="4" w:space="0"/>
            </w:tcBorders>
            <w:shd w:val="clear" w:color="auto" w:fill="auto"/>
            <w:vAlign w:val="center"/>
          </w:tcPr>
          <w:p>
            <w:pPr>
              <w:pStyle w:val="105"/>
            </w:pPr>
            <w:r>
              <w:rPr>
                <w:rFonts w:cs="Arial"/>
              </w:rPr>
              <w:t>1 ± (1.7</w:t>
            </w:r>
            <w:r>
              <w:t>)</w:t>
            </w:r>
          </w:p>
        </w:tc>
      </w:tr>
      <w:tr>
        <w:tblPrEx>
          <w:tblCellMar>
            <w:top w:w="0" w:type="dxa"/>
            <w:left w:w="108" w:type="dxa"/>
            <w:bottom w:w="0" w:type="dxa"/>
            <w:right w:w="108" w:type="dxa"/>
          </w:tblCellMar>
        </w:tblPrEx>
        <w:trPr>
          <w:trHeight w:val="240" w:hRule="atLeast"/>
          <w:jc w:val="center"/>
        </w:trPr>
        <w:tc>
          <w:tcPr>
            <w:tcW w:w="7512" w:type="dxa"/>
            <w:gridSpan w:val="6"/>
            <w:tcBorders>
              <w:top w:val="single" w:color="auto" w:sz="4" w:space="0"/>
              <w:left w:val="single" w:color="auto" w:sz="4" w:space="0"/>
              <w:bottom w:val="single" w:color="auto" w:sz="4" w:space="0"/>
              <w:right w:val="single" w:color="auto" w:sz="4" w:space="0"/>
            </w:tcBorders>
          </w:tcPr>
          <w:p>
            <w:pPr>
              <w:pStyle w:val="118"/>
            </w:pPr>
            <w:r>
              <w:t>Note 1:</w:t>
            </w:r>
            <w:r>
              <w:tab/>
            </w:r>
            <w:r>
              <w:t>Position of RB change:</w:t>
            </w:r>
            <w:r>
              <w:br w:type="textWrapping"/>
            </w:r>
            <w:r>
              <w:t>Pattern A the position of RB uplink allocation change is after 6 active uplink subframes</w:t>
            </w:r>
            <w:r>
              <w:br w:type="textWrapping"/>
            </w:r>
            <w:r>
              <w:t>Pattern B the position of RB uplink allocation change is after 16 active uplink subframes</w:t>
            </w:r>
            <w:r>
              <w:br w:type="textWrapping"/>
            </w:r>
            <w:r>
              <w:t>Pattern C the position of RB uplink allocation change is after 26 active uplink subframes</w:t>
            </w:r>
          </w:p>
          <w:p>
            <w:pPr>
              <w:pStyle w:val="118"/>
            </w:pPr>
            <w:r>
              <w:t>Note 2:</w:t>
            </w:r>
            <w:r>
              <w:tab/>
            </w:r>
            <w:r>
              <w:t>When Note 4 does not apply.</w:t>
            </w:r>
          </w:p>
          <w:p>
            <w:pPr>
              <w:pStyle w:val="118"/>
            </w:pPr>
            <w:r>
              <w:t>Note 3:</w:t>
            </w:r>
            <w:r>
              <w:tab/>
            </w:r>
            <w:r>
              <w:t>N/A</w:t>
            </w:r>
          </w:p>
          <w:p>
            <w:pPr>
              <w:pStyle w:val="118"/>
            </w:pPr>
            <w:r>
              <w:t>Note 4:</w:t>
            </w:r>
            <w:r>
              <w:tab/>
            </w:r>
            <w:r>
              <w:t>N/A</w:t>
            </w:r>
          </w:p>
          <w:p>
            <w:pPr>
              <w:pStyle w:val="118"/>
            </w:pPr>
            <w:r>
              <w:t>Note 5:</w:t>
            </w:r>
            <w:r>
              <w:tab/>
            </w:r>
            <w:r>
              <w:t>For extreme conditions an additional ± 2.0 dB relaxation is allowed.</w:t>
            </w:r>
          </w:p>
          <w:p>
            <w:pPr>
              <w:pStyle w:val="118"/>
            </w:pPr>
            <w:r>
              <w:t>Note 6:</w:t>
            </w:r>
            <w:r>
              <w:tab/>
            </w:r>
            <w:r>
              <w:t>The starting resource block shall be RB# 0.</w:t>
            </w:r>
          </w:p>
        </w:tc>
      </w:tr>
    </w:tbl>
    <w:p/>
    <w:p>
      <w:pPr>
        <w:pStyle w:val="113"/>
      </w:pPr>
      <w:r>
        <w:t>Table 6.3A.4.2.5-3: Test Requirements Relative Power Tolerance for Transmission</w:t>
      </w:r>
      <w:r>
        <w:br w:type="textWrapping"/>
      </w:r>
      <w:r>
        <w:t>(normal conditions – Note 5) (Alternating pattern)</w:t>
      </w:r>
    </w:p>
    <w:tbl>
      <w:tblPr>
        <w:tblStyle w:val="89"/>
        <w:tblW w:w="7938" w:type="dxa"/>
        <w:jc w:val="center"/>
        <w:tblLayout w:type="autofit"/>
        <w:tblCellMar>
          <w:top w:w="0" w:type="dxa"/>
          <w:left w:w="108" w:type="dxa"/>
          <w:bottom w:w="0" w:type="dxa"/>
          <w:right w:w="108" w:type="dxa"/>
        </w:tblCellMar>
      </w:tblPr>
      <w:tblGrid>
        <w:gridCol w:w="1159"/>
        <w:gridCol w:w="1272"/>
        <w:gridCol w:w="1111"/>
        <w:gridCol w:w="1017"/>
        <w:gridCol w:w="1037"/>
        <w:gridCol w:w="2342"/>
      </w:tblGrid>
      <w:tr>
        <w:tblPrEx>
          <w:tblCellMar>
            <w:top w:w="0" w:type="dxa"/>
            <w:left w:w="108" w:type="dxa"/>
            <w:bottom w:w="0" w:type="dxa"/>
            <w:right w:w="108" w:type="dxa"/>
          </w:tblCellMar>
        </w:tblPrEx>
        <w:trPr>
          <w:trHeight w:val="240" w:hRule="atLeast"/>
          <w:jc w:val="center"/>
        </w:trPr>
        <w:tc>
          <w:tcPr>
            <w:tcW w:w="1159" w:type="dxa"/>
            <w:tcBorders>
              <w:top w:val="single" w:color="auto" w:sz="4" w:space="0"/>
              <w:left w:val="single" w:color="auto" w:sz="4" w:space="0"/>
              <w:bottom w:val="nil"/>
              <w:right w:val="single" w:color="000000" w:sz="4" w:space="0"/>
            </w:tcBorders>
          </w:tcPr>
          <w:p>
            <w:pPr>
              <w:pStyle w:val="104"/>
            </w:pPr>
            <w:r>
              <w:t>Sub-test</w:t>
            </w:r>
          </w:p>
        </w:tc>
        <w:tc>
          <w:tcPr>
            <w:tcW w:w="1272" w:type="dxa"/>
            <w:tcBorders>
              <w:top w:val="single" w:color="auto" w:sz="4" w:space="0"/>
              <w:left w:val="single" w:color="auto" w:sz="4" w:space="0"/>
              <w:bottom w:val="nil"/>
              <w:right w:val="single" w:color="auto" w:sz="4" w:space="0"/>
            </w:tcBorders>
          </w:tcPr>
          <w:p>
            <w:pPr>
              <w:pStyle w:val="104"/>
            </w:pPr>
            <w:r>
              <w:t>Uplink RB allocation</w:t>
            </w:r>
          </w:p>
        </w:tc>
        <w:tc>
          <w:tcPr>
            <w:tcW w:w="1111" w:type="dxa"/>
            <w:tcBorders>
              <w:top w:val="single" w:color="auto" w:sz="4" w:space="0"/>
              <w:left w:val="single" w:color="auto" w:sz="4" w:space="0"/>
              <w:bottom w:val="nil"/>
              <w:right w:val="single" w:color="auto" w:sz="4" w:space="0"/>
            </w:tcBorders>
          </w:tcPr>
          <w:p>
            <w:pPr>
              <w:pStyle w:val="104"/>
            </w:pPr>
            <w:r>
              <w:t>TPC command</w:t>
            </w:r>
          </w:p>
        </w:tc>
        <w:tc>
          <w:tcPr>
            <w:tcW w:w="1017" w:type="dxa"/>
            <w:tcBorders>
              <w:top w:val="single" w:color="auto" w:sz="4" w:space="0"/>
              <w:left w:val="single" w:color="auto" w:sz="4" w:space="0"/>
              <w:bottom w:val="nil"/>
              <w:right w:val="single" w:color="auto" w:sz="4" w:space="0"/>
            </w:tcBorders>
            <w:vAlign w:val="center"/>
          </w:tcPr>
          <w:p>
            <w:pPr>
              <w:pStyle w:val="104"/>
            </w:pPr>
            <w:r>
              <w:t>Expected power step size (Up or down)</w:t>
            </w:r>
          </w:p>
        </w:tc>
        <w:tc>
          <w:tcPr>
            <w:tcW w:w="1037" w:type="dxa"/>
            <w:tcBorders>
              <w:top w:val="single" w:color="auto" w:sz="4" w:space="0"/>
              <w:left w:val="single" w:color="auto" w:sz="4" w:space="0"/>
              <w:bottom w:val="nil"/>
              <w:right w:val="single" w:color="000000" w:sz="4" w:space="0"/>
            </w:tcBorders>
            <w:shd w:val="clear" w:color="auto" w:fill="auto"/>
            <w:vAlign w:val="center"/>
          </w:tcPr>
          <w:p>
            <w:pPr>
              <w:pStyle w:val="104"/>
            </w:pPr>
            <w:r>
              <w:t>Power step size range (Up or down)</w:t>
            </w:r>
          </w:p>
        </w:tc>
        <w:tc>
          <w:tcPr>
            <w:tcW w:w="2342" w:type="dxa"/>
            <w:tcBorders>
              <w:top w:val="single" w:color="auto" w:sz="4" w:space="0"/>
              <w:left w:val="nil"/>
              <w:bottom w:val="nil"/>
              <w:right w:val="single" w:color="auto" w:sz="4" w:space="0"/>
            </w:tcBorders>
            <w:shd w:val="clear" w:color="auto" w:fill="auto"/>
            <w:vAlign w:val="center"/>
          </w:tcPr>
          <w:p>
            <w:pPr>
              <w:pStyle w:val="104"/>
            </w:pPr>
            <w:r>
              <w:t>PUSCH</w:t>
            </w:r>
          </w:p>
        </w:tc>
      </w:tr>
      <w:tr>
        <w:tblPrEx>
          <w:tblCellMar>
            <w:top w:w="0" w:type="dxa"/>
            <w:left w:w="108" w:type="dxa"/>
            <w:bottom w:w="0" w:type="dxa"/>
            <w:right w:w="108" w:type="dxa"/>
          </w:tblCellMar>
        </w:tblPrEx>
        <w:trPr>
          <w:trHeight w:val="255" w:hRule="atLeast"/>
          <w:jc w:val="center"/>
        </w:trPr>
        <w:tc>
          <w:tcPr>
            <w:tcW w:w="1159" w:type="dxa"/>
            <w:tcBorders>
              <w:top w:val="nil"/>
              <w:left w:val="single" w:color="auto" w:sz="4" w:space="0"/>
              <w:bottom w:val="single" w:color="auto" w:sz="4" w:space="0"/>
              <w:right w:val="single" w:color="000000" w:sz="4" w:space="0"/>
            </w:tcBorders>
          </w:tcPr>
          <w:p>
            <w:pPr>
              <w:pStyle w:val="103"/>
            </w:pPr>
          </w:p>
        </w:tc>
        <w:tc>
          <w:tcPr>
            <w:tcW w:w="1272" w:type="dxa"/>
            <w:tcBorders>
              <w:top w:val="nil"/>
              <w:left w:val="single" w:color="auto" w:sz="4" w:space="0"/>
              <w:bottom w:val="single" w:color="auto" w:sz="4" w:space="0"/>
              <w:right w:val="single" w:color="auto" w:sz="4" w:space="0"/>
            </w:tcBorders>
          </w:tcPr>
          <w:p>
            <w:pPr>
              <w:pStyle w:val="103"/>
            </w:pPr>
          </w:p>
        </w:tc>
        <w:tc>
          <w:tcPr>
            <w:tcW w:w="1111" w:type="dxa"/>
            <w:tcBorders>
              <w:top w:val="nil"/>
              <w:left w:val="single" w:color="auto" w:sz="4" w:space="0"/>
              <w:bottom w:val="single" w:color="auto" w:sz="4" w:space="0"/>
              <w:right w:val="single" w:color="auto" w:sz="4" w:space="0"/>
            </w:tcBorders>
          </w:tcPr>
          <w:p>
            <w:pPr>
              <w:pStyle w:val="103"/>
            </w:pPr>
          </w:p>
        </w:tc>
        <w:tc>
          <w:tcPr>
            <w:tcW w:w="1017" w:type="dxa"/>
            <w:tcBorders>
              <w:top w:val="nil"/>
              <w:left w:val="single" w:color="auto" w:sz="4" w:space="0"/>
              <w:bottom w:val="single" w:color="auto" w:sz="4" w:space="0"/>
              <w:right w:val="single" w:color="auto" w:sz="4" w:space="0"/>
            </w:tcBorders>
            <w:vAlign w:val="center"/>
          </w:tcPr>
          <w:p>
            <w:pPr>
              <w:pStyle w:val="104"/>
            </w:pPr>
            <w:r>
              <w:t>ΔP [dB]</w:t>
            </w:r>
          </w:p>
        </w:tc>
        <w:tc>
          <w:tcPr>
            <w:tcW w:w="1037" w:type="dxa"/>
            <w:tcBorders>
              <w:top w:val="nil"/>
              <w:left w:val="single" w:color="auto" w:sz="4" w:space="0"/>
              <w:bottom w:val="single" w:color="auto" w:sz="4" w:space="0"/>
              <w:right w:val="single" w:color="000000" w:sz="4" w:space="0"/>
            </w:tcBorders>
            <w:shd w:val="clear" w:color="auto" w:fill="auto"/>
            <w:vAlign w:val="center"/>
          </w:tcPr>
          <w:p>
            <w:pPr>
              <w:pStyle w:val="104"/>
            </w:pPr>
            <w:r>
              <w:t>ΔP [dB]</w:t>
            </w:r>
          </w:p>
        </w:tc>
        <w:tc>
          <w:tcPr>
            <w:tcW w:w="2342" w:type="dxa"/>
            <w:tcBorders>
              <w:top w:val="nil"/>
              <w:left w:val="nil"/>
              <w:bottom w:val="single" w:color="auto" w:sz="4" w:space="0"/>
              <w:right w:val="single" w:color="auto" w:sz="4" w:space="0"/>
            </w:tcBorders>
            <w:shd w:val="clear" w:color="auto" w:fill="auto"/>
            <w:vAlign w:val="center"/>
          </w:tcPr>
          <w:p>
            <w:pPr>
              <w:pStyle w:val="104"/>
            </w:pPr>
            <w:r>
              <w:t>[dB]</w:t>
            </w:r>
          </w:p>
        </w:tc>
      </w:tr>
      <w:tr>
        <w:tblPrEx>
          <w:tblCellMar>
            <w:top w:w="0" w:type="dxa"/>
            <w:left w:w="108" w:type="dxa"/>
            <w:bottom w:w="0" w:type="dxa"/>
            <w:right w:w="108" w:type="dxa"/>
          </w:tblCellMar>
        </w:tblPrEx>
        <w:trPr>
          <w:trHeight w:val="240" w:hRule="atLeast"/>
          <w:jc w:val="center"/>
        </w:trPr>
        <w:tc>
          <w:tcPr>
            <w:tcW w:w="1159" w:type="dxa"/>
            <w:tcBorders>
              <w:top w:val="single" w:color="auto" w:sz="4" w:space="0"/>
              <w:left w:val="single" w:color="auto" w:sz="4" w:space="0"/>
              <w:bottom w:val="single" w:color="auto" w:sz="4" w:space="0"/>
              <w:right w:val="single" w:color="auto" w:sz="4" w:space="0"/>
            </w:tcBorders>
          </w:tcPr>
          <w:p>
            <w:pPr>
              <w:pStyle w:val="105"/>
            </w:pPr>
            <w:r>
              <w:t>1.4 MHz</w:t>
            </w:r>
          </w:p>
        </w:tc>
        <w:tc>
          <w:tcPr>
            <w:tcW w:w="1272" w:type="dxa"/>
            <w:tcBorders>
              <w:top w:val="single" w:color="auto" w:sz="4" w:space="0"/>
              <w:left w:val="single" w:color="auto" w:sz="4" w:space="0"/>
              <w:bottom w:val="single" w:color="auto" w:sz="4" w:space="0"/>
              <w:right w:val="single" w:color="auto" w:sz="4" w:space="0"/>
            </w:tcBorders>
          </w:tcPr>
          <w:p>
            <w:pPr>
              <w:pStyle w:val="105"/>
            </w:pPr>
            <w:r>
              <w:t>Alternating 1 and 6</w:t>
            </w:r>
          </w:p>
        </w:tc>
        <w:tc>
          <w:tcPr>
            <w:tcW w:w="1111" w:type="dxa"/>
            <w:tcBorders>
              <w:top w:val="single" w:color="auto" w:sz="4" w:space="0"/>
              <w:left w:val="single" w:color="auto" w:sz="4" w:space="0"/>
              <w:bottom w:val="single" w:color="auto" w:sz="4" w:space="0"/>
              <w:right w:val="single" w:color="auto" w:sz="4" w:space="0"/>
            </w:tcBorders>
          </w:tcPr>
          <w:p>
            <w:pPr>
              <w:pStyle w:val="105"/>
            </w:pPr>
            <w:r>
              <w:t>TPC=0dB</w:t>
            </w:r>
          </w:p>
        </w:tc>
        <w:tc>
          <w:tcPr>
            <w:tcW w:w="1017" w:type="dxa"/>
            <w:tcBorders>
              <w:top w:val="single" w:color="auto" w:sz="4" w:space="0"/>
              <w:left w:val="single" w:color="auto" w:sz="4" w:space="0"/>
              <w:bottom w:val="single" w:color="auto" w:sz="4" w:space="0"/>
              <w:right w:val="single" w:color="auto" w:sz="4" w:space="0"/>
            </w:tcBorders>
            <w:vAlign w:val="center"/>
          </w:tcPr>
          <w:p>
            <w:pPr>
              <w:pStyle w:val="105"/>
            </w:pPr>
            <w:r>
              <w:t>7.78</w:t>
            </w:r>
          </w:p>
        </w:tc>
        <w:tc>
          <w:tcPr>
            <w:tcW w:w="103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 xml:space="preserve">4 </w:t>
            </w:r>
            <w:r>
              <w:rPr>
                <w:rFonts w:cs="Arial"/>
              </w:rPr>
              <w:t>≤</w:t>
            </w:r>
            <w:r>
              <w:t xml:space="preserve"> ΔP &lt; 10</w:t>
            </w:r>
          </w:p>
        </w:tc>
        <w:tc>
          <w:tcPr>
            <w:tcW w:w="2342" w:type="dxa"/>
            <w:tcBorders>
              <w:top w:val="single" w:color="auto" w:sz="4" w:space="0"/>
              <w:left w:val="nil"/>
              <w:bottom w:val="single" w:color="auto" w:sz="4" w:space="0"/>
              <w:right w:val="single" w:color="auto" w:sz="4" w:space="0"/>
            </w:tcBorders>
            <w:shd w:val="clear" w:color="auto" w:fill="auto"/>
            <w:vAlign w:val="center"/>
          </w:tcPr>
          <w:p>
            <w:pPr>
              <w:pStyle w:val="105"/>
            </w:pPr>
            <w:r>
              <w:t>7.78 ± (6.7) Note 1,2</w:t>
            </w:r>
          </w:p>
          <w:p>
            <w:pPr>
              <w:pStyle w:val="105"/>
            </w:pPr>
            <w:r>
              <w:t>7.78 +8.2/-6.7 Note 3</w:t>
            </w:r>
          </w:p>
          <w:p>
            <w:pPr>
              <w:pStyle w:val="105"/>
            </w:pPr>
            <w:r>
              <w:t>7.78 +6.7/-8.2 Note 4</w:t>
            </w:r>
          </w:p>
        </w:tc>
      </w:tr>
      <w:tr>
        <w:tblPrEx>
          <w:tblCellMar>
            <w:top w:w="0" w:type="dxa"/>
            <w:left w:w="108" w:type="dxa"/>
            <w:bottom w:w="0" w:type="dxa"/>
            <w:right w:w="108" w:type="dxa"/>
          </w:tblCellMar>
        </w:tblPrEx>
        <w:trPr>
          <w:trHeight w:val="255" w:hRule="atLeast"/>
          <w:jc w:val="center"/>
        </w:trPr>
        <w:tc>
          <w:tcPr>
            <w:tcW w:w="7938" w:type="dxa"/>
            <w:gridSpan w:val="6"/>
            <w:tcBorders>
              <w:top w:val="single" w:color="auto" w:sz="4" w:space="0"/>
              <w:left w:val="single" w:color="auto" w:sz="4" w:space="0"/>
              <w:bottom w:val="single" w:color="auto" w:sz="4" w:space="0"/>
              <w:right w:val="single" w:color="auto" w:sz="4" w:space="0"/>
            </w:tcBorders>
          </w:tcPr>
          <w:p>
            <w:pPr>
              <w:pStyle w:val="118"/>
            </w:pPr>
            <w:r>
              <w:t>Note 1:</w:t>
            </w:r>
            <w:r>
              <w:tab/>
            </w:r>
            <w:r>
              <w:t>Test tolerance +/- 6.7 dB was selected to allow PA switch possible exceptions to occur.</w:t>
            </w:r>
          </w:p>
          <w:p>
            <w:pPr>
              <w:pStyle w:val="118"/>
            </w:pPr>
            <w:r>
              <w:t>Note 2:</w:t>
            </w:r>
            <w:r>
              <w:tab/>
            </w:r>
            <w:r>
              <w:t>When neither Note 3 nor Note 4 applies.</w:t>
            </w:r>
          </w:p>
          <w:p>
            <w:pPr>
              <w:pStyle w:val="118"/>
            </w:pPr>
            <w:r>
              <w:t>Note 3:</w:t>
            </w:r>
            <w:r>
              <w:tab/>
            </w:r>
            <w:r>
              <w:t>N/A</w:t>
            </w:r>
          </w:p>
          <w:p>
            <w:pPr>
              <w:pStyle w:val="118"/>
            </w:pPr>
            <w:r>
              <w:t>Note 4:</w:t>
            </w:r>
            <w:r>
              <w:tab/>
            </w:r>
            <w:r>
              <w:t>N/A.</w:t>
            </w:r>
          </w:p>
          <w:p>
            <w:pPr>
              <w:pStyle w:val="118"/>
            </w:pPr>
            <w:r>
              <w:t>Note 5:</w:t>
            </w:r>
            <w:r>
              <w:tab/>
            </w:r>
            <w:r>
              <w:t>For extreme conditions an additional ± 2.0 dB relaxation is allowed.</w:t>
            </w:r>
          </w:p>
          <w:p>
            <w:pPr>
              <w:pStyle w:val="118"/>
            </w:pPr>
            <w:r>
              <w:t>Note 6:</w:t>
            </w:r>
            <w:r>
              <w:tab/>
            </w:r>
            <w:r>
              <w:t>The starting resource block shall be RB# 0.</w:t>
            </w:r>
          </w:p>
        </w:tc>
      </w:tr>
    </w:tbl>
    <w:p/>
    <w:p>
      <w:pPr>
        <w:pStyle w:val="6"/>
        <w:rPr>
          <w:lang w:val="en-US"/>
        </w:rPr>
      </w:pPr>
      <w:bookmarkStart w:id="567" w:name="_Toc22898"/>
      <w:bookmarkStart w:id="568" w:name="_Toc103"/>
      <w:bookmarkStart w:id="569" w:name="_Toc7865"/>
      <w:bookmarkStart w:id="570" w:name="_Toc30242"/>
      <w:bookmarkStart w:id="571" w:name="_Toc14296"/>
      <w:bookmarkStart w:id="572" w:name="_Toc22666"/>
      <w:r>
        <w:t>6.3A.</w:t>
      </w:r>
      <w:r>
        <w:rPr>
          <w:rFonts w:hint="eastAsia"/>
        </w:rPr>
        <w:t>4</w:t>
      </w:r>
      <w:r>
        <w:t>.3</w:t>
      </w:r>
      <w:r>
        <w:tab/>
      </w:r>
      <w:r>
        <w:t xml:space="preserve">Aggregate power control tolerance for UE category </w:t>
      </w:r>
      <w:r>
        <w:rPr>
          <w:lang w:eastAsia="zh-TW"/>
        </w:rPr>
        <w:t>M1</w:t>
      </w:r>
      <w:bookmarkEnd w:id="567"/>
      <w:bookmarkEnd w:id="568"/>
      <w:bookmarkEnd w:id="569"/>
      <w:bookmarkEnd w:id="570"/>
      <w:bookmarkEnd w:id="571"/>
      <w:bookmarkEnd w:id="572"/>
    </w:p>
    <w:p>
      <w:pPr>
        <w:pStyle w:val="112"/>
        <w:rPr>
          <w:lang w:val="en-US"/>
        </w:rPr>
      </w:pPr>
      <w:r>
        <w:t>Editor’s Note: Addition to applicability spec is pending.</w:t>
      </w:r>
    </w:p>
    <w:p>
      <w:pPr>
        <w:pStyle w:val="9"/>
      </w:pPr>
      <w:r>
        <w:t>6.3A.</w:t>
      </w:r>
      <w:r>
        <w:rPr>
          <w:rFonts w:hint="eastAsia"/>
        </w:rPr>
        <w:t>4</w:t>
      </w:r>
      <w:r>
        <w:t>.3.1</w:t>
      </w:r>
      <w:r>
        <w:tab/>
      </w:r>
      <w:r>
        <w:t>Test purpose</w:t>
      </w:r>
    </w:p>
    <w:p>
      <w:pPr>
        <w:rPr>
          <w:rFonts w:eastAsia="PMingLiU" w:cs="v5.0.0"/>
          <w:snapToGrid w:val="0"/>
          <w:lang w:eastAsia="zh-TW"/>
        </w:rPr>
      </w:pPr>
      <w:bookmarkStart w:id="573" w:name="_Hlk133658767"/>
      <w:r>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573"/>
    </w:p>
    <w:p>
      <w:pPr>
        <w:pStyle w:val="9"/>
      </w:pPr>
      <w:r>
        <w:t>6.3A.</w:t>
      </w:r>
      <w:r>
        <w:rPr>
          <w:rFonts w:hint="eastAsia"/>
        </w:rPr>
        <w:t>4</w:t>
      </w:r>
      <w:r>
        <w:t>.3.2</w:t>
      </w:r>
      <w:r>
        <w:tab/>
      </w:r>
      <w:r>
        <w:t>Test applicability</w:t>
      </w:r>
    </w:p>
    <w:p>
      <w:r>
        <w:t>This test case applies to all types of E-UTRA UE release 17 and forward of UE category M1 that support satellite access operation.</w:t>
      </w:r>
    </w:p>
    <w:p>
      <w:pPr>
        <w:pStyle w:val="9"/>
      </w:pPr>
      <w:r>
        <w:t>6.3A.</w:t>
      </w:r>
      <w:r>
        <w:rPr>
          <w:rFonts w:hint="eastAsia"/>
        </w:rPr>
        <w:t>4</w:t>
      </w:r>
      <w:r>
        <w:t>.3.</w:t>
      </w:r>
      <w:r>
        <w:rPr>
          <w:rFonts w:hint="eastAsia"/>
        </w:rPr>
        <w:t>3</w:t>
      </w:r>
      <w:r>
        <w:tab/>
      </w:r>
      <w:r>
        <w:t>Minimum conformance requirements</w:t>
      </w:r>
    </w:p>
    <w:p>
      <w:pPr>
        <w:rPr>
          <w:rFonts w:cs="v5.0.0"/>
        </w:rPr>
      </w:pPr>
      <w:r>
        <w:rPr>
          <w:rFonts w:cs="v5.0.0"/>
        </w:rPr>
        <w:t>The category M1 FD-FDD UEs shall meet the requirements specified in Table 6.3</w:t>
      </w:r>
      <w:r>
        <w:rPr>
          <w:rFonts w:cs="v5.0.0"/>
          <w:lang w:eastAsia="ja-JP"/>
        </w:rPr>
        <w:t>A</w:t>
      </w:r>
      <w:r>
        <w:rPr>
          <w:rFonts w:cs="v5.0.0"/>
        </w:rPr>
        <w:t>.4.3.</w:t>
      </w:r>
      <w:r>
        <w:rPr>
          <w:rFonts w:cs="v5.0.0"/>
          <w:lang w:eastAsia="ja-JP"/>
        </w:rPr>
        <w:t>3</w:t>
      </w:r>
      <w:r>
        <w:rPr>
          <w:rFonts w:cs="v5.0.0"/>
        </w:rPr>
        <w:t>-</w:t>
      </w:r>
      <w:r>
        <w:rPr>
          <w:rFonts w:cs="v5.0.0"/>
          <w:lang w:eastAsia="ja-JP"/>
        </w:rPr>
        <w:t>1</w:t>
      </w:r>
      <w:r>
        <w:rPr>
          <w:rFonts w:cs="v5.0.0"/>
        </w:rPr>
        <w:t xml:space="preserve"> 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pPr>
        <w:rPr>
          <w:rFonts w:cs="v5.0.0"/>
        </w:rPr>
      </w:pPr>
      <w:r>
        <w:rPr>
          <w:rFonts w:cs="v5.0.0"/>
        </w:rPr>
        <w:t xml:space="preserve">The category M1 </w:t>
      </w:r>
      <w:r>
        <w:rPr>
          <w:rFonts w:cs="v5.0.0"/>
          <w:lang w:eastAsia="ja-JP"/>
        </w:rPr>
        <w:t xml:space="preserve">HD-FDD </w:t>
      </w:r>
      <w:r>
        <w:rPr>
          <w:rFonts w:cs="v5.0.0"/>
        </w:rPr>
        <w:t xml:space="preserve">UEs </w:t>
      </w:r>
      <w:r>
        <w:rPr>
          <w:rFonts w:cs="v5.0.0"/>
          <w:lang w:eastAsia="ja-JP"/>
        </w:rPr>
        <w:t xml:space="preserve">and for </w:t>
      </w:r>
      <w:r>
        <w:rPr>
          <w:rFonts w:cs="v5.0.0"/>
        </w:rPr>
        <w:t xml:space="preserve">continuous uplink transmissions of duration </w:t>
      </w:r>
      <w:r>
        <w:t>≤</w:t>
      </w:r>
      <w:r>
        <w:rPr>
          <w:rFonts w:cs="v5.0.0"/>
        </w:rPr>
        <w:t xml:space="preserve"> 64 ms</w:t>
      </w:r>
      <w:r>
        <w:rPr>
          <w:rFonts w:cs="v5.0.0"/>
          <w:lang w:eastAsia="ja-JP"/>
        </w:rPr>
        <w:t>,</w:t>
      </w:r>
      <w:r>
        <w:rPr>
          <w:rFonts w:cs="v5.0.0"/>
        </w:rPr>
        <w:t xml:space="preserve"> shall meet the requirements specified in Table </w:t>
      </w:r>
      <w:r>
        <w:t>6.3</w:t>
      </w:r>
      <w:r>
        <w:rPr>
          <w:lang w:eastAsia="ja-JP"/>
        </w:rPr>
        <w:t>A</w:t>
      </w:r>
      <w:r>
        <w:t>.4.3.3-1</w:t>
      </w:r>
      <w:r>
        <w:rPr>
          <w:lang w:eastAsia="ja-JP"/>
        </w:rPr>
        <w:t xml:space="preserve"> </w:t>
      </w:r>
      <w:r>
        <w:rPr>
          <w:rFonts w:cs="v5.0.0"/>
        </w:rPr>
        <w:t>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pPr>
        <w:pStyle w:val="113"/>
      </w:pPr>
      <w:r>
        <w:t>Table 6.3A.4.3.3-1: Aggregate power control tolerance</w:t>
      </w:r>
    </w:p>
    <w:tbl>
      <w:tblPr>
        <w:tblStyle w:val="89"/>
        <w:tblW w:w="7204" w:type="dxa"/>
        <w:jc w:val="center"/>
        <w:tblLayout w:type="autofit"/>
        <w:tblCellMar>
          <w:top w:w="0" w:type="dxa"/>
          <w:left w:w="108" w:type="dxa"/>
          <w:bottom w:w="0" w:type="dxa"/>
          <w:right w:w="108" w:type="dxa"/>
        </w:tblCellMar>
      </w:tblPr>
      <w:tblGrid>
        <w:gridCol w:w="1557"/>
        <w:gridCol w:w="1703"/>
        <w:gridCol w:w="3944"/>
      </w:tblGrid>
      <w:tr>
        <w:tblPrEx>
          <w:tblCellMar>
            <w:top w:w="0" w:type="dxa"/>
            <w:left w:w="108" w:type="dxa"/>
            <w:bottom w:w="0" w:type="dxa"/>
            <w:right w:w="108" w:type="dxa"/>
          </w:tblCellMar>
        </w:tblPrEx>
        <w:trPr>
          <w:trHeight w:val="302" w:hRule="atLeast"/>
          <w:jc w:val="center"/>
        </w:trPr>
        <w:tc>
          <w:tcPr>
            <w:tcW w:w="1557" w:type="dxa"/>
            <w:tcBorders>
              <w:top w:val="single" w:color="auto" w:sz="4" w:space="0"/>
              <w:left w:val="single" w:color="auto" w:sz="4" w:space="0"/>
              <w:bottom w:val="single" w:color="auto" w:sz="4" w:space="0"/>
              <w:right w:val="single" w:color="auto" w:sz="4" w:space="0"/>
            </w:tcBorders>
          </w:tcPr>
          <w:p>
            <w:pPr>
              <w:pStyle w:val="104"/>
            </w:pPr>
            <w:r>
              <w:rPr>
                <w:rFonts w:cs="Tahoma"/>
              </w:rPr>
              <w:t>TPC command</w:t>
            </w:r>
          </w:p>
        </w:tc>
        <w:tc>
          <w:tcPr>
            <w:tcW w:w="1703" w:type="dxa"/>
            <w:tcBorders>
              <w:top w:val="single" w:color="auto" w:sz="4" w:space="0"/>
              <w:left w:val="single" w:color="auto" w:sz="4" w:space="0"/>
              <w:bottom w:val="single" w:color="auto" w:sz="4" w:space="0"/>
              <w:right w:val="single" w:color="auto" w:sz="4" w:space="0"/>
            </w:tcBorders>
          </w:tcPr>
          <w:p>
            <w:pPr>
              <w:pStyle w:val="104"/>
            </w:pPr>
            <w:r>
              <w:rPr>
                <w:rFonts w:cs="Tahoma"/>
              </w:rPr>
              <w:t>UL channel</w:t>
            </w:r>
          </w:p>
        </w:tc>
        <w:tc>
          <w:tcPr>
            <w:tcW w:w="3944" w:type="dxa"/>
            <w:tcBorders>
              <w:top w:val="single" w:color="auto" w:sz="4" w:space="0"/>
              <w:left w:val="single" w:color="auto" w:sz="4" w:space="0"/>
              <w:bottom w:val="single" w:color="auto" w:sz="4" w:space="0"/>
              <w:right w:val="single" w:color="auto" w:sz="4" w:space="0"/>
            </w:tcBorders>
          </w:tcPr>
          <w:p>
            <w:pPr>
              <w:pStyle w:val="104"/>
            </w:pPr>
            <w:r>
              <w:rPr>
                <w:rFonts w:cs="Arial"/>
              </w:rPr>
              <w:t>Aggregate power tolerance within 21 ms</w:t>
            </w:r>
            <w:r>
              <w:rPr>
                <w:rFonts w:cs="Arial"/>
                <w:vertAlign w:val="superscript"/>
              </w:rPr>
              <w:t xml:space="preserve"> 2</w:t>
            </w:r>
          </w:p>
        </w:tc>
      </w:tr>
      <w:tr>
        <w:tblPrEx>
          <w:tblCellMar>
            <w:top w:w="0" w:type="dxa"/>
            <w:left w:w="108" w:type="dxa"/>
            <w:bottom w:w="0" w:type="dxa"/>
            <w:right w:w="108" w:type="dxa"/>
          </w:tblCellMar>
        </w:tblPrEx>
        <w:trPr>
          <w:trHeight w:val="302" w:hRule="atLeast"/>
          <w:jc w:val="center"/>
        </w:trPr>
        <w:tc>
          <w:tcPr>
            <w:tcW w:w="1557" w:type="dxa"/>
            <w:tcBorders>
              <w:top w:val="single" w:color="auto" w:sz="4" w:space="0"/>
              <w:left w:val="single" w:color="auto" w:sz="4" w:space="0"/>
              <w:bottom w:val="single" w:color="auto" w:sz="4" w:space="0"/>
              <w:right w:val="single" w:color="auto" w:sz="4" w:space="0"/>
            </w:tcBorders>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
          <w:p>
            <w:pPr>
              <w:pStyle w:val="105"/>
            </w:pPr>
            <w:r>
              <w:rPr>
                <w:rFonts w:cs="Tahoma"/>
              </w:rPr>
              <w:t>PUCCH</w:t>
            </w:r>
          </w:p>
        </w:tc>
        <w:tc>
          <w:tcPr>
            <w:tcW w:w="3944" w:type="dxa"/>
            <w:tcBorders>
              <w:top w:val="single" w:color="auto" w:sz="4" w:space="0"/>
              <w:left w:val="single" w:color="auto" w:sz="4" w:space="0"/>
              <w:bottom w:val="single" w:color="auto" w:sz="4" w:space="0"/>
              <w:right w:val="single" w:color="auto" w:sz="4" w:space="0"/>
            </w:tcBorders>
          </w:tcPr>
          <w:p>
            <w:pPr>
              <w:pStyle w:val="105"/>
            </w:pPr>
            <w:r>
              <w:rPr>
                <w:rFonts w:cs="Tahoma"/>
              </w:rPr>
              <w:t>±2.5 dB</w:t>
            </w:r>
          </w:p>
        </w:tc>
      </w:tr>
      <w:tr>
        <w:tblPrEx>
          <w:tblCellMar>
            <w:top w:w="0" w:type="dxa"/>
            <w:left w:w="108" w:type="dxa"/>
            <w:bottom w:w="0" w:type="dxa"/>
            <w:right w:w="108" w:type="dxa"/>
          </w:tblCellMar>
        </w:tblPrEx>
        <w:trPr>
          <w:trHeight w:val="302" w:hRule="atLeast"/>
          <w:jc w:val="center"/>
        </w:trPr>
        <w:tc>
          <w:tcPr>
            <w:tcW w:w="1557" w:type="dxa"/>
            <w:tcBorders>
              <w:top w:val="single" w:color="auto" w:sz="4" w:space="0"/>
              <w:left w:val="single" w:color="auto" w:sz="4" w:space="0"/>
              <w:bottom w:val="single" w:color="auto" w:sz="4" w:space="0"/>
              <w:right w:val="single" w:color="auto" w:sz="4" w:space="0"/>
            </w:tcBorders>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
          <w:p>
            <w:pPr>
              <w:pStyle w:val="105"/>
            </w:pPr>
            <w:r>
              <w:rPr>
                <w:rFonts w:cs="Tahoma"/>
              </w:rPr>
              <w:t>PUSCH</w:t>
            </w:r>
          </w:p>
        </w:tc>
        <w:tc>
          <w:tcPr>
            <w:tcW w:w="3944" w:type="dxa"/>
            <w:tcBorders>
              <w:top w:val="single" w:color="auto" w:sz="4" w:space="0"/>
              <w:left w:val="single" w:color="auto" w:sz="4" w:space="0"/>
              <w:bottom w:val="single" w:color="auto" w:sz="4" w:space="0"/>
              <w:right w:val="single" w:color="auto" w:sz="4" w:space="0"/>
            </w:tcBorders>
          </w:tcPr>
          <w:p>
            <w:pPr>
              <w:pStyle w:val="105"/>
            </w:pPr>
            <w:r>
              <w:rPr>
                <w:rFonts w:cs="Tahoma"/>
              </w:rPr>
              <w:t>±3.5 dB</w:t>
            </w:r>
          </w:p>
        </w:tc>
      </w:tr>
      <w:tr>
        <w:tblPrEx>
          <w:tblCellMar>
            <w:top w:w="0" w:type="dxa"/>
            <w:left w:w="108" w:type="dxa"/>
            <w:bottom w:w="0" w:type="dxa"/>
            <w:right w:w="108" w:type="dxa"/>
          </w:tblCellMar>
        </w:tblPrEx>
        <w:trPr>
          <w:trHeight w:val="302" w:hRule="atLeast"/>
          <w:jc w:val="center"/>
        </w:trPr>
        <w:tc>
          <w:tcPr>
            <w:tcW w:w="7204" w:type="dxa"/>
            <w:gridSpan w:val="3"/>
            <w:tcBorders>
              <w:top w:val="single" w:color="auto" w:sz="4" w:space="0"/>
              <w:left w:val="single" w:color="auto" w:sz="4" w:space="0"/>
              <w:bottom w:val="single" w:color="auto" w:sz="4" w:space="0"/>
              <w:right w:val="single" w:color="auto" w:sz="4" w:space="0"/>
            </w:tcBorders>
          </w:tcPr>
          <w:p>
            <w:pPr>
              <w:pStyle w:val="118"/>
              <w:rPr>
                <w:rFonts w:cs="Arial"/>
              </w:rPr>
            </w:pPr>
            <w:r>
              <w:rPr>
                <w:rFonts w:cs="Arial"/>
              </w:rPr>
              <w:t>NOTE 1:</w:t>
            </w:r>
            <w:r>
              <w:rPr>
                <w:rFonts w:cs="Arial"/>
              </w:rPr>
              <w:tab/>
            </w:r>
            <w:r>
              <w:rPr>
                <w:rFonts w:cs="Arial"/>
              </w:rPr>
              <w:t>The UE transmission gap is 4 ms for full-duplex FDD.</w:t>
            </w:r>
          </w:p>
          <w:p>
            <w:pPr>
              <w:pStyle w:val="118"/>
              <w:ind w:hanging="13"/>
              <w:rPr>
                <w:rFonts w:cs="Arial"/>
              </w:rPr>
            </w:pPr>
            <w:r>
              <w:rPr>
                <w:rFonts w:cs="Arial"/>
              </w:rPr>
              <w:t>For UE of half-duplex FDD, the transmission gap is 9 ms.</w:t>
            </w:r>
          </w:p>
          <w:p>
            <w:pPr>
              <w:pStyle w:val="118"/>
              <w:ind w:hanging="13"/>
              <w:rPr>
                <w:rFonts w:cs="Arial"/>
              </w:rPr>
            </w:pPr>
            <w:r>
              <w:rPr>
                <w:rFonts w:cs="Arial"/>
              </w:rPr>
              <w:t>TPC command is transmitted via MPDCCH 4 subframes preceding each PUCCH/PUSCH transmission.</w:t>
            </w:r>
          </w:p>
          <w:p>
            <w:pPr>
              <w:pStyle w:val="118"/>
            </w:pPr>
            <w:r>
              <w:t>NOTE 2:</w:t>
            </w:r>
            <w:r>
              <w:tab/>
            </w:r>
            <w:r>
              <w:t>For UE of half-duplex FDD, the test interval is 41 ms.</w:t>
            </w:r>
          </w:p>
        </w:tc>
      </w:tr>
    </w:tbl>
    <w:p/>
    <w:p>
      <w:pPr>
        <w:rPr>
          <w:lang w:eastAsia="ja-JP"/>
        </w:rPr>
      </w:pPr>
      <w:r>
        <w:t>The normative reference for this requirement is TS 36.102 [11] clause 6.3A.4.</w:t>
      </w:r>
    </w:p>
    <w:p>
      <w:pPr>
        <w:pStyle w:val="9"/>
      </w:pPr>
      <w:r>
        <w:t>6.3A.4.3.4</w:t>
      </w:r>
      <w:r>
        <w:tab/>
      </w:r>
      <w:r>
        <w:t>Test description</w:t>
      </w:r>
    </w:p>
    <w:p>
      <w:pPr>
        <w:pStyle w:val="9"/>
      </w:pPr>
      <w:r>
        <w:t>6.3A.4.3.4.1</w:t>
      </w:r>
      <w:r>
        <w:tab/>
      </w:r>
      <w:r>
        <w:t>Initial conditions</w:t>
      </w:r>
    </w:p>
    <w:p>
      <w:r>
        <w:t>Initial conditions are a set of test configurations the UE needs to be tested in and the steps for the SS to take with the UE to reach the correct measurement state.</w:t>
      </w:r>
    </w:p>
    <w:p>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Pr>
          <w:lang w:eastAsia="ja-JP"/>
        </w:rPr>
        <w:t xml:space="preserve"> and table 6.3A.4.3.4.1-2</w:t>
      </w:r>
      <w:r>
        <w:t>. The details of the uplink reference measurement channels (RMCs) are specified in Annexes A.2 and A.3.</w:t>
      </w:r>
      <w:r>
        <w:rPr>
          <w:rFonts w:cs="v5.0.0"/>
          <w:lang w:eastAsia="ja-JP"/>
        </w:rPr>
        <w:t xml:space="preserve"> </w:t>
      </w:r>
      <w:r>
        <w:t xml:space="preserve">The details of the OCNG patterns used are specified in Annex A.5. </w:t>
      </w:r>
      <w:r>
        <w:rPr>
          <w:rFonts w:cs="v5.0.0"/>
          <w:lang w:eastAsia="ja-JP"/>
        </w:rPr>
        <w:t xml:space="preserve">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pPr>
        <w:pStyle w:val="113"/>
      </w:pPr>
      <w:r>
        <w:t>Table 6.3</w:t>
      </w:r>
      <w:r>
        <w:rPr>
          <w:lang w:eastAsia="zh-TW"/>
        </w:rPr>
        <w:t>A</w:t>
      </w:r>
      <w:r>
        <w:t>.4.3.4.1-1: Test Configuration Table</w:t>
      </w:r>
      <w:r>
        <w:rPr>
          <w:lang w:eastAsia="zh-TW"/>
        </w:rPr>
        <w:t xml:space="preserve"> Tx test cases UE Cat-M1</w:t>
      </w:r>
      <w:r>
        <w:t>: PUCCH sub-test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3"/>
        <w:gridCol w:w="2246"/>
        <w:gridCol w:w="639"/>
        <w:gridCol w:w="638"/>
        <w:gridCol w:w="2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5"/>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3"/>
          </w:tcPr>
          <w:p>
            <w:pPr>
              <w:pStyle w:val="105"/>
            </w:pPr>
            <w:r>
              <w:rPr>
                <w:rFonts w:cs="v5.0.0"/>
              </w:rPr>
              <w:t>Test Environment as specified in</w:t>
            </w:r>
          </w:p>
          <w:p>
            <w:pPr>
              <w:pStyle w:val="105"/>
            </w:pPr>
            <w:r>
              <w:t>TS 36.508 [12] subclause 4.1</w:t>
            </w:r>
          </w:p>
        </w:tc>
        <w:tc>
          <w:tcPr>
            <w:tcW w:w="0" w:type="auto"/>
            <w:gridSpan w:val="2"/>
          </w:tcPr>
          <w:p>
            <w:pPr>
              <w:pStyle w:val="104"/>
            </w:pPr>
            <w:r>
              <w:rPr>
                <w:rFonts w:cs="v5.0.0"/>
                <w:b w:val="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3"/>
          </w:tcPr>
          <w:p>
            <w:pPr>
              <w:pStyle w:val="104"/>
              <w:rPr>
                <w:b w:val="0"/>
              </w:rPr>
            </w:pPr>
            <w:r>
              <w:rPr>
                <w:rFonts w:cs="v5.0.0"/>
                <w:b w:val="0"/>
                <w:bCs/>
              </w:rPr>
              <w:t>Test Frequencies as specified in</w:t>
            </w:r>
          </w:p>
          <w:p>
            <w:pPr>
              <w:pStyle w:val="104"/>
              <w:rPr>
                <w:b w:val="0"/>
              </w:rPr>
            </w:pPr>
            <w:r>
              <w:rPr>
                <w:b w:val="0"/>
              </w:rPr>
              <w:t>TS 36.508 [12] subclause 4.3.1</w:t>
            </w:r>
          </w:p>
        </w:tc>
        <w:tc>
          <w:tcPr>
            <w:tcW w:w="0" w:type="auto"/>
            <w:gridSpan w:val="2"/>
          </w:tcPr>
          <w:p>
            <w:pPr>
              <w:pStyle w:val="104"/>
            </w:pPr>
            <w:r>
              <w:rPr>
                <w:rFonts w:cs="v5.0.0"/>
                <w:b w:val="0"/>
                <w:bCs/>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3"/>
          </w:tcPr>
          <w:p>
            <w:pPr>
              <w:pStyle w:val="104"/>
              <w:rPr>
                <w:b w:val="0"/>
              </w:rPr>
            </w:pPr>
            <w:r>
              <w:rPr>
                <w:rFonts w:cs="v5.0.0"/>
                <w:b w:val="0"/>
                <w:bCs/>
              </w:rPr>
              <w:t>Test Channel Bandwidths</w:t>
            </w:r>
            <w:r>
              <w:rPr>
                <w:rFonts w:cs="v5.0.0"/>
                <w:b w:val="0"/>
              </w:rPr>
              <w:t xml:space="preserve"> </w:t>
            </w:r>
            <w:r>
              <w:rPr>
                <w:rFonts w:cs="v5.0.0"/>
                <w:b w:val="0"/>
                <w:bCs/>
              </w:rPr>
              <w:t>as specified in</w:t>
            </w:r>
          </w:p>
          <w:p>
            <w:pPr>
              <w:pStyle w:val="104"/>
              <w:rPr>
                <w:b w:val="0"/>
              </w:rPr>
            </w:pPr>
            <w:r>
              <w:rPr>
                <w:b w:val="0"/>
              </w:rPr>
              <w:t>TS 36.508 [12] subclause 4.3.1</w:t>
            </w:r>
          </w:p>
        </w:tc>
        <w:tc>
          <w:tcPr>
            <w:tcW w:w="0" w:type="auto"/>
            <w:gridSpan w:val="2"/>
          </w:tcPr>
          <w:p>
            <w:pPr>
              <w:pStyle w:val="104"/>
            </w:pPr>
            <w:r>
              <w:rPr>
                <w:rFonts w:cs="v5.0.0"/>
                <w:b w:val="0"/>
                <w:bCs/>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5"/>
          </w:tcPr>
          <w:p>
            <w:pPr>
              <w:pStyle w:val="104"/>
              <w:rPr>
                <w:rFonts w:eastAsia="PMingLiU"/>
                <w:lang w:eastAsia="zh-TW"/>
              </w:rPr>
            </w:pPr>
            <w:r>
              <w:rPr>
                <w:bCs/>
              </w:rPr>
              <w:t>Test Parameters for Channel Bandwidths</w:t>
            </w:r>
            <w:r>
              <w:rPr>
                <w:bCs/>
                <w:lang w:eastAsia="zh-TW"/>
              </w:rPr>
              <w:t xml:space="preserve">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105"/>
            </w:pPr>
          </w:p>
        </w:tc>
        <w:tc>
          <w:tcPr>
            <w:tcW w:w="0" w:type="auto"/>
            <w:gridSpan w:val="3"/>
          </w:tcPr>
          <w:p>
            <w:pPr>
              <w:pStyle w:val="104"/>
            </w:pPr>
            <w:r>
              <w:t>Downlink Configuration</w:t>
            </w:r>
          </w:p>
        </w:tc>
        <w:tc>
          <w:tcPr>
            <w:tcW w:w="0" w:type="auto"/>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Pr>
          <w:p>
            <w:pPr>
              <w:pStyle w:val="105"/>
            </w:pPr>
            <w:r>
              <w:rPr>
                <w:rFonts w:cs="v5.0.0"/>
              </w:rPr>
              <w:t>Ch BW</w:t>
            </w:r>
          </w:p>
        </w:tc>
        <w:tc>
          <w:tcPr>
            <w:tcW w:w="0" w:type="auto"/>
          </w:tcPr>
          <w:p>
            <w:pPr>
              <w:pStyle w:val="105"/>
            </w:pPr>
            <w:r>
              <w:rPr>
                <w:rFonts w:cs="v5.0.0"/>
              </w:rPr>
              <w:t>Mod'n</w:t>
            </w:r>
          </w:p>
        </w:tc>
        <w:tc>
          <w:tcPr>
            <w:tcW w:w="0" w:type="auto"/>
            <w:gridSpan w:val="2"/>
          </w:tcPr>
          <w:p>
            <w:pPr>
              <w:pStyle w:val="105"/>
            </w:pPr>
            <w:r>
              <w:rPr>
                <w:rFonts w:cs="v5.0.0"/>
              </w:rPr>
              <w:t>RB allocation</w:t>
            </w:r>
          </w:p>
        </w:tc>
        <w:tc>
          <w:tcPr>
            <w:tcW w:w="0" w:type="auto"/>
            <w:vMerge w:val="restart"/>
          </w:tcPr>
          <w:p>
            <w:pPr>
              <w:pStyle w:val="103"/>
            </w:pPr>
            <w:r>
              <w:t>FDD: PUCCH format = Format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105"/>
            </w:pPr>
          </w:p>
        </w:tc>
        <w:tc>
          <w:tcPr>
            <w:tcW w:w="0" w:type="auto"/>
          </w:tcPr>
          <w:p>
            <w:pPr>
              <w:pStyle w:val="105"/>
            </w:pPr>
          </w:p>
        </w:tc>
        <w:tc>
          <w:tcPr>
            <w:tcW w:w="0" w:type="auto"/>
            <w:gridSpan w:val="2"/>
          </w:tcPr>
          <w:p>
            <w:pPr>
              <w:pStyle w:val="105"/>
            </w:pPr>
            <w:r>
              <w:t>FDD</w:t>
            </w:r>
          </w:p>
        </w:tc>
        <w:tc>
          <w:tcPr>
            <w:tcW w:w="0" w:type="auto"/>
            <w:vMerge w:val="continu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jc w:val="center"/>
        </w:trPr>
        <w:tc>
          <w:tcPr>
            <w:tcW w:w="0" w:type="auto"/>
          </w:tcPr>
          <w:p>
            <w:pPr>
              <w:pStyle w:val="105"/>
              <w:rPr>
                <w:rFonts w:cs="v5.0.0"/>
              </w:rPr>
            </w:pPr>
            <w:r>
              <w:rPr>
                <w:rFonts w:hint="eastAsia" w:eastAsia="宋体" w:cs="v5.0.0"/>
                <w:lang w:val="en-US" w:eastAsia="zh-CN"/>
              </w:rPr>
              <w:t>1.4</w:t>
            </w:r>
            <w:r>
              <w:rPr>
                <w:rFonts w:cs="v5.0.0"/>
              </w:rPr>
              <w:t>MHz</w:t>
            </w:r>
          </w:p>
        </w:tc>
        <w:tc>
          <w:tcPr>
            <w:tcW w:w="0" w:type="auto"/>
          </w:tcPr>
          <w:p>
            <w:pPr>
              <w:pStyle w:val="105"/>
              <w:rPr>
                <w:rFonts w:cs="v5.0.0"/>
              </w:rPr>
            </w:pPr>
            <w:r>
              <w:rPr>
                <w:rFonts w:cs="v5.0.0"/>
              </w:rPr>
              <w:t>QPSK</w:t>
            </w:r>
          </w:p>
        </w:tc>
        <w:tc>
          <w:tcPr>
            <w:tcW w:w="0" w:type="auto"/>
            <w:gridSpan w:val="2"/>
          </w:tcPr>
          <w:p>
            <w:pPr>
              <w:pStyle w:val="105"/>
              <w:rPr>
                <w:rFonts w:cs="v5.0.0"/>
                <w:lang w:eastAsia="zh-TW"/>
              </w:rPr>
            </w:pPr>
            <w:r>
              <w:rPr>
                <w:rFonts w:cs="v5.0.0"/>
                <w:lang w:eastAsia="zh-TW"/>
              </w:rPr>
              <w:t>4</w:t>
            </w:r>
          </w:p>
        </w:tc>
        <w:tc>
          <w:tcPr>
            <w:tcW w:w="0" w:type="auto"/>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5"/>
          </w:tcPr>
          <w:p>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r>
            <w:r>
              <w:rPr>
                <w:rFonts w:ascii="Arial" w:hAnsi="Arial"/>
                <w:color w:val="000000"/>
                <w:sz w:val="18"/>
                <w:lang w:eastAsia="ja-JP"/>
              </w:rPr>
              <w:t>Downlink RB position shall be RB</w:t>
            </w:r>
            <w:r>
              <w:rPr>
                <w:rFonts w:ascii="Arial" w:hAnsi="Arial"/>
                <w:color w:val="000000"/>
                <w:sz w:val="18"/>
                <w:vertAlign w:val="subscript"/>
                <w:lang w:eastAsia="ja-JP"/>
              </w:rPr>
              <w:t>start</w:t>
            </w:r>
            <w:r>
              <w:rPr>
                <w:rFonts w:ascii="Arial" w:hAnsi="Arial"/>
                <w:color w:val="000000"/>
                <w:sz w:val="18"/>
                <w:lang w:eastAsia="ja-JP"/>
              </w:rPr>
              <w:t xml:space="preserve"> = 0 within the narrowband</w:t>
            </w:r>
          </w:p>
        </w:tc>
      </w:tr>
    </w:tbl>
    <w:p/>
    <w:p>
      <w:pPr>
        <w:pStyle w:val="113"/>
      </w:pPr>
      <w:r>
        <w:t>Table 6.3</w:t>
      </w:r>
      <w:r>
        <w:rPr>
          <w:lang w:eastAsia="zh-TW"/>
        </w:rPr>
        <w:t>A</w:t>
      </w:r>
      <w:r>
        <w:t>.4.3.4.1-2: Test Configuration Table</w:t>
      </w:r>
      <w:r>
        <w:rPr>
          <w:lang w:eastAsia="zh-TW"/>
        </w:rPr>
        <w:t xml:space="preserve"> Tx test cases UE Cat-M1</w:t>
      </w:r>
      <w:r>
        <w:t>: PUSCH sub-test</w:t>
      </w:r>
    </w:p>
    <w:tbl>
      <w:tblPr>
        <w:tblStyle w:val="89"/>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3495"/>
        <w:gridCol w:w="1165"/>
        <w:gridCol w:w="1165"/>
        <w:gridCol w:w="1165"/>
        <w:gridCol w:w="11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9321" w:type="dxa"/>
            <w:gridSpan w:val="6"/>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2"/>
          </w:tcPr>
          <w:p>
            <w:pPr>
              <w:pStyle w:val="105"/>
            </w:pPr>
            <w:r>
              <w:rPr>
                <w:rFonts w:cs="v5.0.0"/>
              </w:rPr>
              <w:t>Test Environment as specified in</w:t>
            </w:r>
          </w:p>
          <w:p>
            <w:pPr>
              <w:pStyle w:val="104"/>
              <w:rPr>
                <w:rFonts w:cs="v5.0.0"/>
                <w:b w:val="0"/>
                <w:bCs/>
              </w:rPr>
            </w:pPr>
            <w:r>
              <w:rPr>
                <w:b w:val="0"/>
              </w:rPr>
              <w:t>TS 36.508 [12] subclause 4.1</w:t>
            </w:r>
          </w:p>
        </w:tc>
        <w:tc>
          <w:tcPr>
            <w:tcW w:w="4661" w:type="dxa"/>
            <w:gridSpan w:val="4"/>
          </w:tcPr>
          <w:p>
            <w:pPr>
              <w:pStyle w:val="104"/>
            </w:pPr>
            <w:r>
              <w:rPr>
                <w:rFonts w:cs="v5.0.0"/>
                <w:b w:val="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2"/>
          </w:tcPr>
          <w:p>
            <w:pPr>
              <w:pStyle w:val="104"/>
              <w:rPr>
                <w:b w:val="0"/>
              </w:rPr>
            </w:pPr>
            <w:r>
              <w:rPr>
                <w:rFonts w:cs="v5.0.0"/>
                <w:b w:val="0"/>
                <w:bCs/>
              </w:rPr>
              <w:t>Test Frequencies as specified in</w:t>
            </w:r>
          </w:p>
          <w:p>
            <w:pPr>
              <w:pStyle w:val="104"/>
              <w:rPr>
                <w:rFonts w:cs="v5.0.0"/>
                <w:b w:val="0"/>
                <w:bCs/>
              </w:rPr>
            </w:pPr>
            <w:r>
              <w:rPr>
                <w:b w:val="0"/>
              </w:rPr>
              <w:t>TS 36.508 [12] subclause 4.3.1</w:t>
            </w:r>
          </w:p>
        </w:tc>
        <w:tc>
          <w:tcPr>
            <w:tcW w:w="4661" w:type="dxa"/>
            <w:gridSpan w:val="4"/>
          </w:tcPr>
          <w:p>
            <w:pPr>
              <w:pStyle w:val="104"/>
            </w:pPr>
            <w:r>
              <w:rPr>
                <w:rFonts w:cs="v5.0.0"/>
                <w:b w:val="0"/>
                <w:bCs/>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2"/>
          </w:tcPr>
          <w:p>
            <w:pPr>
              <w:pStyle w:val="104"/>
              <w:rPr>
                <w:b w:val="0"/>
              </w:rPr>
            </w:pPr>
            <w:r>
              <w:rPr>
                <w:rFonts w:cs="v5.0.0"/>
                <w:b w:val="0"/>
                <w:bCs/>
              </w:rPr>
              <w:t>Test Channel Bandwidths</w:t>
            </w:r>
            <w:r>
              <w:rPr>
                <w:rFonts w:cs="v5.0.0"/>
                <w:b w:val="0"/>
              </w:rPr>
              <w:t xml:space="preserve"> </w:t>
            </w:r>
            <w:r>
              <w:rPr>
                <w:rFonts w:cs="v5.0.0"/>
                <w:b w:val="0"/>
                <w:bCs/>
              </w:rPr>
              <w:t>as specified in</w:t>
            </w:r>
          </w:p>
          <w:p>
            <w:pPr>
              <w:pStyle w:val="104"/>
              <w:rPr>
                <w:rFonts w:cs="v5.0.0"/>
                <w:b w:val="0"/>
                <w:bCs/>
              </w:rPr>
            </w:pPr>
            <w:r>
              <w:rPr>
                <w:b w:val="0"/>
              </w:rPr>
              <w:t>TS 36.508 [12] subclause 4.3.1</w:t>
            </w:r>
          </w:p>
        </w:tc>
        <w:tc>
          <w:tcPr>
            <w:tcW w:w="4661" w:type="dxa"/>
            <w:gridSpan w:val="4"/>
          </w:tcPr>
          <w:p>
            <w:pPr>
              <w:pStyle w:val="104"/>
            </w:pPr>
            <w:r>
              <w:rPr>
                <w:rFonts w:cs="v5.0.0"/>
                <w:b w:val="0"/>
                <w:bCs/>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1" w:type="dxa"/>
            <w:gridSpan w:val="6"/>
          </w:tcPr>
          <w:p>
            <w:pPr>
              <w:pStyle w:val="104"/>
              <w:rPr>
                <w:rFonts w:eastAsia="PMingLiU"/>
                <w:lang w:eastAsia="zh-TW"/>
              </w:rPr>
            </w:pPr>
            <w:r>
              <w:rPr>
                <w:bCs/>
              </w:rPr>
              <w:t>Test Parameters for Channel Bandwidths</w:t>
            </w:r>
            <w:r>
              <w:rPr>
                <w:bCs/>
                <w:lang w:eastAsia="zh-TW"/>
              </w:rPr>
              <w:t xml:space="preserve"> </w:t>
            </w:r>
            <w:r>
              <w:t>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3495" w:type="dxa"/>
          </w:tcPr>
          <w:p>
            <w:pPr>
              <w:pStyle w:val="104"/>
            </w:pPr>
            <w:r>
              <w:t>Downlink Configuration</w:t>
            </w:r>
          </w:p>
        </w:tc>
        <w:tc>
          <w:tcPr>
            <w:tcW w:w="4661" w:type="dxa"/>
            <w:gridSpan w:val="4"/>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Pr>
          <w:p>
            <w:pPr>
              <w:pStyle w:val="105"/>
            </w:pPr>
            <w:r>
              <w:t>Ch BW</w:t>
            </w:r>
          </w:p>
        </w:tc>
        <w:tc>
          <w:tcPr>
            <w:tcW w:w="3495" w:type="dxa"/>
            <w:vMerge w:val="restart"/>
          </w:tcPr>
          <w:p>
            <w:pPr>
              <w:pStyle w:val="105"/>
            </w:pPr>
            <w:r>
              <w:t>N/A for PUSCH sub-test</w:t>
            </w:r>
          </w:p>
        </w:tc>
        <w:tc>
          <w:tcPr>
            <w:tcW w:w="1165" w:type="dxa"/>
          </w:tcPr>
          <w:p>
            <w:pPr>
              <w:pStyle w:val="105"/>
            </w:pPr>
            <w:r>
              <w:t>Mod'n</w:t>
            </w:r>
          </w:p>
        </w:tc>
        <w:tc>
          <w:tcPr>
            <w:tcW w:w="1165" w:type="dxa"/>
          </w:tcPr>
          <w:p>
            <w:pPr>
              <w:pStyle w:val="105"/>
            </w:pPr>
          </w:p>
        </w:tc>
        <w:tc>
          <w:tcPr>
            <w:tcW w:w="2331" w:type="dxa"/>
            <w:gridSpan w:val="2"/>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3495" w:type="dxa"/>
            <w:vMerge w:val="continue"/>
          </w:tcPr>
          <w:p>
            <w:pPr>
              <w:pStyle w:val="105"/>
            </w:pPr>
          </w:p>
        </w:tc>
        <w:tc>
          <w:tcPr>
            <w:tcW w:w="1165" w:type="dxa"/>
          </w:tcPr>
          <w:p>
            <w:pPr>
              <w:pStyle w:val="105"/>
            </w:pPr>
          </w:p>
        </w:tc>
        <w:tc>
          <w:tcPr>
            <w:tcW w:w="3496" w:type="dxa"/>
            <w:gridSpan w:val="3"/>
          </w:tcPr>
          <w:p>
            <w:pPr>
              <w:pStyle w:val="105"/>
            </w:pPr>
            <w:r>
              <w:t>FDD</w:t>
            </w:r>
            <w:r>
              <w:rPr>
                <w:lang w:eastAsia="zh-TW"/>
              </w:rPr>
              <w:t xml:space="preserve">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1" w:type="dxa"/>
            <w:gridSpan w:val="6"/>
          </w:tcPr>
          <w:p>
            <w:pPr>
              <w:pStyle w:val="105"/>
            </w:pPr>
            <w:r>
              <w:rPr>
                <w:b/>
              </w:rPr>
              <w:t>Low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jc w:val="center"/>
        </w:trPr>
        <w:tc>
          <w:tcPr>
            <w:tcW w:w="1165" w:type="dxa"/>
          </w:tcPr>
          <w:p>
            <w:pPr>
              <w:pStyle w:val="105"/>
            </w:pPr>
            <w:r>
              <w:t>1.4MHz</w:t>
            </w:r>
          </w:p>
        </w:tc>
        <w:tc>
          <w:tcPr>
            <w:tcW w:w="3495" w:type="dxa"/>
          </w:tcPr>
          <w:p>
            <w:pPr>
              <w:pStyle w:val="105"/>
              <w:rPr>
                <w:rFonts w:cs="v5.0.0"/>
              </w:rPr>
            </w:pPr>
          </w:p>
        </w:tc>
        <w:tc>
          <w:tcPr>
            <w:tcW w:w="1165" w:type="dxa"/>
          </w:tcPr>
          <w:p>
            <w:pPr>
              <w:pStyle w:val="105"/>
            </w:pPr>
            <w:r>
              <w:t>QPSK</w:t>
            </w:r>
          </w:p>
        </w:tc>
        <w:tc>
          <w:tcPr>
            <w:tcW w:w="1165" w:type="dxa"/>
          </w:tcPr>
          <w:p>
            <w:pPr>
              <w:pStyle w:val="105"/>
              <w:rPr>
                <w:lang w:eastAsia="zh-TW"/>
              </w:rPr>
            </w:pPr>
            <w:r>
              <w:rPr>
                <w:lang w:eastAsia="zh-TW"/>
              </w:rPr>
              <w:t>5</w:t>
            </w:r>
          </w:p>
        </w:tc>
        <w:tc>
          <w:tcPr>
            <w:tcW w:w="1165" w:type="dxa"/>
          </w:tcPr>
          <w:p>
            <w:pPr>
              <w:pStyle w:val="105"/>
              <w:rPr>
                <w:lang w:eastAsia="zh-TW"/>
              </w:rPr>
            </w:pPr>
            <w:r>
              <w:rPr>
                <w:lang w:eastAsia="zh-TW"/>
              </w:rPr>
              <w:t>5</w:t>
            </w:r>
          </w:p>
        </w:tc>
        <w:tc>
          <w:tcPr>
            <w:tcW w:w="1166" w:type="dxa"/>
          </w:tcPr>
          <w:p>
            <w:pPr>
              <w:pStyle w:val="105"/>
              <w:rPr>
                <w:lang w:eastAsia="zh-TW"/>
              </w:rPr>
            </w:pPr>
            <w:r>
              <w:rPr>
                <w:lang w:eastAsia="zh-TW"/>
              </w:rPr>
              <w:t>0</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and DL Reference Measurement channels are set according to Table 6.3A.4.3.4.1-1 (PUCCH sub-test) and Table 6.3A.4.3.4.1-2 (PUSCH sub-test).</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r>
        <w:rPr>
          <w:lang w:eastAsia="en-GB"/>
        </w:rPr>
        <w:t>5.6.1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w:t>
      </w:r>
      <w:r>
        <w:rPr>
          <w:color w:val="000000" w:themeColor="text1"/>
          <w14:textFill>
            <w14:solidFill>
              <w14:schemeClr w14:val="tx1"/>
            </w14:solidFill>
          </w14:textFill>
        </w:rPr>
        <w:t xml:space="preserve">all emulate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w:t>
      </w:r>
      <w:r>
        <w:t xml:space="preserve"> duration of the test as define in TS 36.508[12] clause 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7.</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r>
      <w:r>
        <w:rPr>
          <w:rFonts w:hint="eastAsia"/>
          <w:lang w:eastAsia="en-GB"/>
        </w:rPr>
        <w:t xml:space="preserve">Ensure the UE is in State 3A-RF-CE according to TS 36.508 [12] clause 5.2A.2AA. Message contents are defined in clause 6.3A.4.1.4.3. </w:t>
      </w:r>
    </w:p>
    <w:p>
      <w:pPr>
        <w:pStyle w:val="9"/>
      </w:pPr>
      <w:r>
        <w:t>6.3A.4.3.4.2</w:t>
      </w:r>
      <w:r>
        <w:tab/>
      </w:r>
      <w:r>
        <w:t>Test procedure</w:t>
      </w:r>
    </w:p>
    <w:p>
      <w:pPr>
        <w:rPr>
          <w:rFonts w:eastAsia="PMingLiU"/>
          <w:lang w:eastAsia="zh-TW"/>
        </w:rPr>
      </w:pPr>
      <w:r>
        <w:t>The procedure is separated in various subtests to verify different aspects of relative power control. The power patterns of the subtests are described in figure 6.3A.4.3.4.2-1.</w:t>
      </w:r>
    </w:p>
    <w:p>
      <w:pPr>
        <w:pStyle w:val="113"/>
      </w:pPr>
      <w:r>
        <w:drawing>
          <wp:inline distT="0" distB="0" distL="0" distR="0">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pPr>
        <w:pStyle w:val="113"/>
      </w:pPr>
      <w:r>
        <w:t>Figure 6.3.</w:t>
      </w:r>
      <w:r>
        <w:rPr>
          <w:lang w:eastAsia="zh-TW"/>
        </w:rPr>
        <w:t>A</w:t>
      </w:r>
      <w:r>
        <w:t>.4.3.4.2-1: Test uplink transmission</w:t>
      </w:r>
    </w:p>
    <w:p>
      <w:pPr>
        <w:pStyle w:val="111"/>
        <w:overflowPunct w:val="0"/>
        <w:autoSpaceDE w:val="0"/>
        <w:autoSpaceDN w:val="0"/>
        <w:adjustRightInd w:val="0"/>
        <w:contextualSpacing w:val="0"/>
        <w:textAlignment w:val="baseline"/>
        <w:rPr>
          <w:lang w:eastAsia="en-GB"/>
        </w:rPr>
      </w:pPr>
      <w:bookmarkStart w:id="574" w:name="_Hlk133660394"/>
      <w:r>
        <w:rPr>
          <w:rFonts w:hint="eastAsia"/>
          <w:lang w:eastAsia="en-GB"/>
        </w:rPr>
        <w:t>1.</w:t>
      </w:r>
      <w:r>
        <w:rPr>
          <w:rFonts w:hint="eastAsia"/>
          <w:lang w:eastAsia="en-GB"/>
        </w:rPr>
        <w:tab/>
      </w:r>
      <w:r>
        <w:rPr>
          <w:rFonts w:hint="eastAsia"/>
          <w:lang w:eastAsia="en-GB"/>
        </w:rPr>
        <w:t>PUCCH sub test:</w:t>
      </w:r>
    </w:p>
    <w:bookmarkEnd w:id="574"/>
    <w:p>
      <w:pPr>
        <w:pStyle w:val="11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r>
      <w:r>
        <w:rPr>
          <w:rFonts w:hint="eastAsia"/>
          <w:lang w:eastAsia="en-GB"/>
        </w:rPr>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pPr>
        <w:pStyle w:val="111"/>
        <w:overflowPunct w:val="0"/>
        <w:autoSpaceDE w:val="0"/>
        <w:autoSpaceDN w:val="0"/>
        <w:adjustRightInd w:val="0"/>
        <w:contextualSpacing w:val="0"/>
        <w:textAlignment w:val="baseline"/>
        <w:rPr>
          <w:lang w:eastAsia="en-GB"/>
        </w:rPr>
      </w:pPr>
      <w:r>
        <w:rPr>
          <w:rFonts w:hint="eastAsia"/>
          <w:lang w:eastAsia="en-GB"/>
        </w:rPr>
        <w:t>1.3. Measure the power of 5 consecutive PUCCH transmissions to verify the UE transmitted PUCCH power is maintained within 21 ms for FDD and within 41 ms for HD-FDD. The transient periods of 20us are excluded from the power measurement.</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PUSCH sub test:</w:t>
      </w:r>
    </w:p>
    <w:p>
      <w:pPr>
        <w:pStyle w:val="11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r>
      <w:r>
        <w:rPr>
          <w:rFonts w:hint="eastAsia"/>
          <w:lang w:eastAsia="en-GB"/>
        </w:rPr>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pPr>
        <w:pStyle w:val="111"/>
        <w:overflowPunct w:val="0"/>
        <w:autoSpaceDE w:val="0"/>
        <w:autoSpaceDN w:val="0"/>
        <w:adjustRightInd w:val="0"/>
        <w:contextualSpacing w:val="0"/>
        <w:textAlignment w:val="baseline"/>
        <w:rPr>
          <w:lang w:eastAsia="en-GB"/>
        </w:rPr>
      </w:pPr>
      <w:r>
        <w:rPr>
          <w:rFonts w:hint="eastAsia"/>
          <w:lang w:eastAsia="en-GB"/>
        </w:rPr>
        <w:t>2.3. Measure the power of 5 consecutive PUSCH transmissions to verify the UE transmitted PUSCH power is maintained within 21 ms for FDD and within 41 ms for HD-FDD. The transient periods of 20us are excluded from the power measurement.</w:t>
      </w:r>
    </w:p>
    <w:p>
      <w:pPr>
        <w:pStyle w:val="9"/>
      </w:pPr>
      <w:r>
        <w:t>6.3A.4.3.4.3</w:t>
      </w:r>
      <w:r>
        <w:tab/>
      </w:r>
      <w:r>
        <w:t>Message contents</w:t>
      </w:r>
    </w:p>
    <w:p>
      <w:pPr>
        <w:rPr>
          <w:lang w:eastAsia="ja-JP"/>
        </w:rPr>
      </w:pPr>
      <w:r>
        <w:t>Message contents are according to TS 36.508 [12] subclause 4.6</w:t>
      </w:r>
      <w:r>
        <w:rPr>
          <w:lang w:eastAsia="ja-JP"/>
        </w:rPr>
        <w:t>.</w:t>
      </w:r>
    </w:p>
    <w:p>
      <w:pPr>
        <w:pStyle w:val="9"/>
      </w:pPr>
      <w:r>
        <w:t>6.3A.4.3.5</w:t>
      </w:r>
      <w:r>
        <w:tab/>
      </w:r>
      <w:r>
        <w:t>Test requirement</w:t>
      </w:r>
    </w:p>
    <w:p>
      <w:r>
        <w:t xml:space="preserve">The requirement for the power measurements made in step (1.3) and (2.3) of the test procedure shall not </w:t>
      </w:r>
      <w:r>
        <w:rPr>
          <w:rFonts w:eastAsia="香~??’c‘I"/>
        </w:rPr>
        <w:t>exceed</w:t>
      </w:r>
      <w:r>
        <w:t xml:space="preserve"> the values specified in Table 6.3</w:t>
      </w:r>
      <w:r>
        <w:rPr>
          <w:lang w:eastAsia="zh-TW"/>
        </w:rPr>
        <w:t>A</w:t>
      </w:r>
      <w:r>
        <w:t>.4.3.5-1. The power measurement period shall be 1 sub-frame excluding transient periods.</w:t>
      </w:r>
    </w:p>
    <w:p>
      <w:pPr>
        <w:pStyle w:val="113"/>
      </w:pPr>
      <w:r>
        <w:t>Table 6.3</w:t>
      </w:r>
      <w:r>
        <w:rPr>
          <w:lang w:eastAsia="zh-TW"/>
        </w:rPr>
        <w:t>A</w:t>
      </w:r>
      <w:r>
        <w:t>.4.3.5-1: Power control tolerance</w:t>
      </w:r>
    </w:p>
    <w:tbl>
      <w:tblPr>
        <w:tblStyle w:val="89"/>
        <w:tblW w:w="7204" w:type="dxa"/>
        <w:jc w:val="center"/>
        <w:tblLayout w:type="autofit"/>
        <w:tblCellMar>
          <w:top w:w="0" w:type="dxa"/>
          <w:left w:w="108" w:type="dxa"/>
          <w:bottom w:w="0" w:type="dxa"/>
          <w:right w:w="108" w:type="dxa"/>
        </w:tblCellMar>
      </w:tblPr>
      <w:tblGrid>
        <w:gridCol w:w="1557"/>
        <w:gridCol w:w="1703"/>
        <w:gridCol w:w="3944"/>
      </w:tblGrid>
      <w:tr>
        <w:tblPrEx>
          <w:tblCellMar>
            <w:top w:w="0" w:type="dxa"/>
            <w:left w:w="108" w:type="dxa"/>
            <w:bottom w:w="0" w:type="dxa"/>
            <w:right w:w="108" w:type="dxa"/>
          </w:tblCellMar>
        </w:tblPrEx>
        <w:trPr>
          <w:trHeight w:val="302" w:hRule="atLeast"/>
          <w:jc w:val="center"/>
        </w:trPr>
        <w:tc>
          <w:tcPr>
            <w:tcW w:w="1557" w:type="dxa"/>
            <w:tcBorders>
              <w:top w:val="single" w:color="auto" w:sz="4" w:space="0"/>
              <w:left w:val="single" w:color="auto" w:sz="4" w:space="0"/>
              <w:bottom w:val="single" w:color="auto" w:sz="4" w:space="0"/>
              <w:right w:val="single" w:color="auto" w:sz="4" w:space="0"/>
            </w:tcBorders>
          </w:tcPr>
          <w:p>
            <w:pPr>
              <w:pStyle w:val="104"/>
            </w:pPr>
            <w:r>
              <w:rPr>
                <w:rFonts w:cs="Tahoma"/>
              </w:rPr>
              <w:t>TPC command</w:t>
            </w:r>
          </w:p>
        </w:tc>
        <w:tc>
          <w:tcPr>
            <w:tcW w:w="1703" w:type="dxa"/>
            <w:tcBorders>
              <w:top w:val="single" w:color="auto" w:sz="4" w:space="0"/>
              <w:left w:val="single" w:color="auto" w:sz="4" w:space="0"/>
              <w:bottom w:val="single" w:color="auto" w:sz="4" w:space="0"/>
              <w:right w:val="single" w:color="auto" w:sz="4" w:space="0"/>
            </w:tcBorders>
          </w:tcPr>
          <w:p>
            <w:pPr>
              <w:pStyle w:val="104"/>
            </w:pPr>
            <w:r>
              <w:rPr>
                <w:rFonts w:cs="Tahoma"/>
              </w:rPr>
              <w:t>UL channel</w:t>
            </w:r>
          </w:p>
        </w:tc>
        <w:tc>
          <w:tcPr>
            <w:tcW w:w="3944" w:type="dxa"/>
            <w:tcBorders>
              <w:top w:val="single" w:color="auto" w:sz="4" w:space="0"/>
              <w:left w:val="single" w:color="auto" w:sz="4" w:space="0"/>
              <w:bottom w:val="single" w:color="auto" w:sz="4" w:space="0"/>
              <w:right w:val="single" w:color="auto" w:sz="4" w:space="0"/>
            </w:tcBorders>
          </w:tcPr>
          <w:p>
            <w:pPr>
              <w:pStyle w:val="104"/>
            </w:pPr>
            <w:r>
              <w:rPr>
                <w:rFonts w:cs="Tahoma"/>
              </w:rPr>
              <w:t>Test requirement measured power within 21m</w:t>
            </w:r>
            <w:r>
              <w:rPr>
                <w:rFonts w:cs="Arial"/>
                <w:vertAlign w:val="superscript"/>
              </w:rPr>
              <w:t xml:space="preserve"> 2</w:t>
            </w:r>
          </w:p>
        </w:tc>
      </w:tr>
      <w:tr>
        <w:tblPrEx>
          <w:tblCellMar>
            <w:top w:w="0" w:type="dxa"/>
            <w:left w:w="108" w:type="dxa"/>
            <w:bottom w:w="0" w:type="dxa"/>
            <w:right w:w="108" w:type="dxa"/>
          </w:tblCellMar>
        </w:tblPrEx>
        <w:trPr>
          <w:trHeight w:val="302" w:hRule="atLeast"/>
          <w:jc w:val="center"/>
        </w:trPr>
        <w:tc>
          <w:tcPr>
            <w:tcW w:w="1557" w:type="dxa"/>
            <w:tcBorders>
              <w:top w:val="single" w:color="auto" w:sz="4" w:space="0"/>
              <w:left w:val="single" w:color="auto" w:sz="4" w:space="0"/>
              <w:bottom w:val="single" w:color="auto" w:sz="4" w:space="0"/>
              <w:right w:val="single" w:color="auto" w:sz="4" w:space="0"/>
            </w:tcBorders>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
          <w:p>
            <w:pPr>
              <w:pStyle w:val="105"/>
            </w:pPr>
            <w:r>
              <w:rPr>
                <w:rFonts w:cs="Tahoma"/>
              </w:rPr>
              <w:t>PUCCH</w:t>
            </w:r>
          </w:p>
        </w:tc>
        <w:tc>
          <w:tcPr>
            <w:tcW w:w="3944" w:type="dxa"/>
            <w:tcBorders>
              <w:top w:val="single" w:color="auto" w:sz="4" w:space="0"/>
              <w:left w:val="single" w:color="auto" w:sz="4" w:space="0"/>
              <w:bottom w:val="single" w:color="auto" w:sz="4" w:space="0"/>
              <w:right w:val="single" w:color="auto" w:sz="4" w:space="0"/>
            </w:tcBorders>
          </w:tcPr>
          <w:p>
            <w:pPr>
              <w:pStyle w:val="105"/>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 </w:t>
            </w:r>
            <w:r>
              <w:rPr>
                <w:rFonts w:cs="Tahoma"/>
              </w:rPr>
              <w:t>± 3.2 dB</w:t>
            </w:r>
            <w:r>
              <w:t xml:space="preserve"> of the 1</w:t>
            </w:r>
            <w:r>
              <w:rPr>
                <w:vertAlign w:val="superscript"/>
              </w:rPr>
              <w:t>st</w:t>
            </w:r>
            <w:r>
              <w:t xml:space="preserve"> measurement.</w:t>
            </w:r>
          </w:p>
        </w:tc>
      </w:tr>
      <w:tr>
        <w:tblPrEx>
          <w:tblCellMar>
            <w:top w:w="0" w:type="dxa"/>
            <w:left w:w="108" w:type="dxa"/>
            <w:bottom w:w="0" w:type="dxa"/>
            <w:right w:w="108" w:type="dxa"/>
          </w:tblCellMar>
        </w:tblPrEx>
        <w:trPr>
          <w:trHeight w:val="302" w:hRule="atLeast"/>
          <w:jc w:val="center"/>
        </w:trPr>
        <w:tc>
          <w:tcPr>
            <w:tcW w:w="1557" w:type="dxa"/>
            <w:tcBorders>
              <w:top w:val="single" w:color="auto" w:sz="4" w:space="0"/>
              <w:left w:val="single" w:color="auto" w:sz="4" w:space="0"/>
              <w:bottom w:val="single" w:color="auto" w:sz="4" w:space="0"/>
              <w:right w:val="single" w:color="auto" w:sz="4" w:space="0"/>
            </w:tcBorders>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
          <w:p>
            <w:pPr>
              <w:pStyle w:val="105"/>
            </w:pPr>
            <w:r>
              <w:rPr>
                <w:rFonts w:cs="Tahoma"/>
              </w:rPr>
              <w:t>PUSCH</w:t>
            </w:r>
          </w:p>
        </w:tc>
        <w:tc>
          <w:tcPr>
            <w:tcW w:w="3944" w:type="dxa"/>
            <w:tcBorders>
              <w:top w:val="single" w:color="auto" w:sz="4" w:space="0"/>
              <w:left w:val="single" w:color="auto" w:sz="4" w:space="0"/>
              <w:bottom w:val="single" w:color="auto" w:sz="4" w:space="0"/>
              <w:right w:val="single" w:color="auto" w:sz="4" w:space="0"/>
            </w:tcBorders>
          </w:tcPr>
          <w:p>
            <w:pPr>
              <w:pStyle w:val="105"/>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w:t>
            </w:r>
            <w:r>
              <w:rPr>
                <w:rFonts w:cs="Tahoma"/>
              </w:rPr>
              <w:t xml:space="preserve"> ± 4.2 dB</w:t>
            </w:r>
            <w:r>
              <w:t xml:space="preserve"> of the 1</w:t>
            </w:r>
            <w:r>
              <w:rPr>
                <w:vertAlign w:val="superscript"/>
              </w:rPr>
              <w:t>st</w:t>
            </w:r>
            <w:r>
              <w:t xml:space="preserve"> measurement.</w:t>
            </w:r>
          </w:p>
        </w:tc>
      </w:tr>
      <w:tr>
        <w:tblPrEx>
          <w:tblCellMar>
            <w:top w:w="0" w:type="dxa"/>
            <w:left w:w="108" w:type="dxa"/>
            <w:bottom w:w="0" w:type="dxa"/>
            <w:right w:w="108" w:type="dxa"/>
          </w:tblCellMar>
        </w:tblPrEx>
        <w:trPr>
          <w:trHeight w:val="302" w:hRule="atLeast"/>
          <w:jc w:val="center"/>
        </w:trPr>
        <w:tc>
          <w:tcPr>
            <w:tcW w:w="7204" w:type="dxa"/>
            <w:gridSpan w:val="3"/>
            <w:tcBorders>
              <w:top w:val="single" w:color="auto" w:sz="4" w:space="0"/>
              <w:left w:val="single" w:color="auto" w:sz="4" w:space="0"/>
              <w:bottom w:val="single" w:color="auto" w:sz="4" w:space="0"/>
              <w:right w:val="single" w:color="auto" w:sz="4" w:space="0"/>
            </w:tcBorders>
          </w:tcPr>
          <w:p>
            <w:pPr>
              <w:pStyle w:val="118"/>
              <w:rPr>
                <w:rFonts w:cs="Arial"/>
              </w:rPr>
            </w:pPr>
            <w:r>
              <w:rPr>
                <w:rFonts w:cs="Tahoma"/>
                <w:szCs w:val="16"/>
              </w:rPr>
              <w:t>Note 1:</w:t>
            </w:r>
            <w:r>
              <w:rPr>
                <w:rFonts w:cs="Tahoma"/>
                <w:szCs w:val="16"/>
              </w:rPr>
              <w:tab/>
            </w:r>
            <w:r>
              <w:rPr>
                <w:rFonts w:cs="Tahoma"/>
                <w:szCs w:val="16"/>
              </w:rPr>
              <w:t xml:space="preserve">The UE transmission gap is 4 ms </w:t>
            </w:r>
            <w:r>
              <w:rPr>
                <w:rFonts w:cs="Arial"/>
              </w:rPr>
              <w:t>for full-duplex FDD.</w:t>
            </w:r>
          </w:p>
          <w:p>
            <w:pPr>
              <w:pStyle w:val="118"/>
              <w:ind w:firstLine="1"/>
              <w:rPr>
                <w:rFonts w:cs="Tahoma"/>
                <w:szCs w:val="16"/>
              </w:rPr>
            </w:pPr>
            <w:r>
              <w:rPr>
                <w:rFonts w:cs="Arial"/>
              </w:rPr>
              <w:t>For UE of half-duplex FDD, the transmission gap is 9 ms</w:t>
            </w:r>
            <w:r>
              <w:rPr>
                <w:rFonts w:cs="Tahoma"/>
                <w:szCs w:val="16"/>
              </w:rPr>
              <w:t xml:space="preserve"> TPC command is transmitted via PDCCH 4 subframes preceding each PUCCH/PUSCH transmission.</w:t>
            </w:r>
          </w:p>
          <w:p>
            <w:pPr>
              <w:pStyle w:val="118"/>
            </w:pPr>
            <w:r>
              <w:rPr>
                <w:rFonts w:cs="Arial"/>
              </w:rPr>
              <w:t>Note 2:</w:t>
            </w:r>
            <w:r>
              <w:rPr>
                <w:rFonts w:cs="Tahoma"/>
                <w:szCs w:val="16"/>
              </w:rPr>
              <w:tab/>
            </w:r>
            <w:r>
              <w:t>For UE of half-duplex FDD MHz, the test interval is 41 ms.</w:t>
            </w:r>
          </w:p>
        </w:tc>
      </w:tr>
    </w:tbl>
    <w:p/>
    <w:p>
      <w:pPr>
        <w:pStyle w:val="4"/>
        <w:rPr>
          <w:rFonts w:cs="v5.0.0"/>
        </w:rPr>
      </w:pPr>
      <w:bookmarkStart w:id="575" w:name="_Toc20379"/>
      <w:bookmarkStart w:id="576" w:name="_Toc24824"/>
      <w:bookmarkStart w:id="577" w:name="_Toc30281"/>
      <w:bookmarkStart w:id="578" w:name="_Toc20023"/>
      <w:bookmarkStart w:id="579" w:name="_Toc25440"/>
      <w:bookmarkStart w:id="580" w:name="_Toc7707"/>
      <w:r>
        <w:rPr>
          <w:rFonts w:cs="v5.0.0"/>
        </w:rPr>
        <w:t>6.3B</w:t>
      </w:r>
      <w:r>
        <w:rPr>
          <w:rFonts w:cs="v5.0.0"/>
        </w:rPr>
        <w:tab/>
      </w:r>
      <w:r>
        <w:rPr>
          <w:rFonts w:cs="v5.0.0"/>
        </w:rPr>
        <w:t>Output power dynamics for category NB1 and NB2</w:t>
      </w:r>
      <w:bookmarkEnd w:id="562"/>
      <w:bookmarkEnd w:id="563"/>
      <w:bookmarkEnd w:id="564"/>
      <w:bookmarkEnd w:id="575"/>
      <w:bookmarkEnd w:id="576"/>
      <w:bookmarkEnd w:id="577"/>
      <w:bookmarkEnd w:id="578"/>
      <w:bookmarkEnd w:id="579"/>
      <w:bookmarkEnd w:id="580"/>
    </w:p>
    <w:p>
      <w:pPr>
        <w:pStyle w:val="5"/>
      </w:pPr>
      <w:bookmarkStart w:id="581" w:name="_Toc1407"/>
      <w:bookmarkStart w:id="582" w:name="_Toc4642"/>
      <w:bookmarkStart w:id="583" w:name="_Toc25153"/>
      <w:bookmarkStart w:id="584" w:name="_Toc30505"/>
      <w:bookmarkStart w:id="585" w:name="_Toc20577"/>
      <w:bookmarkStart w:id="586" w:name="_Toc9827"/>
      <w:bookmarkStart w:id="587" w:name="_Toc121162833"/>
      <w:bookmarkStart w:id="588" w:name="_Toc25603"/>
      <w:bookmarkStart w:id="589" w:name="_Toc120570041"/>
      <w:r>
        <w:t>6.3B.1</w:t>
      </w:r>
      <w:r>
        <w:tab/>
      </w:r>
      <w:r>
        <w:t>UE Minimum output power for category NB1 and NB2</w:t>
      </w:r>
      <w:bookmarkEnd w:id="511"/>
      <w:bookmarkEnd w:id="581"/>
      <w:bookmarkEnd w:id="582"/>
      <w:bookmarkEnd w:id="583"/>
      <w:bookmarkEnd w:id="584"/>
      <w:bookmarkEnd w:id="585"/>
      <w:bookmarkEnd w:id="586"/>
      <w:bookmarkEnd w:id="587"/>
      <w:bookmarkEnd w:id="588"/>
      <w:bookmarkEnd w:id="589"/>
    </w:p>
    <w:p>
      <w:pPr>
        <w:pStyle w:val="112"/>
        <w:rPr>
          <w:lang w:val="en-US"/>
        </w:rPr>
      </w:pPr>
      <w:r>
        <w:t>Editor’s Note: Addition to applicability spec is pending.</w:t>
      </w:r>
    </w:p>
    <w:p>
      <w:pPr>
        <w:pStyle w:val="9"/>
      </w:pPr>
      <w:r>
        <w:t>6.3B.1.1</w:t>
      </w:r>
      <w:r>
        <w:tab/>
      </w:r>
      <w:r>
        <w:t>Test purpose</w:t>
      </w:r>
    </w:p>
    <w:p>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p>
    <w:p>
      <w:pPr>
        <w:pStyle w:val="9"/>
      </w:pPr>
      <w:r>
        <w:t>6.3B.1.2</w:t>
      </w:r>
      <w:r>
        <w:tab/>
      </w:r>
      <w:r>
        <w:t>Test applicability</w:t>
      </w:r>
    </w:p>
    <w:p>
      <w:r>
        <w:t>This test case applies to all types of E-UTRA UE release 17 and forward of UE category NB11 and NB2 that support satellite access operation.</w:t>
      </w:r>
    </w:p>
    <w:p>
      <w:pPr>
        <w:pStyle w:val="9"/>
      </w:pPr>
      <w:r>
        <w:t>6.3B.1.3</w:t>
      </w:r>
      <w:r>
        <w:tab/>
      </w:r>
      <w:r>
        <w:t>Minimum conformance requirements</w:t>
      </w:r>
    </w:p>
    <w:p>
      <w:r>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6.3B.1.</w:t>
      </w:r>
    </w:p>
    <w:p>
      <w:pPr>
        <w:pStyle w:val="9"/>
      </w:pPr>
      <w:r>
        <w:t>6.3B.1.4</w:t>
      </w:r>
      <w:r>
        <w:tab/>
      </w:r>
      <w:r>
        <w:t>Test description</w:t>
      </w:r>
    </w:p>
    <w:p>
      <w:pPr>
        <w:pStyle w:val="9"/>
      </w:pPr>
      <w:r>
        <w:t>6.3B.1.4.1</w:t>
      </w:r>
      <w:r>
        <w:tab/>
      </w:r>
      <w:r>
        <w:t>Initial conditions</w:t>
      </w:r>
    </w:p>
    <w:p>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pPr>
        <w:pStyle w:val="113"/>
        <w:rPr>
          <w:lang w:eastAsia="ko-KR"/>
        </w:rPr>
      </w:pPr>
      <w:r>
        <w:t xml:space="preserve">Table 6.3B.1.4.1-1: Test Configuration Table </w:t>
      </w:r>
    </w:p>
    <w:tbl>
      <w:tblPr>
        <w:tblStyle w:val="89"/>
        <w:tblW w:w="9154" w:type="dxa"/>
        <w:jc w:val="center"/>
        <w:shd w:val="clear" w:color="auto" w:fill="FFFFFF"/>
        <w:tblLayout w:type="autofit"/>
        <w:tblCellMar>
          <w:top w:w="0" w:type="dxa"/>
          <w:left w:w="0" w:type="dxa"/>
          <w:bottom w:w="0" w:type="dxa"/>
          <w:right w:w="0" w:type="dxa"/>
        </w:tblCellMar>
      </w:tblPr>
      <w:tblGrid>
        <w:gridCol w:w="1466"/>
        <w:gridCol w:w="2702"/>
        <w:gridCol w:w="2030"/>
        <w:gridCol w:w="1779"/>
        <w:gridCol w:w="1177"/>
      </w:tblGrid>
      <w:tr>
        <w:tblPrEx>
          <w:tblCellMar>
            <w:top w:w="0" w:type="dxa"/>
            <w:left w:w="0" w:type="dxa"/>
            <w:bottom w:w="0" w:type="dxa"/>
            <w:right w:w="0" w:type="dxa"/>
          </w:tblCellMar>
        </w:tblPrEx>
        <w:trPr>
          <w:cantSplit/>
          <w:jc w:val="center"/>
        </w:trPr>
        <w:tc>
          <w:tcPr>
            <w:tcW w:w="9154"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spacing w:line="252" w:lineRule="auto"/>
              <w:rPr>
                <w:rFonts w:cs="Arial"/>
              </w:rPr>
            </w:pPr>
            <w:r>
              <w:t>Initial Conditions</w:t>
            </w:r>
          </w:p>
        </w:tc>
      </w:tr>
      <w:tr>
        <w:tblPrEx>
          <w:shd w:val="clear" w:color="auto" w:fill="FFFFFF"/>
          <w:tblCellMar>
            <w:top w:w="0" w:type="dxa"/>
            <w:left w:w="0" w:type="dxa"/>
            <w:bottom w:w="0" w:type="dxa"/>
            <w:right w:w="0" w:type="dxa"/>
          </w:tblCellMar>
        </w:tblPrEx>
        <w:trPr>
          <w:cantSplit/>
          <w:jc w:val="center"/>
        </w:trPr>
        <w:tc>
          <w:tcPr>
            <w:tcW w:w="416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5"/>
              <w:spacing w:line="252" w:lineRule="auto"/>
              <w:jc w:val="left"/>
            </w:pPr>
            <w:r>
              <w:t>Test Environment as specified in</w:t>
            </w:r>
          </w:p>
          <w:p>
            <w:pPr>
              <w:pStyle w:val="105"/>
              <w:spacing w:line="252" w:lineRule="auto"/>
              <w:jc w:val="left"/>
            </w:pPr>
            <w:r>
              <w:t>TS 36.508 [12] subclause 8.1.1</w:t>
            </w:r>
          </w:p>
        </w:tc>
        <w:tc>
          <w:tcPr>
            <w:tcW w:w="4986"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3"/>
              <w:spacing w:line="252" w:lineRule="auto"/>
            </w:pPr>
            <w:r>
              <w:t>Normal, TL/VL, TL/VH, TH/VL, TH/VH</w:t>
            </w:r>
          </w:p>
        </w:tc>
      </w:tr>
      <w:tr>
        <w:tblPrEx>
          <w:shd w:val="clear" w:color="auto" w:fill="FFFFFF"/>
          <w:tblCellMar>
            <w:top w:w="0" w:type="dxa"/>
            <w:left w:w="0" w:type="dxa"/>
            <w:bottom w:w="0" w:type="dxa"/>
            <w:right w:w="0" w:type="dxa"/>
          </w:tblCellMar>
        </w:tblPrEx>
        <w:trPr>
          <w:cantSplit/>
          <w:jc w:val="center"/>
        </w:trPr>
        <w:tc>
          <w:tcPr>
            <w:tcW w:w="416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3"/>
              <w:spacing w:line="252" w:lineRule="auto"/>
            </w:pPr>
            <w:r>
              <w:t>Test Frequencies as specified in</w:t>
            </w:r>
          </w:p>
          <w:p>
            <w:pPr>
              <w:pStyle w:val="103"/>
              <w:spacing w:line="252" w:lineRule="auto"/>
            </w:pPr>
            <w:r>
              <w:t>TS 36.508 [12] subclause 8.1.3.1</w:t>
            </w:r>
          </w:p>
        </w:tc>
        <w:tc>
          <w:tcPr>
            <w:tcW w:w="4986"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3"/>
              <w:spacing w:line="252" w:lineRule="auto"/>
            </w:pPr>
            <w:r>
              <w:t>Frequency ranges defined in Annex K.1.1</w:t>
            </w:r>
          </w:p>
        </w:tc>
      </w:tr>
      <w:tr>
        <w:tblPrEx>
          <w:shd w:val="clear" w:color="auto" w:fill="FFFFFF"/>
          <w:tblCellMar>
            <w:top w:w="0" w:type="dxa"/>
            <w:left w:w="0" w:type="dxa"/>
            <w:bottom w:w="0" w:type="dxa"/>
            <w:right w:w="0" w:type="dxa"/>
          </w:tblCellMar>
        </w:tblPrEx>
        <w:trPr>
          <w:cantSplit/>
          <w:jc w:val="center"/>
        </w:trPr>
        <w:tc>
          <w:tcPr>
            <w:tcW w:w="9154"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spacing w:line="252" w:lineRule="auto"/>
            </w:pPr>
            <w:r>
              <w:t>Test Parameters</w:t>
            </w:r>
          </w:p>
        </w:tc>
      </w:tr>
      <w:tr>
        <w:tblPrEx>
          <w:shd w:val="clear" w:color="auto" w:fill="FFFFFF"/>
          <w:tblCellMar>
            <w:top w:w="0" w:type="dxa"/>
            <w:left w:w="0" w:type="dxa"/>
            <w:bottom w:w="0" w:type="dxa"/>
            <w:right w:w="0" w:type="dxa"/>
          </w:tblCellMar>
        </w:tblPrEx>
        <w:trPr>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pStyle w:val="104"/>
              <w:spacing w:line="252" w:lineRule="auto"/>
            </w:pPr>
            <w:r>
              <w:t>Configuration ID</w:t>
            </w:r>
          </w:p>
        </w:tc>
        <w:tc>
          <w:tcPr>
            <w:tcW w:w="270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spacing w:line="252" w:lineRule="auto"/>
            </w:pPr>
            <w:r>
              <w:t>Downlink Configuration</w:t>
            </w:r>
          </w:p>
        </w:tc>
        <w:tc>
          <w:tcPr>
            <w:tcW w:w="4986"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spacing w:line="252" w:lineRule="auto"/>
            </w:pPr>
            <w:r>
              <w:t>Uplink Configuration</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pStyle w:val="105"/>
            </w:pPr>
          </w:p>
        </w:tc>
        <w:tc>
          <w:tcPr>
            <w:tcW w:w="2702" w:type="dxa"/>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N/A</w:t>
            </w: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Modulation</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N</w:t>
            </w:r>
            <w:r>
              <w:rPr>
                <w:vertAlign w:val="subscript"/>
              </w:rPr>
              <w:t>tones</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Sub-carrier spacing (kHz)</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1 (Note 2)</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BPSK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1@0</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3.75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2 (Note 3)</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BPSK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1@47</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3.75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3 (Note 2)</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QPSK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1@0</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4 (Note 3)</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QPSK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1@11</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5 (Note 1)</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QPSK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12@0</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15</w:t>
            </w:r>
          </w:p>
        </w:tc>
      </w:tr>
      <w:tr>
        <w:tblPrEx>
          <w:shd w:val="clear" w:color="auto" w:fill="FFFFFF"/>
          <w:tblCellMar>
            <w:top w:w="0" w:type="dxa"/>
            <w:left w:w="0" w:type="dxa"/>
            <w:bottom w:w="0" w:type="dxa"/>
            <w:right w:w="0" w:type="dxa"/>
          </w:tblCellMar>
        </w:tblPrEx>
        <w:trPr>
          <w:cantSplit/>
          <w:jc w:val="center"/>
        </w:trPr>
        <w:tc>
          <w:tcPr>
            <w:tcW w:w="9154" w:type="dxa"/>
            <w:gridSpan w:val="5"/>
            <w:tcBorders>
              <w:top w:val="single" w:color="auto" w:sz="4" w:space="0"/>
              <w:left w:val="single" w:color="auto" w:sz="4" w:space="0"/>
              <w:bottom w:val="single" w:color="auto" w:sz="4" w:space="0"/>
              <w:right w:val="single" w:color="auto" w:sz="4" w:space="0"/>
            </w:tcBorders>
            <w:shd w:val="clear" w:color="auto" w:fill="FFFFFF"/>
          </w:tcPr>
          <w:p>
            <w:pPr>
              <w:pStyle w:val="118"/>
              <w:spacing w:line="252" w:lineRule="auto"/>
            </w:pPr>
            <w:r>
              <w:t>Note 1: Applicable to UE supporting UL multi-tone transmissions</w:t>
            </w:r>
          </w:p>
          <w:p>
            <w:pPr>
              <w:pStyle w:val="118"/>
              <w:spacing w:line="252" w:lineRule="auto"/>
            </w:pPr>
            <w:r>
              <w:t>Note 2: only applicable for low range</w:t>
            </w:r>
          </w:p>
          <w:p>
            <w:pPr>
              <w:pStyle w:val="118"/>
              <w:spacing w:line="252" w:lineRule="auto"/>
            </w:pPr>
            <w:r>
              <w:t>Note 3: only applicable for high range</w:t>
            </w:r>
          </w:p>
        </w:tc>
      </w:tr>
    </w:tbl>
    <w:p>
      <w:pPr>
        <w:rPr>
          <w:rFonts w:eastAsiaTheme="minorEastAsia"/>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H.1.1 and H.4.0.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color w:val="000000" w:themeColor="text1"/>
          <w:lang w:eastAsia="en-GB"/>
          <w14:textFill>
            <w14:solidFill>
              <w14:schemeClr w14:val="tx1"/>
            </w14:solidFill>
          </w14:textFill>
        </w:rPr>
      </w:pPr>
      <w:r>
        <w:rPr>
          <w:rFonts w:hint="eastAsia"/>
          <w:lang w:eastAsia="en-GB"/>
        </w:rPr>
        <w:t>6.</w:t>
      </w:r>
      <w:r>
        <w:rPr>
          <w:rFonts w:hint="eastAsia"/>
          <w:lang w:eastAsia="en-GB"/>
        </w:rPr>
        <w:tab/>
      </w:r>
      <w:r>
        <w:rPr>
          <w:rFonts w:hint="eastAsia"/>
          <w:lang w:eastAsia="en-GB"/>
        </w:rPr>
        <w:t>UE location according to T</w:t>
      </w:r>
      <w:r>
        <w:rPr>
          <w:rFonts w:hint="eastAsia"/>
          <w:color w:val="000000" w:themeColor="text1"/>
          <w:lang w:eastAsia="en-GB"/>
          <w14:textFill>
            <w14:solidFill>
              <w14:schemeClr w14:val="tx1"/>
            </w14:solidFill>
          </w14:textFill>
        </w:rPr>
        <w:t xml:space="preserve">S 36.508 [12] clause </w:t>
      </w:r>
      <w:r>
        <w:rPr>
          <w:color w:val="000000" w:themeColor="text1"/>
          <w:lang w:eastAsia="en-GB"/>
          <w14:textFill>
            <w14:solidFill>
              <w14:schemeClr w14:val="tx1"/>
            </w14:solidFill>
          </w14:textFill>
        </w:rPr>
        <w:t>8.2.6.1.</w:t>
      </w:r>
      <w:r>
        <w:rPr>
          <w:rFonts w:hint="eastAsia"/>
          <w:color w:val="000000" w:themeColor="text1"/>
          <w:lang w:eastAsia="en-GB"/>
          <w14:textFill>
            <w14:solidFill>
              <w14:schemeClr w14:val="tx1"/>
            </w14:solidFill>
          </w14:textFill>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color w:val="000000" w:themeColor="text1"/>
          <w:lang w:eastAsia="en-GB"/>
          <w14:textFill>
            <w14:solidFill>
              <w14:schemeClr w14:val="tx1"/>
            </w14:solidFill>
          </w14:textFill>
        </w:rPr>
        <w:t>7.</w:t>
      </w:r>
      <w:r>
        <w:rPr>
          <w:rFonts w:hint="eastAsia"/>
          <w:color w:val="000000" w:themeColor="text1"/>
          <w:lang w:eastAsia="en-GB"/>
          <w14:textFill>
            <w14:solidFill>
              <w14:schemeClr w14:val="tx1"/>
            </w14:solidFill>
          </w14:textFill>
        </w:rPr>
        <w:tab/>
      </w:r>
      <w:r>
        <w:rPr>
          <w:color w:val="000000" w:themeColor="text1"/>
          <w14:textFill>
            <w14:solidFill>
              <w14:schemeClr w14:val="tx1"/>
            </w14:solidFill>
          </w14:textFill>
        </w:rPr>
        <w:t xml:space="preserve">Test equipment shall emulate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durin</w:t>
      </w:r>
      <w:r>
        <w:t>g the duration of the test as define in TS 36.508[12] clause 8.2.6.3.1</w:t>
      </w:r>
    </w:p>
    <w:p>
      <w:pPr>
        <w:pStyle w:val="111"/>
        <w:overflowPunct w:val="0"/>
        <w:autoSpaceDE w:val="0"/>
        <w:autoSpaceDN w:val="0"/>
        <w:adjustRightInd w:val="0"/>
        <w:contextualSpacing w:val="0"/>
        <w:textAlignment w:val="baseline"/>
      </w:pPr>
      <w:r>
        <w:rPr>
          <w:lang w:eastAsia="en-GB"/>
        </w:rPr>
        <w:t>8.</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 xml:space="preserve">Ensure the UE is in State 2A-NB with CP CIoT Optimisation according to TS 36.508 [12] clause 8.1.5. Message contents are defined in clause 6.3B.1.4.3. </w:t>
      </w:r>
    </w:p>
    <w:p>
      <w:pPr>
        <w:pStyle w:val="9"/>
      </w:pPr>
      <w:r>
        <w:t>6.3B.1.4.2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6.3B.1.4.3</w:t>
      </w:r>
      <w:r>
        <w:tab/>
      </w:r>
      <w:r>
        <w:t>Message contents</w:t>
      </w:r>
    </w:p>
    <w:p>
      <w:r>
        <w:rPr>
          <w:rFonts w:eastAsiaTheme="minorEastAsia"/>
        </w:rPr>
        <w:t>Message contents are according to TS 36.508 [12] subclause 8.1.6 with the following exception.</w:t>
      </w:r>
    </w:p>
    <w:p>
      <w:pPr>
        <w:pStyle w:val="113"/>
      </w:pPr>
      <w:r>
        <w:t>Table 6.3B.1.4.3-1: NPDSCH-ConfigCommon-NB-DEFAULT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36.508 clause 8.1.6.3, Table 8.1.6.3-4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vMerge w:val="restart"/>
          </w:tcPr>
          <w:p>
            <w:pPr>
              <w:pStyle w:val="103"/>
            </w:pPr>
            <w:r>
              <w:t xml:space="preserve">  nrs-Power-r13</w:t>
            </w:r>
          </w:p>
        </w:tc>
        <w:tc>
          <w:tcPr>
            <w:tcW w:w="2268" w:type="dxa"/>
          </w:tcPr>
          <w:p>
            <w:pPr>
              <w:pStyle w:val="103"/>
            </w:pPr>
            <w:r>
              <w:t>-39 (dBm)</w:t>
            </w:r>
          </w:p>
        </w:tc>
        <w:tc>
          <w:tcPr>
            <w:tcW w:w="1701" w:type="dxa"/>
          </w:tcPr>
          <w:p>
            <w:pPr>
              <w:pStyle w:val="103"/>
            </w:pPr>
          </w:p>
        </w:tc>
        <w:tc>
          <w:tcPr>
            <w:tcW w:w="1275" w:type="dxa"/>
          </w:tcPr>
          <w:p>
            <w:pPr>
              <w:pStyle w:val="103"/>
            </w:pPr>
            <w:r>
              <w:t xml:space="preserve">15 kHz SCS </w:t>
            </w:r>
          </w:p>
          <w:p>
            <w:pPr>
              <w:pStyle w:val="103"/>
            </w:pPr>
            <w:r>
              <w:t>N</w:t>
            </w:r>
            <w:r>
              <w:rPr>
                <w:vertAlign w:val="subscript"/>
              </w:rPr>
              <w:t>tones</w:t>
            </w:r>
            <w:r>
              <w:t xml:space="preserve">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vMerge w:val="continue"/>
          </w:tcPr>
          <w:p>
            <w:pPr>
              <w:pStyle w:val="103"/>
            </w:pPr>
          </w:p>
        </w:tc>
        <w:tc>
          <w:tcPr>
            <w:tcW w:w="2268" w:type="dxa"/>
          </w:tcPr>
          <w:p>
            <w:pPr>
              <w:pStyle w:val="103"/>
            </w:pPr>
            <w:r>
              <w:t>-50 (dBm)</w:t>
            </w:r>
          </w:p>
        </w:tc>
        <w:tc>
          <w:tcPr>
            <w:tcW w:w="1701" w:type="dxa"/>
          </w:tcPr>
          <w:p>
            <w:pPr>
              <w:pStyle w:val="103"/>
            </w:pPr>
          </w:p>
        </w:tc>
        <w:tc>
          <w:tcPr>
            <w:tcW w:w="1275" w:type="dxa"/>
          </w:tcPr>
          <w:p>
            <w:pPr>
              <w:pStyle w:val="103"/>
            </w:pPr>
            <w:r>
              <w:t>15 kHz SCS</w:t>
            </w:r>
          </w:p>
          <w:p>
            <w:pPr>
              <w:pStyle w:val="103"/>
            </w:pPr>
            <w:r>
              <w:t>N</w:t>
            </w:r>
            <w:r>
              <w:rPr>
                <w:vertAlign w:val="subscript"/>
              </w:rPr>
              <w:t>tones</w:t>
            </w:r>
            <w:r>
              <w:t xml:space="preserve"> =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vMerge w:val="continue"/>
            <w:tcBorders>
              <w:bottom w:val="single" w:color="auto" w:sz="4" w:space="0"/>
            </w:tcBorders>
          </w:tcPr>
          <w:p>
            <w:pPr>
              <w:pStyle w:val="103"/>
            </w:pPr>
          </w:p>
        </w:tc>
        <w:tc>
          <w:tcPr>
            <w:tcW w:w="2268" w:type="dxa"/>
          </w:tcPr>
          <w:p>
            <w:pPr>
              <w:pStyle w:val="103"/>
            </w:pPr>
            <w:r>
              <w:t>-33 (dBm)</w:t>
            </w:r>
          </w:p>
        </w:tc>
        <w:tc>
          <w:tcPr>
            <w:tcW w:w="1701" w:type="dxa"/>
          </w:tcPr>
          <w:p>
            <w:pPr>
              <w:pStyle w:val="103"/>
            </w:pPr>
          </w:p>
        </w:tc>
        <w:tc>
          <w:tcPr>
            <w:tcW w:w="1275" w:type="dxa"/>
          </w:tcPr>
          <w:p>
            <w:pPr>
              <w:pStyle w:val="103"/>
            </w:pPr>
            <w:r>
              <w:t>3.75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3"/>
            </w:pPr>
            <w:r>
              <w:t>}</w:t>
            </w:r>
          </w:p>
        </w:tc>
        <w:tc>
          <w:tcPr>
            <w:tcW w:w="2268" w:type="dxa"/>
          </w:tcPr>
          <w:p>
            <w:pPr>
              <w:pStyle w:val="103"/>
            </w:pPr>
          </w:p>
        </w:tc>
        <w:tc>
          <w:tcPr>
            <w:tcW w:w="1701" w:type="dxa"/>
          </w:tcPr>
          <w:p>
            <w:pPr>
              <w:pStyle w:val="103"/>
            </w:pPr>
          </w:p>
        </w:tc>
        <w:tc>
          <w:tcPr>
            <w:tcW w:w="1275" w:type="dxa"/>
          </w:tcPr>
          <w:p>
            <w:pPr>
              <w:pStyle w:val="103"/>
            </w:pPr>
          </w:p>
        </w:tc>
      </w:tr>
    </w:tbl>
    <w:p/>
    <w:p>
      <w:pPr>
        <w:pStyle w:val="113"/>
      </w:pPr>
      <w:r>
        <w:t>Table 6.3B.1.4.3-2: UplinkPowerControlCommon-NB-DEFAULT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36.508 clause 8.1.6.3. Table 8.1.6.3-14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pStyle w:val="103"/>
            </w:pPr>
            <w:r>
              <w:t>-95 (-95 dBm)</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alpha-r13</w:t>
            </w:r>
          </w:p>
        </w:tc>
        <w:tc>
          <w:tcPr>
            <w:tcW w:w="2268" w:type="dxa"/>
            <w:tcBorders>
              <w:top w:val="single" w:color="auto" w:sz="4" w:space="0"/>
              <w:left w:val="single" w:color="auto" w:sz="4" w:space="0"/>
              <w:bottom w:val="single" w:color="auto" w:sz="4" w:space="0"/>
              <w:right w:val="single" w:color="auto" w:sz="4" w:space="0"/>
            </w:tcBorders>
          </w:tcPr>
          <w:p>
            <w:pPr>
              <w:pStyle w:val="103"/>
            </w:pPr>
            <w:r>
              <w:t>al1 (1)</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pStyle w:val="103"/>
            </w:pPr>
            <w:r>
              <w:t>4</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6.3B.1.5</w:t>
      </w:r>
      <w:r>
        <w:tab/>
      </w:r>
      <w:r>
        <w:t>Test requirement</w:t>
      </w:r>
    </w:p>
    <w:p>
      <w:r>
        <w:t>The minimum output power measured shall not exceed the value of -39 dBm for the channel bandwidth of category NB1 and NB2 UE.</w:t>
      </w:r>
    </w:p>
    <w:p>
      <w:pPr>
        <w:pStyle w:val="5"/>
      </w:pPr>
      <w:bookmarkStart w:id="590" w:name="_Toc11634"/>
      <w:bookmarkStart w:id="591" w:name="_Toc120570042"/>
      <w:bookmarkStart w:id="592" w:name="_Toc5221"/>
      <w:bookmarkStart w:id="593" w:name="_Toc111062043"/>
      <w:bookmarkStart w:id="594" w:name="_Toc121162834"/>
      <w:bookmarkStart w:id="595" w:name="_Toc23575"/>
      <w:bookmarkStart w:id="596" w:name="_Toc10878"/>
      <w:bookmarkStart w:id="597" w:name="_Toc27821"/>
      <w:bookmarkStart w:id="598" w:name="_Toc18703"/>
      <w:bookmarkStart w:id="599" w:name="_Toc10034"/>
      <w:r>
        <w:t>6.3B.2</w:t>
      </w:r>
      <w:r>
        <w:tab/>
      </w:r>
      <w:r>
        <w:t>Transmit OFF power for category NB1 and NB2</w:t>
      </w:r>
      <w:bookmarkEnd w:id="590"/>
      <w:bookmarkEnd w:id="591"/>
      <w:bookmarkEnd w:id="592"/>
      <w:bookmarkEnd w:id="593"/>
      <w:bookmarkEnd w:id="594"/>
      <w:bookmarkEnd w:id="595"/>
      <w:bookmarkEnd w:id="596"/>
      <w:bookmarkEnd w:id="597"/>
      <w:bookmarkEnd w:id="598"/>
      <w:bookmarkEnd w:id="599"/>
    </w:p>
    <w:p>
      <w:pPr>
        <w:pStyle w:val="112"/>
        <w:rPr>
          <w:lang w:val="en-US"/>
        </w:rPr>
      </w:pPr>
      <w:r>
        <w:t>Editor’s Note: Addition to applicability spec is pending.</w:t>
      </w:r>
    </w:p>
    <w:p>
      <w:pPr>
        <w:pStyle w:val="9"/>
      </w:pPr>
      <w:r>
        <w:t>6.3B.2.1</w:t>
      </w:r>
      <w:r>
        <w:tab/>
      </w:r>
      <w:r>
        <w:t>Test purpose</w:t>
      </w:r>
    </w:p>
    <w:p>
      <w:pPr>
        <w:rPr>
          <w:rFonts w:eastAsia="PMingLiU"/>
          <w:lang w:eastAsia="zh-TW"/>
        </w:rPr>
      </w:pPr>
      <w:r>
        <w:t>To verify that the UE transmit OFF power is lower than the value specified in the test requirement.</w:t>
      </w:r>
    </w:p>
    <w:p>
      <w:pPr>
        <w:pStyle w:val="9"/>
      </w:pPr>
      <w:r>
        <w:t>6.3B.2.2</w:t>
      </w:r>
      <w:r>
        <w:tab/>
      </w:r>
      <w:r>
        <w:t>Test applicability</w:t>
      </w:r>
    </w:p>
    <w:p>
      <w:r>
        <w:t>The requirements of this test apply in test cases 6.3B.3.1 General ON/OFF time mask and 6.3B.3.2 NPRACH time mask for all types of NB-IoT FDD UE release 1</w:t>
      </w:r>
      <w:r>
        <w:rPr>
          <w:rFonts w:eastAsia="PMingLiU"/>
          <w:lang w:eastAsia="zh-TW"/>
        </w:rPr>
        <w:t>7</w:t>
      </w:r>
      <w:r>
        <w:t xml:space="preserve"> and forward of UE category NB1 and NB2 that support satellite access operation.</w:t>
      </w:r>
    </w:p>
    <w:p>
      <w:pPr>
        <w:pStyle w:val="9"/>
      </w:pPr>
      <w:r>
        <w:t>6.3B.2.3</w:t>
      </w:r>
      <w:r>
        <w:tab/>
      </w:r>
      <w:r>
        <w:t>Minimum conformance requirements</w:t>
      </w:r>
    </w:p>
    <w:p>
      <w:pPr>
        <w:rPr>
          <w:rFonts w:eastAsia="PMingLiU"/>
          <w:lang w:eastAsia="zh-TW"/>
        </w:rPr>
      </w:pPr>
      <w:r>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r>
        <w:t>The normative reference for this requirement is TS 36.102 [11] clause 6.3B.2.</w:t>
      </w:r>
    </w:p>
    <w:p>
      <w:pPr>
        <w:pStyle w:val="9"/>
      </w:pPr>
      <w:r>
        <w:t>6.3B.2.4</w:t>
      </w:r>
      <w:r>
        <w:tab/>
      </w:r>
      <w:r>
        <w:t>Test description</w:t>
      </w:r>
    </w:p>
    <w:p>
      <w:r>
        <w:t>This test is covered by clause 6.3B.3.1 General ON/OFF time mask for category NB1 and NB2 and 6.3B.3.2 NPRACH time mask for category NB1 and NB2.</w:t>
      </w:r>
    </w:p>
    <w:p>
      <w:pPr>
        <w:pStyle w:val="9"/>
      </w:pPr>
      <w:r>
        <w:t>6.3B.2.5</w:t>
      </w:r>
      <w:r>
        <w:tab/>
      </w:r>
      <w:r>
        <w:t>Test requirement</w:t>
      </w:r>
    </w:p>
    <w:p>
      <w:pPr>
        <w:rPr>
          <w:rFonts w:eastAsia="PMingLiU"/>
          <w:lang w:eastAsia="zh-TW"/>
        </w:rPr>
      </w:pPr>
      <w:r>
        <w:t xml:space="preserve">The requirement for the transmit OFF power shall not exceed the values </w:t>
      </w:r>
      <w:r>
        <w:rPr>
          <w:rFonts w:eastAsia="PMingLiU"/>
          <w:lang w:eastAsia="zh-TW"/>
        </w:rPr>
        <w:t xml:space="preserve">of </w:t>
      </w:r>
      <w:r>
        <w:rPr>
          <w:lang w:eastAsia="ja-JP"/>
        </w:rPr>
        <w:t xml:space="preserve">-48.5 </w:t>
      </w:r>
      <w:r>
        <w:rPr>
          <w:rFonts w:eastAsia="PMingLiU"/>
          <w:lang w:eastAsia="zh-TW"/>
        </w:rPr>
        <w:t xml:space="preserve">dBm </w:t>
      </w:r>
      <w:r>
        <w:t>for the channel bandwidth</w:t>
      </w:r>
      <w:r>
        <w:rPr>
          <w:rFonts w:eastAsia="PMingLiU"/>
          <w:lang w:eastAsia="zh-TW"/>
        </w:rPr>
        <w:t xml:space="preserve"> of </w:t>
      </w:r>
      <w:r>
        <w:t>category NB1 and NB2</w:t>
      </w:r>
      <w:r>
        <w:rPr>
          <w:rFonts w:eastAsia="PMingLiU"/>
          <w:lang w:eastAsia="zh-TW"/>
        </w:rPr>
        <w:t>.</w:t>
      </w:r>
    </w:p>
    <w:p>
      <w:pPr>
        <w:pStyle w:val="5"/>
        <w:rPr>
          <w:lang w:eastAsia="zh-CN"/>
        </w:rPr>
      </w:pPr>
      <w:bookmarkStart w:id="600" w:name="_Toc13505"/>
      <w:bookmarkStart w:id="601" w:name="_Toc121162835"/>
      <w:bookmarkStart w:id="602" w:name="_Toc120570043"/>
      <w:bookmarkStart w:id="603" w:name="_Toc30404"/>
      <w:bookmarkStart w:id="604" w:name="_Toc111062045"/>
      <w:bookmarkStart w:id="605" w:name="_Toc23945"/>
      <w:bookmarkStart w:id="606" w:name="_Toc8552"/>
      <w:bookmarkStart w:id="607" w:name="_Toc12040"/>
      <w:bookmarkStart w:id="608" w:name="_Toc14294"/>
      <w:bookmarkStart w:id="609" w:name="_Toc8686"/>
      <w:r>
        <w:t>6.3B.3</w:t>
      </w:r>
      <w:r>
        <w:tab/>
      </w:r>
      <w:r>
        <w:t xml:space="preserve">ON/OFF time mask </w:t>
      </w:r>
      <w:r>
        <w:rPr>
          <w:lang w:eastAsia="zh-CN"/>
        </w:rPr>
        <w:t>for category NB1 and NB2</w:t>
      </w:r>
      <w:bookmarkEnd w:id="600"/>
      <w:bookmarkEnd w:id="601"/>
      <w:bookmarkEnd w:id="602"/>
      <w:bookmarkEnd w:id="603"/>
      <w:bookmarkEnd w:id="604"/>
      <w:bookmarkEnd w:id="605"/>
      <w:bookmarkEnd w:id="606"/>
      <w:bookmarkEnd w:id="607"/>
      <w:bookmarkEnd w:id="608"/>
      <w:bookmarkEnd w:id="609"/>
    </w:p>
    <w:p>
      <w:pPr>
        <w:pStyle w:val="6"/>
      </w:pPr>
      <w:bookmarkStart w:id="610" w:name="_Toc20875"/>
      <w:bookmarkStart w:id="611" w:name="_Toc16851"/>
      <w:bookmarkStart w:id="612" w:name="_Toc12801"/>
      <w:bookmarkStart w:id="613" w:name="_Toc27298"/>
      <w:bookmarkStart w:id="614" w:name="_Toc5354"/>
      <w:bookmarkStart w:id="615" w:name="_Toc29194"/>
      <w:r>
        <w:t>6.3B.3.1</w:t>
      </w:r>
      <w:r>
        <w:tab/>
      </w:r>
      <w:r>
        <w:rPr>
          <w:lang w:eastAsia="zh-TW"/>
        </w:rPr>
        <w:t>General ON/OFF time mask for category NB1 and NB2</w:t>
      </w:r>
      <w:bookmarkEnd w:id="610"/>
      <w:bookmarkEnd w:id="611"/>
      <w:bookmarkEnd w:id="612"/>
      <w:bookmarkEnd w:id="613"/>
      <w:bookmarkEnd w:id="614"/>
      <w:bookmarkEnd w:id="615"/>
    </w:p>
    <w:p>
      <w:pPr>
        <w:pStyle w:val="112"/>
        <w:rPr>
          <w:lang w:val="en-US"/>
        </w:rPr>
      </w:pPr>
      <w:r>
        <w:t>Editor’s Note: Addition to applicability spec is pending.</w:t>
      </w:r>
    </w:p>
    <w:p>
      <w:pPr>
        <w:pStyle w:val="9"/>
      </w:pPr>
      <w:r>
        <w:t>6.3B.3.1.1</w:t>
      </w:r>
      <w:r>
        <w:tab/>
      </w:r>
      <w:r>
        <w:t>Test purpose</w:t>
      </w:r>
    </w:p>
    <w:p>
      <w:r>
        <w:t>To verify that the general ON/OFF time mask meets the requirements given in 6.3</w:t>
      </w:r>
      <w:r>
        <w:rPr>
          <w:rFonts w:eastAsia="PMingLiU"/>
          <w:lang w:eastAsia="zh-TW"/>
        </w:rPr>
        <w:t>B</w:t>
      </w:r>
      <w:r>
        <w:t>.3.1.5.</w:t>
      </w:r>
    </w:p>
    <w:p>
      <w:r>
        <w:t>The time mask for transmit ON/OFF defines the ramping time allowed for the UE between transmit OFF power and transmit ON power.</w:t>
      </w:r>
    </w:p>
    <w:p>
      <w:r>
        <w:t>Transmission of the wrong power increases interference to other channels or increases transmission errors in the uplink channel.</w:t>
      </w:r>
    </w:p>
    <w:p>
      <w:pPr>
        <w:pStyle w:val="9"/>
      </w:pPr>
      <w:r>
        <w:t>6.3B.3.1.2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6.3B.3.1.3</w:t>
      </w:r>
      <w:r>
        <w:tab/>
      </w:r>
      <w:r>
        <w:t>Minimum conformance requirements</w:t>
      </w:r>
    </w:p>
    <w:p>
      <w:r>
        <w:rPr>
          <w:rFonts w:eastAsia="ヒラギノ角ゴ Pro W3"/>
          <w:kern w:val="24"/>
        </w:rPr>
        <w:t xml:space="preserve">E-UTRA general ON/OFF time mask in TS 36.521-1[14] subclause 6.3.4.1 applies for category NB1 and NB2 UE with an exception that </w:t>
      </w:r>
      <w:r>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pPr>
        <w:rPr>
          <w:rFonts w:eastAsia="ヒラギノ角ゴ Pro W3"/>
        </w:rPr>
      </w:pPr>
      <w:r>
        <w:rPr>
          <w:rFonts w:eastAsia="ヒラギノ角ゴ Pro W3"/>
        </w:rPr>
        <w:t>The normative reference for this requirement is TS 36.102 [11] clause 6.3B.3.1.</w:t>
      </w:r>
    </w:p>
    <w:p>
      <w:pPr>
        <w:pStyle w:val="9"/>
      </w:pPr>
      <w:r>
        <w:t>6.3B.3.1.4</w:t>
      </w:r>
      <w:r>
        <w:tab/>
      </w:r>
      <w:r>
        <w:t>Test description</w:t>
      </w:r>
    </w:p>
    <w:p>
      <w:r>
        <w:t>This test is covered by clause 6.3B.3.1 General ON/OFF time mask for category NB1 and NB2 and 6.3B.3.2 NPRACH time mask</w:t>
      </w:r>
      <w:r>
        <w:rPr>
          <w:rFonts w:eastAsia="PMingLiU"/>
          <w:lang w:eastAsia="zh-TW"/>
        </w:rPr>
        <w:t xml:space="preserve"> for category NB1 and NB2</w:t>
      </w:r>
      <w:r>
        <w:t>.</w:t>
      </w:r>
    </w:p>
    <w:p>
      <w:pPr>
        <w:pStyle w:val="9"/>
      </w:pPr>
      <w:r>
        <w:t>6.3B.3.1.4.1</w:t>
      </w:r>
      <w:r>
        <w:tab/>
      </w:r>
      <w:r>
        <w:t>Initial conditions</w:t>
      </w:r>
    </w:p>
    <w:p>
      <w:pPr>
        <w:rPr>
          <w:rFonts w:eastAsia="ヒラギノ角ゴ Pro W3"/>
        </w:rPr>
      </w:pPr>
      <w:r>
        <w:rPr>
          <w:rFonts w:eastAsia="ヒラギノ角ゴ Pro W3"/>
        </w:rP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Annex A.2. Configurations of NPDSCH and NPDCCH before measurement are specified in Annex C.2.</w:t>
      </w:r>
    </w:p>
    <w:p>
      <w:pPr>
        <w:pStyle w:val="113"/>
        <w:rPr>
          <w:rFonts w:eastAsia="PMingLiU"/>
          <w:lang w:eastAsia="zh-TW"/>
        </w:rPr>
      </w:pPr>
      <w:r>
        <w:t>Table 6.3B.3.1.4.1-1: Test Configuration Table</w:t>
      </w:r>
      <w:r>
        <w:rPr>
          <w:lang w:eastAsia="zh-TW"/>
        </w:rPr>
        <w:t xml:space="preserve"> for FDD </w:t>
      </w:r>
    </w:p>
    <w:tbl>
      <w:tblPr>
        <w:tblStyle w:val="89"/>
        <w:tblW w:w="86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3"/>
        <w:gridCol w:w="2464"/>
        <w:gridCol w:w="1221"/>
        <w:gridCol w:w="1843"/>
        <w:gridCol w:w="16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15" w:type="dxa"/>
            <w:gridSpan w:val="5"/>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7" w:type="dxa"/>
            <w:gridSpan w:val="2"/>
          </w:tcPr>
          <w:p>
            <w:pPr>
              <w:widowControl w:val="0"/>
              <w:spacing w:after="0"/>
              <w:rPr>
                <w:rFonts w:ascii="Arial" w:hAnsi="Arial" w:eastAsia="MingLiU" w:cs="Arial"/>
                <w:color w:val="000000"/>
                <w:sz w:val="18"/>
                <w:szCs w:val="18"/>
                <w:lang w:eastAsia="zh-TW"/>
              </w:rPr>
            </w:pPr>
            <w:r>
              <w:rPr>
                <w:rFonts w:ascii="Arial" w:hAnsi="Arial" w:eastAsia="MingLiU" w:cs="Arial"/>
                <w:color w:val="000000"/>
                <w:sz w:val="18"/>
                <w:szCs w:val="18"/>
                <w:lang w:eastAsia="zh-TW"/>
              </w:rPr>
              <w:t>Test Environment as specified in</w:t>
            </w:r>
          </w:p>
          <w:p>
            <w:pPr>
              <w:widowControl w:val="0"/>
              <w:spacing w:after="0"/>
              <w:rPr>
                <w:b/>
                <w:bCs/>
              </w:rPr>
            </w:pPr>
            <w:r>
              <w:rPr>
                <w:rFonts w:ascii="Arial" w:hAnsi="Arial" w:eastAsia="MingLiU" w:cs="Arial"/>
                <w:color w:val="000000"/>
                <w:sz w:val="18"/>
                <w:szCs w:val="18"/>
                <w:lang w:eastAsia="zh-TW"/>
              </w:rPr>
              <w:t>TS 36.508 [12] subclause 8.1.1</w:t>
            </w:r>
          </w:p>
        </w:tc>
        <w:tc>
          <w:tcPr>
            <w:tcW w:w="4678" w:type="dxa"/>
            <w:gridSpan w:val="3"/>
            <w:vAlign w:val="center"/>
          </w:tcPr>
          <w:p>
            <w:pPr>
              <w:pStyle w:val="104"/>
              <w:jc w:val="left"/>
              <w:rPr>
                <w:b w:val="0"/>
                <w:bCs/>
              </w:rPr>
            </w:pPr>
            <w:r>
              <w:rPr>
                <w:rFonts w:cs="v5.0.0"/>
                <w:b w:val="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7" w:type="dxa"/>
            <w:gridSpan w:val="2"/>
          </w:tcPr>
          <w:p>
            <w:pPr>
              <w:pStyle w:val="104"/>
              <w:jc w:val="left"/>
              <w:rPr>
                <w:rFonts w:eastAsia="MingLiU" w:cs="Arial"/>
                <w:b w:val="0"/>
                <w:szCs w:val="18"/>
                <w:lang w:eastAsia="zh-TW"/>
              </w:rPr>
            </w:pPr>
            <w:r>
              <w:rPr>
                <w:rFonts w:eastAsia="MingLiU" w:cs="Arial"/>
                <w:b w:val="0"/>
                <w:szCs w:val="18"/>
                <w:lang w:eastAsia="zh-TW"/>
              </w:rPr>
              <w:t>Test Frequencies as specified in</w:t>
            </w:r>
          </w:p>
          <w:p>
            <w:pPr>
              <w:pStyle w:val="104"/>
              <w:jc w:val="left"/>
              <w:rPr>
                <w:b w:val="0"/>
                <w:bCs/>
              </w:rPr>
            </w:pPr>
            <w:r>
              <w:rPr>
                <w:rFonts w:eastAsia="MingLiU" w:cs="Arial"/>
                <w:b w:val="0"/>
                <w:szCs w:val="18"/>
                <w:lang w:eastAsia="zh-TW"/>
              </w:rPr>
              <w:t>TS 36.508 [12] subclause 8.1.3.1</w:t>
            </w:r>
          </w:p>
        </w:tc>
        <w:tc>
          <w:tcPr>
            <w:tcW w:w="4678" w:type="dxa"/>
            <w:gridSpan w:val="3"/>
            <w:vAlign w:val="center"/>
          </w:tcPr>
          <w:p>
            <w:pPr>
              <w:pStyle w:val="104"/>
              <w:jc w:val="left"/>
              <w:rPr>
                <w:rFonts w:eastAsia="PMingLiU"/>
                <w:b w:val="0"/>
                <w:bCs/>
                <w:lang w:eastAsia="zh-TW"/>
              </w:rPr>
            </w:pPr>
            <w:r>
              <w:rPr>
                <w:rFonts w:cs="Arial"/>
                <w:b w:val="0"/>
                <w:szCs w:val="18"/>
                <w:lang w:eastAsia="zh-TW"/>
              </w:rPr>
              <w:t>Frequency ranges defined in Annex K.1.</w:t>
            </w:r>
            <w:r>
              <w:rPr>
                <w:rFonts w:eastAsia="PMingLiU" w:cs="Arial"/>
                <w:b w:val="0"/>
                <w:szCs w:val="18"/>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15" w:type="dxa"/>
            <w:gridSpan w:val="5"/>
            <w:vAlign w:val="center"/>
          </w:tcPr>
          <w:p>
            <w:pPr>
              <w:pStyle w:val="104"/>
              <w:rPr>
                <w:rFonts w:eastAsia="PMingLiU"/>
                <w:lang w:eastAsia="zh-TW"/>
              </w:rPr>
            </w:pPr>
            <w:r>
              <w:rPr>
                <w:rFonts w:eastAsia="PMingLiU"/>
                <w:lang w:eastAsia="zh-TW"/>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3" w:type="dxa"/>
          </w:tcPr>
          <w:p>
            <w:pPr>
              <w:pStyle w:val="104"/>
              <w:rPr>
                <w:rFonts w:eastAsia="PMingLiU"/>
                <w:lang w:eastAsia="zh-TW"/>
              </w:rPr>
            </w:pPr>
            <w:r>
              <w:rPr>
                <w:rFonts w:eastAsia="PMingLiU"/>
                <w:lang w:eastAsia="zh-TW"/>
              </w:rPr>
              <w:t>Configuration ID</w:t>
            </w:r>
          </w:p>
        </w:tc>
        <w:tc>
          <w:tcPr>
            <w:tcW w:w="2464" w:type="dxa"/>
          </w:tcPr>
          <w:p>
            <w:pPr>
              <w:pStyle w:val="105"/>
              <w:rPr>
                <w:b/>
              </w:rPr>
            </w:pPr>
            <w:r>
              <w:rPr>
                <w:b/>
              </w:rPr>
              <w:t>Downlink Configuration</w:t>
            </w:r>
          </w:p>
        </w:tc>
        <w:tc>
          <w:tcPr>
            <w:tcW w:w="4678" w:type="dxa"/>
            <w:gridSpan w:val="3"/>
          </w:tcPr>
          <w:p>
            <w:pPr>
              <w:pStyle w:val="104"/>
              <w:rPr>
                <w:rFonts w:eastAsia="PMingLiU"/>
                <w:lang w:eastAsia="zh-TW"/>
              </w:rPr>
            </w:pPr>
            <w:r>
              <w:rPr>
                <w:rFonts w:eastAsia="PMingLiU"/>
                <w:lang w:eastAsia="zh-TW"/>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3" w:type="dxa"/>
          </w:tcPr>
          <w:p>
            <w:pPr>
              <w:pStyle w:val="105"/>
              <w:rPr>
                <w:rFonts w:eastAsia="PMingLiU"/>
                <w:lang w:eastAsia="zh-TW"/>
              </w:rPr>
            </w:pPr>
          </w:p>
        </w:tc>
        <w:tc>
          <w:tcPr>
            <w:tcW w:w="2464" w:type="dxa"/>
            <w:vMerge w:val="restart"/>
          </w:tcPr>
          <w:p>
            <w:pPr>
              <w:pStyle w:val="105"/>
              <w:rPr>
                <w:rFonts w:eastAsia="PMingLiU"/>
                <w:lang w:eastAsia="zh-TW"/>
              </w:rPr>
            </w:pPr>
            <w:r>
              <w:rPr>
                <w:rFonts w:eastAsia="PMingLiU"/>
                <w:lang w:eastAsia="zh-TW"/>
              </w:rPr>
              <w:t>N/A</w:t>
            </w:r>
          </w:p>
        </w:tc>
        <w:tc>
          <w:tcPr>
            <w:tcW w:w="1221" w:type="dxa"/>
          </w:tcPr>
          <w:p>
            <w:pPr>
              <w:pStyle w:val="105"/>
              <w:rPr>
                <w:b/>
              </w:rPr>
            </w:pPr>
            <w:r>
              <w:rPr>
                <w:b/>
              </w:rPr>
              <w:t>Modulation</w:t>
            </w:r>
          </w:p>
        </w:tc>
        <w:tc>
          <w:tcPr>
            <w:tcW w:w="1843" w:type="dxa"/>
          </w:tcPr>
          <w:p>
            <w:pPr>
              <w:pStyle w:val="105"/>
              <w:rPr>
                <w:b/>
              </w:rPr>
            </w:pPr>
            <w:r>
              <w:rPr>
                <w:b/>
              </w:rPr>
              <w:t>N</w:t>
            </w:r>
            <w:r>
              <w:rPr>
                <w:b/>
                <w:vertAlign w:val="subscript"/>
              </w:rPr>
              <w:t>tones</w:t>
            </w:r>
          </w:p>
        </w:tc>
        <w:tc>
          <w:tcPr>
            <w:tcW w:w="1614" w:type="dxa"/>
          </w:tcPr>
          <w:p>
            <w:pPr>
              <w:pStyle w:val="105"/>
              <w:rPr>
                <w:b/>
              </w:rPr>
            </w:pPr>
            <w:r>
              <w:rPr>
                <w:rFonts w:eastAsia="MingLiU" w:cs="Arial"/>
                <w:b/>
                <w:szCs w:val="18"/>
                <w:lang w:eastAsia="zh-TW"/>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3" w:type="dxa"/>
          </w:tcPr>
          <w:p>
            <w:pPr>
              <w:pStyle w:val="105"/>
              <w:rPr>
                <w:rFonts w:eastAsia="PMingLiU"/>
                <w:lang w:eastAsia="zh-TW"/>
              </w:rPr>
            </w:pPr>
            <w:r>
              <w:rPr>
                <w:rFonts w:eastAsia="PMingLiU"/>
                <w:lang w:eastAsia="zh-TW"/>
              </w:rPr>
              <w:t>1</w:t>
            </w:r>
          </w:p>
        </w:tc>
        <w:tc>
          <w:tcPr>
            <w:tcW w:w="2464" w:type="dxa"/>
            <w:vMerge w:val="continue"/>
          </w:tcPr>
          <w:p>
            <w:pPr>
              <w:pStyle w:val="105"/>
              <w:rPr>
                <w:rFonts w:eastAsia="PMingLiU"/>
                <w:lang w:eastAsia="zh-TW"/>
              </w:rPr>
            </w:pPr>
          </w:p>
        </w:tc>
        <w:tc>
          <w:tcPr>
            <w:tcW w:w="1221" w:type="dxa"/>
          </w:tcPr>
          <w:p>
            <w:pPr>
              <w:pStyle w:val="105"/>
              <w:rPr>
                <w:rFonts w:eastAsia="PMingLiU"/>
                <w:lang w:eastAsia="zh-TW"/>
              </w:rPr>
            </w:pPr>
            <w:r>
              <w:rPr>
                <w:rFonts w:eastAsia="PMingLiU"/>
                <w:lang w:eastAsia="zh-TW"/>
              </w:rPr>
              <w:t>QP</w:t>
            </w:r>
            <w:r>
              <w:t>SK</w:t>
            </w:r>
          </w:p>
        </w:tc>
        <w:tc>
          <w:tcPr>
            <w:tcW w:w="1843" w:type="dxa"/>
          </w:tcPr>
          <w:p>
            <w:pPr>
              <w:pStyle w:val="105"/>
              <w:rPr>
                <w:rFonts w:eastAsia="PMingLiU"/>
                <w:lang w:eastAsia="zh-TW"/>
              </w:rPr>
            </w:pPr>
            <w:r>
              <w:t>1@</w:t>
            </w:r>
            <w:r>
              <w:rPr>
                <w:rFonts w:eastAsia="PMingLiU"/>
                <w:lang w:eastAsia="zh-TW"/>
              </w:rPr>
              <w:t>0</w:t>
            </w:r>
          </w:p>
        </w:tc>
        <w:tc>
          <w:tcPr>
            <w:tcW w:w="1614" w:type="dxa"/>
          </w:tcPr>
          <w:p>
            <w:pPr>
              <w:pStyle w:val="105"/>
              <w:rPr>
                <w:rFonts w:eastAsia="PMingLiU"/>
                <w:lang w:eastAsia="zh-TW"/>
              </w:rPr>
            </w:pPr>
            <w:r>
              <w:t>15kHz</w:t>
            </w:r>
          </w:p>
        </w:tc>
      </w:tr>
    </w:tbl>
    <w:p>
      <w:pPr>
        <w:rPr>
          <w:lang w:eastAsia="zh-TW"/>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H.1.1 and H.4.0.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6.3B.3.1.4.1-1.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 xml:space="preserve">UE location according to TS 36.508 [12] clause </w:t>
      </w:r>
      <w:r>
        <w:rPr>
          <w:lang w:eastAsia="en-GB"/>
        </w:rPr>
        <w:t>8.2.6.1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emula</w:t>
      </w:r>
      <w:r>
        <w:rPr>
          <w:color w:val="000000" w:themeColor="text1"/>
          <w14:textFill>
            <w14:solidFill>
              <w14:schemeClr w14:val="tx1"/>
            </w14:solidFill>
          </w14:textFill>
        </w:rPr>
        <w:t xml:space="preserve">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during</w:t>
      </w:r>
      <w:r>
        <w:t xml:space="preserve"> the duration of the test as define in TS 36.508[12] clause 8.2.6.3.1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2A-NB with CP CIoT Optimisation according to TS 36.508 [12] clause 8.1.5. Message contents are defined in clause 6.3B.3.1.4.3.</w:t>
      </w:r>
    </w:p>
    <w:p>
      <w:pPr>
        <w:pStyle w:val="9"/>
      </w:pPr>
      <w:r>
        <w:t>6.3B.3.1.4.2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via NPDCCH DCI format N0 for C_RNTI to schedule the UL RMC according to Table 6.3B.3.1.4.1-1. Since the UE has no payload and no loopback data to send the UE sends uplink MAC padding bits on the UL RMC. (UE should be already transmitting PUMAX after Initial Conditions setting)</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For HD-FDD : Measure the UE transmission OFF power as the mean power in one sub-frame (1ms)  prior to the NPUSCH RU, excluding a transient period of 20 µs at the beginning of the sub-frame.</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output power of the UE NPUSCH transmission as the mean power in one RU, excluding a transient period of 20 µs at the beginning of the RU.</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Measure the UE transmission OFF power as the mean power in one sub-frame (1ms)  following the NPUSCH RU, excluding a transient period of 20 µs at the beginning of the sub-frame.</w:t>
      </w:r>
    </w:p>
    <w:p>
      <w:pPr>
        <w:pStyle w:val="9"/>
      </w:pPr>
      <w:r>
        <w:t>6.3B.3.1.4.3</w:t>
      </w:r>
      <w:r>
        <w:tab/>
      </w:r>
      <w:r>
        <w:t>Message contents</w:t>
      </w:r>
    </w:p>
    <w:p>
      <w:r>
        <w:t>Message contents are according to TS 36.508 [12] subclause 8.1.6 with the following exceptions.</w:t>
      </w:r>
    </w:p>
    <w:p>
      <w:pPr>
        <w:pStyle w:val="113"/>
      </w:pPr>
      <w:r>
        <w:t>Table 6.3B.3.1.4.3-1: P0-NominalNPUSCH-r13 configuration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rPr>
                <w:rFonts w:eastAsia="PMingLiU"/>
                <w:lang w:eastAsia="zh-TW"/>
              </w:rPr>
            </w:pPr>
            <w:r>
              <w:rPr>
                <w:rFonts w:eastAsia="PMingLiU"/>
                <w:lang w:eastAsia="zh-TW"/>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-117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 xml:space="preserve">  alpha-r13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al1 (1)</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4</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bl>
    <w:p>
      <w:pPr>
        <w:rPr>
          <w:lang w:eastAsia="ja-JP"/>
        </w:rPr>
      </w:pPr>
    </w:p>
    <w:p>
      <w:pPr>
        <w:pStyle w:val="113"/>
      </w:pPr>
      <w:r>
        <w:t>Table 6.3B.1.4.3-2: NPDSCH-ConfigCommon-NB-DEFAULT configuration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Derivation Path: 36.508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 xml:space="preserve">  </w:t>
            </w:r>
            <w:r>
              <w:rPr>
                <w:rFonts w:ascii="Arial" w:hAnsi="Arial"/>
                <w:color w:val="000000"/>
                <w:sz w:val="18"/>
              </w:rPr>
              <w:t>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21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bl>
    <w:p/>
    <w:p>
      <w:pPr>
        <w:pStyle w:val="9"/>
      </w:pPr>
      <w:r>
        <w:t>6.3B.3.1.5</w:t>
      </w:r>
      <w:r>
        <w:tab/>
      </w:r>
      <w:r>
        <w:t>Test requirement</w:t>
      </w:r>
    </w:p>
    <w:p>
      <w:r>
        <w:t xml:space="preserve">The requirement for the power measured in steps (2), (3) and (4) of the test procedure shall not </w:t>
      </w:r>
      <w:r>
        <w:rPr>
          <w:rFonts w:eastAsia="香~??’c‘I"/>
        </w:rPr>
        <w:t>exceed</w:t>
      </w:r>
      <w:r>
        <w:t xml:space="preserve"> the values specified in Table 6.3B.1.5-1.</w:t>
      </w:r>
    </w:p>
    <w:p>
      <w:pPr>
        <w:pStyle w:val="113"/>
      </w:pPr>
      <w:r>
        <w:t xml:space="preserve">Table 6.3B.1.5-1: </w:t>
      </w:r>
      <w:r>
        <w:rPr>
          <w:rFonts w:eastAsia="PMingLiU"/>
          <w:lang w:eastAsia="zh-TW"/>
        </w:rPr>
        <w:t>General ON/OFF time mask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5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Merge w:val="restart"/>
          </w:tcPr>
          <w:p>
            <w:pPr>
              <w:pStyle w:val="104"/>
            </w:pPr>
          </w:p>
        </w:tc>
        <w:tc>
          <w:tcPr>
            <w:tcW w:w="5245" w:type="dxa"/>
          </w:tcPr>
          <w:p>
            <w:pPr>
              <w:pStyle w:val="104"/>
            </w:pPr>
            <w: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Merge w:val="continue"/>
          </w:tcPr>
          <w:p/>
        </w:tc>
        <w:tc>
          <w:tcPr>
            <w:tcW w:w="5245" w:type="dxa"/>
          </w:tcPr>
          <w:p>
            <w:pPr>
              <w:pStyle w:val="104"/>
            </w:pPr>
            <w:r>
              <w:rPr>
                <w:rFonts w:eastAsia="PMingLiU"/>
                <w:lang w:eastAsia="zh-TW"/>
              </w:rPr>
              <w:t>200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Align w:val="center"/>
          </w:tcPr>
          <w:p>
            <w:pPr>
              <w:pStyle w:val="105"/>
            </w:pPr>
            <w:r>
              <w:t>Transmit OFF power</w:t>
            </w:r>
          </w:p>
        </w:tc>
        <w:tc>
          <w:tcPr>
            <w:tcW w:w="5245" w:type="dxa"/>
            <w:vAlign w:val="center"/>
          </w:tcPr>
          <w:p>
            <w:pPr>
              <w:pStyle w:val="105"/>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Align w:val="center"/>
          </w:tcPr>
          <w:p>
            <w:pPr>
              <w:pStyle w:val="103"/>
            </w:pPr>
            <w:r>
              <w:t>Transmission OFF Measurement bandwidth</w:t>
            </w:r>
          </w:p>
        </w:tc>
        <w:tc>
          <w:tcPr>
            <w:tcW w:w="5245" w:type="dxa"/>
            <w:vAlign w:val="center"/>
          </w:tcPr>
          <w:p>
            <w:pPr>
              <w:pStyle w:val="105"/>
              <w:rPr>
                <w:rFonts w:eastAsia="PMingLiU"/>
                <w:lang w:eastAsia="zh-TW"/>
              </w:rPr>
            </w:pPr>
            <w:r>
              <w:rPr>
                <w:rFonts w:eastAsia="PMingLiU"/>
                <w:lang w:eastAsia="zh-TW"/>
              </w:rPr>
              <w:t>180kHz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Align w:val="center"/>
          </w:tcPr>
          <w:p>
            <w:pPr>
              <w:pStyle w:val="103"/>
            </w:pPr>
            <w:r>
              <w:t>Expected Transmission ON Measured power</w:t>
            </w:r>
          </w:p>
        </w:tc>
        <w:tc>
          <w:tcPr>
            <w:tcW w:w="5245" w:type="dxa"/>
            <w:vAlign w:val="center"/>
          </w:tcPr>
          <w:p>
            <w:pPr>
              <w:pStyle w:val="105"/>
              <w:rPr>
                <w:rFonts w:eastAsia="PMingLiU"/>
                <w:lang w:eastAsia="zh-TW"/>
              </w:rPr>
            </w:pPr>
            <w:r>
              <w:rPr>
                <w:rFonts w:eastAsia="PMingLiU"/>
                <w:lang w:eastAsia="zh-TW"/>
              </w:rPr>
              <w:t xml:space="preserve">-11 </w:t>
            </w:r>
            <w: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Align w:val="center"/>
          </w:tcPr>
          <w:p>
            <w:pPr>
              <w:pStyle w:val="103"/>
            </w:pPr>
            <w:r>
              <w:t>ON power tolerance</w:t>
            </w:r>
          </w:p>
          <w:p>
            <w:pPr>
              <w:pStyle w:val="103"/>
              <w:rPr>
                <w:rFonts w:eastAsia="PMingLiU"/>
                <w:lang w:eastAsia="zh-TW"/>
              </w:rPr>
            </w:pPr>
            <w:r>
              <w:rPr>
                <w:rFonts w:cs="v4.2.0"/>
              </w:rPr>
              <w:t xml:space="preserve">f </w:t>
            </w:r>
            <w:r>
              <w:rPr>
                <w:rFonts w:cs="Arial"/>
              </w:rPr>
              <w:t>≤</w:t>
            </w:r>
            <w:r>
              <w:rPr>
                <w:rFonts w:cs="v4.2.0"/>
              </w:rPr>
              <w:t xml:space="preserve"> 3.0GHz</w:t>
            </w:r>
          </w:p>
        </w:tc>
        <w:tc>
          <w:tcPr>
            <w:tcW w:w="5245" w:type="dxa"/>
            <w:vAlign w:val="center"/>
          </w:tcPr>
          <w:p>
            <w:pPr>
              <w:pStyle w:val="105"/>
              <w:rPr>
                <w:rFonts w:eastAsia="PMingLiU"/>
                <w:lang w:eastAsia="zh-TW"/>
              </w:rPr>
            </w:pPr>
            <w:r>
              <w:rPr>
                <w:snapToGrid w:val="0"/>
              </w:rPr>
              <w:t>±</w:t>
            </w:r>
            <w:r>
              <w:t xml:space="preserve"> </w:t>
            </w:r>
            <w:r>
              <w:rPr>
                <w:rFonts w:eastAsia="PMingLiU"/>
                <w:lang w:eastAsia="zh-TW"/>
              </w:rPr>
              <w:t xml:space="preserve">7.5 </w:t>
            </w:r>
            <w:r>
              <w:t>dB</w:t>
            </w:r>
          </w:p>
        </w:tc>
      </w:tr>
    </w:tbl>
    <w:p/>
    <w:p>
      <w:pPr>
        <w:pStyle w:val="6"/>
      </w:pPr>
      <w:bookmarkStart w:id="616" w:name="_Toc5727"/>
      <w:bookmarkStart w:id="617" w:name="_Toc12178"/>
      <w:bookmarkStart w:id="618" w:name="_Toc14006"/>
      <w:bookmarkStart w:id="619" w:name="_Toc15080"/>
      <w:bookmarkStart w:id="620" w:name="_Toc22962"/>
      <w:bookmarkStart w:id="621" w:name="_Toc25264"/>
      <w:bookmarkStart w:id="622" w:name="_Toc9934"/>
      <w:bookmarkStart w:id="623" w:name="_Toc111062048"/>
      <w:bookmarkStart w:id="624" w:name="_Toc121162836"/>
      <w:bookmarkStart w:id="625" w:name="_Toc120570044"/>
      <w:r>
        <w:t>6.3B.3.2</w:t>
      </w:r>
      <w:r>
        <w:tab/>
      </w:r>
      <w:r>
        <w:rPr>
          <w:lang w:eastAsia="zh-TW"/>
        </w:rPr>
        <w:t>NPRACH time mask for category NB1 and NB2</w:t>
      </w:r>
      <w:bookmarkEnd w:id="616"/>
      <w:bookmarkEnd w:id="617"/>
      <w:bookmarkEnd w:id="618"/>
      <w:bookmarkEnd w:id="619"/>
      <w:bookmarkEnd w:id="620"/>
      <w:bookmarkEnd w:id="621"/>
    </w:p>
    <w:p>
      <w:pPr>
        <w:pStyle w:val="112"/>
        <w:rPr>
          <w:lang w:val="en-US"/>
        </w:rPr>
      </w:pPr>
      <w:r>
        <w:t>Editor’s Note: Addition to applicability spec is pending.</w:t>
      </w:r>
    </w:p>
    <w:p>
      <w:pPr>
        <w:pStyle w:val="9"/>
      </w:pPr>
      <w:r>
        <w:t>6.3B.3.2.1</w:t>
      </w:r>
      <w:r>
        <w:tab/>
      </w:r>
      <w:r>
        <w:t>Test purpose</w:t>
      </w:r>
    </w:p>
    <w:p>
      <w:pPr>
        <w:rPr>
          <w:rFonts w:eastAsia="PMingLiU"/>
          <w:lang w:eastAsia="zh-TW"/>
        </w:rPr>
      </w:pPr>
      <w:r>
        <w:rPr>
          <w:rFonts w:eastAsia="PMingLiU"/>
          <w:lang w:eastAsia="zh-TW"/>
        </w:rPr>
        <w:t>To verify that the NPRACH time mask meets the requirements given in 6.3B.3.2.5.</w:t>
      </w:r>
    </w:p>
    <w:p>
      <w:pPr>
        <w:rPr>
          <w:rFonts w:eastAsia="PMingLiU"/>
          <w:lang w:eastAsia="zh-TW"/>
        </w:rPr>
      </w:pPr>
      <w:r>
        <w:rPr>
          <w:rFonts w:eastAsia="PMingLiU"/>
          <w:lang w:eastAsia="zh-TW"/>
        </w:rPr>
        <w:t>The time mask for NPRACH time mask defines the ramping time allowed for the UE between transmit OFF power and transmit ON power when transmitting the NPRACH.</w:t>
      </w:r>
    </w:p>
    <w:p>
      <w:pPr>
        <w:rPr>
          <w:rFonts w:eastAsia="PMingLiU"/>
          <w:lang w:eastAsia="zh-TW"/>
        </w:rPr>
      </w:pPr>
      <w:r>
        <w:rPr>
          <w:rFonts w:eastAsia="PMingLiU"/>
          <w:lang w:eastAsia="zh-TW"/>
        </w:rPr>
        <w:t>Transmission of the wrong power increases interference to other channels or increases transmission errors in the uplink channel.</w:t>
      </w:r>
    </w:p>
    <w:p>
      <w:pPr>
        <w:pStyle w:val="9"/>
      </w:pPr>
      <w:r>
        <w:t>6.3B.3.2.2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6.3B.3.2.3</w:t>
      </w:r>
      <w:r>
        <w:tab/>
      </w:r>
      <w:r>
        <w:t>Minimum conformance requirements</w:t>
      </w:r>
    </w:p>
    <w:p>
      <w:r>
        <w:t>The NPRACH ON power is specified as the mean power over the NPRACH measurement period excluding any transient periods as shown in Figure 6.3B.3.2</w:t>
      </w:r>
      <w:r>
        <w:rPr>
          <w:rFonts w:eastAsia="PMingLiU"/>
          <w:lang w:eastAsia="zh-TW"/>
        </w:rPr>
        <w:t>.3</w:t>
      </w:r>
      <w:r>
        <w:t>-1. The measurement period for different NPRACH preamble format is specified in Table 6.3B.2</w:t>
      </w:r>
      <w:r>
        <w:rPr>
          <w:rFonts w:eastAsia="PMingLiU"/>
          <w:lang w:eastAsia="zh-TW"/>
        </w:rPr>
        <w:t>.3</w:t>
      </w:r>
      <w:r>
        <w:t>-1.</w:t>
      </w:r>
    </w:p>
    <w:p>
      <w:r>
        <w:t>There are no additional requirements on UE transmit power beyond that which is required in subclause 6.2B and 6.5B</w:t>
      </w:r>
    </w:p>
    <w:p>
      <w:pPr>
        <w:pStyle w:val="113"/>
      </w:pPr>
      <w:r>
        <w:t>Table 6.3B.3.2</w:t>
      </w:r>
      <w:r>
        <w:rPr>
          <w:rFonts w:eastAsia="PMingLiU"/>
          <w:lang w:eastAsia="zh-TW"/>
        </w:rPr>
        <w:t>.3</w:t>
      </w:r>
      <w:r>
        <w:t>-1: NPRACH ON power measurement period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8"/>
        <w:gridCol w:w="2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vAlign w:val="center"/>
          </w:tcPr>
          <w:p>
            <w:pPr>
              <w:pStyle w:val="104"/>
              <w:rPr>
                <w:rFonts w:eastAsia="Osaka" w:cs="Arial"/>
              </w:rPr>
            </w:pPr>
            <w:r>
              <w:rPr>
                <w:rFonts w:cs="Arial"/>
              </w:rPr>
              <w:t>NPRACH preamble format</w:t>
            </w:r>
          </w:p>
        </w:tc>
        <w:tc>
          <w:tcPr>
            <w:tcW w:w="2518" w:type="dxa"/>
            <w:vAlign w:val="center"/>
          </w:tcPr>
          <w:p>
            <w:pPr>
              <w:pStyle w:val="104"/>
              <w:rPr>
                <w:rFonts w:cs="Arial"/>
              </w:rPr>
            </w:pPr>
            <w:r>
              <w:rPr>
                <w:rFonts w:cs="Arial"/>
              </w:rPr>
              <w:t>Measurement period (ms)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rPr>
                <w:rFonts w:cs="Arial"/>
              </w:rPr>
            </w:pPr>
            <w:r>
              <w:rPr>
                <w:rFonts w:eastAsia="MS Mincho" w:cs="Arial"/>
              </w:rPr>
              <w:t>0</w:t>
            </w:r>
          </w:p>
        </w:tc>
        <w:tc>
          <w:tcPr>
            <w:tcW w:w="2518" w:type="dxa"/>
          </w:tcPr>
          <w:p>
            <w:pPr>
              <w:pStyle w:val="105"/>
              <w:rPr>
                <w:rFonts w:cs="Arial"/>
              </w:rPr>
            </w:pPr>
            <w:r>
              <w:rPr>
                <w:rFonts w:cs="Arial"/>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rPr>
                <w:rFonts w:cs="Arial"/>
              </w:rPr>
            </w:pPr>
            <w:r>
              <w:rPr>
                <w:rFonts w:eastAsia="MS Mincho" w:cs="Arial"/>
              </w:rPr>
              <w:t>1</w:t>
            </w:r>
          </w:p>
        </w:tc>
        <w:tc>
          <w:tcPr>
            <w:tcW w:w="2518" w:type="dxa"/>
          </w:tcPr>
          <w:p>
            <w:pPr>
              <w:pStyle w:val="105"/>
              <w:rPr>
                <w:rFonts w:cs="Arial"/>
              </w:rPr>
            </w:pPr>
            <w:r>
              <w:rPr>
                <w:rFonts w:cs="Arial"/>
              </w:rPr>
              <w:t>6.4</w:t>
            </w:r>
          </w:p>
        </w:tc>
      </w:tr>
    </w:tbl>
    <w:p/>
    <w:p>
      <w:pPr>
        <w:pStyle w:val="113"/>
      </w:pPr>
      <w:r>
        <w:drawing>
          <wp:inline distT="0" distB="0" distL="0" distR="0">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pPr>
        <w:pStyle w:val="120"/>
      </w:pPr>
      <w:r>
        <w:t>Figure 6.3B.3.2</w:t>
      </w:r>
      <w:r>
        <w:rPr>
          <w:rFonts w:eastAsia="PMingLiU"/>
          <w:lang w:eastAsia="zh-TW"/>
        </w:rPr>
        <w:t>.3</w:t>
      </w:r>
      <w:r>
        <w:t>-1: NPRACH ON/OFF time mask</w:t>
      </w: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6.3B.3.3.</w:t>
      </w:r>
    </w:p>
    <w:p>
      <w:pPr>
        <w:pStyle w:val="9"/>
      </w:pPr>
      <w:r>
        <w:t>6.3B.3.2.4</w:t>
      </w:r>
      <w:r>
        <w:tab/>
      </w:r>
      <w:r>
        <w:t>Test description</w:t>
      </w:r>
    </w:p>
    <w:p>
      <w:pPr>
        <w:pStyle w:val="9"/>
      </w:pPr>
      <w:r>
        <w:t>6.3B.3.2.4.1</w:t>
      </w:r>
      <w:r>
        <w:tab/>
      </w:r>
      <w:r>
        <w:t>Initial conditions</w:t>
      </w:r>
    </w:p>
    <w:p>
      <w: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Annex A.2.4. </w:t>
      </w:r>
    </w:p>
    <w:p>
      <w:pPr>
        <w:pStyle w:val="113"/>
      </w:pPr>
      <w:r>
        <w:t>Table 6.3B.3.2.4.1-1: Test Configuration</w:t>
      </w:r>
      <w:r>
        <w:rPr>
          <w:rFonts w:eastAsia="PMingLiU"/>
          <w:lang w:eastAsia="zh-TW"/>
        </w:rPr>
        <w:t xml:space="preserve"> </w:t>
      </w:r>
      <w:r>
        <w:t>Table</w:t>
      </w:r>
    </w:p>
    <w:tbl>
      <w:tblPr>
        <w:tblStyle w:val="89"/>
        <w:tblW w:w="71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08"/>
        <w:gridCol w:w="41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149" w:type="dxa"/>
            <w:gridSpan w:val="2"/>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tcPr>
          <w:p>
            <w:pPr>
              <w:widowControl w:val="0"/>
              <w:spacing w:after="0"/>
              <w:rPr>
                <w:rFonts w:ascii="Arial" w:hAnsi="Arial" w:eastAsia="MingLiU" w:cs="Arial"/>
                <w:color w:val="000000"/>
                <w:sz w:val="18"/>
                <w:szCs w:val="18"/>
                <w:lang w:eastAsia="zh-TW"/>
              </w:rPr>
            </w:pPr>
            <w:r>
              <w:rPr>
                <w:rFonts w:ascii="Arial" w:hAnsi="Arial" w:eastAsia="MingLiU" w:cs="Arial"/>
                <w:color w:val="000000"/>
                <w:sz w:val="18"/>
                <w:szCs w:val="18"/>
                <w:lang w:eastAsia="zh-TW"/>
              </w:rPr>
              <w:t>Test Environment as specified in</w:t>
            </w:r>
          </w:p>
          <w:p>
            <w:pPr>
              <w:pStyle w:val="103"/>
              <w:rPr>
                <w:bCs/>
              </w:rPr>
            </w:pPr>
            <w:r>
              <w:rPr>
                <w:rFonts w:eastAsia="MingLiU" w:cs="Arial"/>
                <w:szCs w:val="18"/>
                <w:lang w:eastAsia="zh-TW"/>
              </w:rPr>
              <w:t>TS 36.508 [12] subclause 8.1.1</w:t>
            </w:r>
          </w:p>
        </w:tc>
        <w:tc>
          <w:tcPr>
            <w:tcW w:w="4141" w:type="dxa"/>
            <w:vAlign w:val="center"/>
          </w:tcPr>
          <w:p>
            <w:pPr>
              <w:pStyle w:val="105"/>
              <w:jc w:val="both"/>
              <w:rPr>
                <w:rFonts w:eastAsia="PMingLiU"/>
                <w:lang w:eastAsia="zh-TW"/>
              </w:rPr>
            </w:pPr>
            <w:r>
              <w:rPr>
                <w:rFonts w:eastAsia="PMingLiU"/>
                <w:lang w:eastAsia="zh-TW"/>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tcPr>
          <w:p>
            <w:pPr>
              <w:pStyle w:val="104"/>
              <w:jc w:val="left"/>
              <w:rPr>
                <w:rFonts w:eastAsia="MingLiU" w:cs="Arial"/>
                <w:b w:val="0"/>
                <w:szCs w:val="18"/>
                <w:lang w:eastAsia="zh-TW"/>
              </w:rPr>
            </w:pPr>
            <w:r>
              <w:rPr>
                <w:rFonts w:eastAsia="MingLiU" w:cs="Arial"/>
                <w:b w:val="0"/>
                <w:szCs w:val="18"/>
                <w:lang w:eastAsia="zh-TW"/>
              </w:rPr>
              <w:t>Test Frequencies as specified in</w:t>
            </w:r>
          </w:p>
          <w:p>
            <w:pPr>
              <w:pStyle w:val="103"/>
            </w:pPr>
            <w:r>
              <w:rPr>
                <w:rFonts w:eastAsia="MingLiU" w:cs="Arial"/>
                <w:szCs w:val="18"/>
                <w:lang w:eastAsia="zh-TW"/>
              </w:rPr>
              <w:t>TS 36.508 [12] subclause 8.1.3.1</w:t>
            </w:r>
          </w:p>
        </w:tc>
        <w:tc>
          <w:tcPr>
            <w:tcW w:w="4141" w:type="dxa"/>
            <w:vAlign w:val="center"/>
          </w:tcPr>
          <w:p>
            <w:pPr>
              <w:pStyle w:val="105"/>
              <w:jc w:val="both"/>
              <w:rPr>
                <w:rFonts w:eastAsia="PMingLiU"/>
                <w:szCs w:val="18"/>
                <w:lang w:eastAsia="zh-TW"/>
              </w:rPr>
            </w:pPr>
            <w:r>
              <w:rPr>
                <w:rFonts w:cs="Arial"/>
                <w:szCs w:val="18"/>
                <w:lang w:eastAsia="zh-TW"/>
              </w:rPr>
              <w:t>Frequency ranges defined in Annex K.1.</w:t>
            </w:r>
            <w:r>
              <w:rPr>
                <w:rFonts w:eastAsia="PMingLiU" w:cs="Arial"/>
                <w:szCs w:val="18"/>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vMerge w:val="restart"/>
            <w:vAlign w:val="center"/>
          </w:tcPr>
          <w:p>
            <w:pPr>
              <w:pStyle w:val="103"/>
              <w:jc w:val="both"/>
            </w:pPr>
            <w:r>
              <w:rPr>
                <w:rFonts w:eastAsia="PMingLiU"/>
                <w:bCs/>
                <w:lang w:eastAsia="zh-TW"/>
              </w:rPr>
              <w:t>N</w:t>
            </w:r>
            <w:r>
              <w:rPr>
                <w:bCs/>
              </w:rPr>
              <w:t xml:space="preserve">PRACH preamble format </w:t>
            </w:r>
          </w:p>
        </w:tc>
        <w:tc>
          <w:tcPr>
            <w:tcW w:w="4141" w:type="dxa"/>
            <w:vAlign w:val="center"/>
          </w:tcPr>
          <w:p>
            <w:pPr>
              <w:pStyle w:val="105"/>
              <w:rPr>
                <w:rFonts w:eastAsia="PMingLiU"/>
                <w:lang w:eastAsia="zh-TW"/>
              </w:rPr>
            </w:pPr>
            <w:r>
              <w:rPr>
                <w:rFonts w:eastAsia="PMingLiU"/>
                <w:lang w:eastAsia="zh-TW"/>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vMerge w:val="continue"/>
          </w:tcPr>
          <w:p>
            <w:pPr>
              <w:pStyle w:val="103"/>
              <w:rPr>
                <w:rFonts w:eastAsia="PMingLiU"/>
                <w:bCs/>
                <w:lang w:eastAsia="zh-TW"/>
              </w:rPr>
            </w:pPr>
          </w:p>
        </w:tc>
        <w:tc>
          <w:tcPr>
            <w:tcW w:w="4141" w:type="dxa"/>
            <w:vAlign w:val="center"/>
          </w:tcPr>
          <w:p>
            <w:pPr>
              <w:pStyle w:val="105"/>
              <w:rPr>
                <w:rFonts w:eastAsia="PMingLiU"/>
                <w:lang w:eastAsia="zh-TW"/>
              </w:rPr>
            </w:pPr>
            <w:r>
              <w:rPr>
                <w:rFonts w:eastAsia="PMingLiU"/>
                <w:lang w:eastAsia="zh-TW"/>
              </w:rPr>
              <w:t>1</w:t>
            </w:r>
          </w:p>
        </w:tc>
      </w:tr>
    </w:tbl>
    <w:p>
      <w:pPr>
        <w:rPr>
          <w:lang w:eastAsia="zh-TW"/>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H.1.1 and H.4.0.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r>
        <w:rPr>
          <w:lang w:eastAsia="en-GB"/>
        </w:rPr>
        <w:t>8.2.6.1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w:t>
      </w:r>
      <w:r>
        <w:rPr>
          <w:color w:val="000000" w:themeColor="text1"/>
          <w14:textFill>
            <w14:solidFill>
              <w14:schemeClr w14:val="tx1"/>
            </w14:solidFill>
          </w14:textFill>
        </w:rPr>
        <w:t xml:space="preserve">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during t</w:t>
      </w:r>
      <w:r>
        <w:t>he duration of the test as define in TS 36.508[12] clause 8.2.6.3.1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7.</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r>
      <w:r>
        <w:rPr>
          <w:rFonts w:hint="eastAsia"/>
          <w:lang w:eastAsia="en-GB"/>
        </w:rPr>
        <w:t>Ensure the UE is in State 3A-NB with CP CIoT Optimisation according to TS 36.508 [12] clause 8.1.5. Message contents are defined in clause 6.3B.3.2.4.3.</w:t>
      </w:r>
    </w:p>
    <w:p>
      <w:pPr>
        <w:pStyle w:val="9"/>
      </w:pPr>
      <w:r>
        <w:t>6.3B.3.2.4.2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The SS shall set RS EPRE according to Table 6.3B.3.2.4.1-1.</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SS send the paging and UE shall send a preamble to the SS.</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The SS measure the UE transmission OFF power during the sub-frame preceding the NPRACH preamble excluding a transient period of 20 µs according to Figure 6.3B.3.2.3-1.</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Measure the output power of the transmitted NPRACH preamble according to Figure 6.3B.3.2.3-1.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Measure the UE transmission OFF power, starting 20 µs after the NPRACH preamble ends for a measurement period of 980 µs.</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Switches off and on the UE and ensures the UE is in State 3A-NB with CP CIoT Optimisation according to TS 36.508 [12] clause 8.1.5. Message contents are defined in clause 6.3B.3.2.4.3 with NPRACH Format 1.</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Repeat test with step 1-5.</w:t>
      </w:r>
    </w:p>
    <w:p>
      <w:pPr>
        <w:pStyle w:val="9"/>
      </w:pPr>
      <w:r>
        <w:t>6.3B.3.2.4.3</w:t>
      </w:r>
      <w:r>
        <w:tab/>
      </w:r>
      <w:r>
        <w:t>Message contents</w:t>
      </w:r>
    </w:p>
    <w:p>
      <w:r>
        <w:t>Message contents are according to TS 36.508 [12] subclause 8.1.6 with the following exceptions.</w:t>
      </w:r>
    </w:p>
    <w:p>
      <w:pPr>
        <w:pStyle w:val="113"/>
      </w:pPr>
      <w:r>
        <w:t>Table 6.3B.3.2.4.3-1: RACH-ConfigCommon-NB-DEFAULT</w:t>
      </w:r>
    </w:p>
    <w:tbl>
      <w:tblPr>
        <w:tblStyle w:val="89"/>
        <w:tblW w:w="9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 xml:space="preserve">Derivation Path: TS 36.508 [12] clause </w:t>
            </w:r>
            <w:r>
              <w:rPr>
                <w:rFonts w:eastAsia="PMingLiU"/>
                <w:lang w:eastAsia="zh-TW"/>
              </w:rPr>
              <w:t>8.1.6</w:t>
            </w:r>
            <w:r>
              <w:t>.3,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rPr>
                <w:rFonts w:eastAsia="PMingLiU"/>
                <w:lang w:eastAsia="zh-TW"/>
              </w:rPr>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powerRampingParameters-r13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powerRampingStep</w:t>
            </w:r>
          </w:p>
        </w:tc>
        <w:tc>
          <w:tcPr>
            <w:tcW w:w="2268" w:type="dxa"/>
            <w:shd w:val="clear" w:color="auto" w:fill="auto"/>
          </w:tcPr>
          <w:p>
            <w:pPr>
              <w:pStyle w:val="103"/>
              <w:rPr>
                <w:rFonts w:eastAsia="PMingLiU"/>
                <w:lang w:eastAsia="zh-TW"/>
              </w:rPr>
            </w:pPr>
            <w:r>
              <w:rPr>
                <w:rFonts w:eastAsia="PMingLiU"/>
                <w:lang w:eastAsia="zh-TW"/>
              </w:rPr>
              <w:t>dB0</w:t>
            </w:r>
          </w:p>
        </w:tc>
        <w:tc>
          <w:tcPr>
            <w:tcW w:w="1701" w:type="dxa"/>
            <w:shd w:val="clear" w:color="auto" w:fill="auto"/>
          </w:tcPr>
          <w:p>
            <w:pPr>
              <w:pStyle w:val="103"/>
            </w:pPr>
            <w:r>
              <w:t>0 dB</w:t>
            </w: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rPr>
                <w:rFonts w:eastAsia="MS Mincho"/>
              </w:rPr>
              <w:t xml:space="preserve">    </w:t>
            </w:r>
            <w:r>
              <w:t>preambleInitialReceivedTargetPower</w:t>
            </w:r>
          </w:p>
        </w:tc>
        <w:tc>
          <w:tcPr>
            <w:tcW w:w="2268" w:type="dxa"/>
            <w:shd w:val="clear" w:color="auto" w:fill="auto"/>
          </w:tcPr>
          <w:p>
            <w:pPr>
              <w:pStyle w:val="103"/>
              <w:rPr>
                <w:rFonts w:eastAsia="PMingLiU"/>
                <w:lang w:eastAsia="zh-TW"/>
              </w:rPr>
            </w:pPr>
            <w:r>
              <w:rPr>
                <w:rFonts w:eastAsia="PMingLiU"/>
                <w:lang w:eastAsia="zh-TW"/>
              </w:rPr>
              <w:t>-dBm-120</w:t>
            </w:r>
          </w:p>
        </w:tc>
        <w:tc>
          <w:tcPr>
            <w:tcW w:w="1701" w:type="dxa"/>
            <w:shd w:val="clear" w:color="auto" w:fill="auto"/>
          </w:tcPr>
          <w:p>
            <w:pPr>
              <w:pStyle w:val="103"/>
            </w:pPr>
            <w:r>
              <w:t>-120 dBm</w:t>
            </w:r>
          </w:p>
        </w:tc>
        <w:tc>
          <w:tcPr>
            <w:tcW w:w="1275" w:type="dxa"/>
            <w:shd w:val="clear" w:color="auto" w:fill="auto"/>
          </w:tcPr>
          <w:p>
            <w:pPr>
              <w:pStyle w:val="103"/>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MS Mincho" w:cs="Arial"/>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rPr>
                <w:rFonts w:eastAsia="MS Mincho"/>
              </w:rPr>
            </w:pPr>
          </w:p>
        </w:tc>
        <w:tc>
          <w:tcPr>
            <w:tcW w:w="2268" w:type="dxa"/>
            <w:shd w:val="clear" w:color="auto" w:fill="auto"/>
          </w:tcPr>
          <w:p>
            <w:pPr>
              <w:pStyle w:val="103"/>
              <w:rPr>
                <w:rFonts w:eastAsia="PMingLiU"/>
                <w:lang w:eastAsia="zh-TW"/>
              </w:rPr>
            </w:pPr>
            <w:r>
              <w:rPr>
                <w:rFonts w:eastAsia="PMingLiU"/>
                <w:lang w:eastAsia="zh-TW"/>
              </w:rPr>
              <w:t>dBm-120</w:t>
            </w:r>
          </w:p>
        </w:tc>
        <w:tc>
          <w:tcPr>
            <w:tcW w:w="1701" w:type="dxa"/>
            <w:shd w:val="clear" w:color="auto" w:fill="auto"/>
          </w:tcPr>
          <w:p>
            <w:pPr>
              <w:pStyle w:val="103"/>
            </w:pPr>
            <w:r>
              <w:t>-120 dBm</w:t>
            </w:r>
          </w:p>
        </w:tc>
        <w:tc>
          <w:tcPr>
            <w:tcW w:w="1275" w:type="dxa"/>
            <w:shd w:val="clear" w:color="auto" w:fill="auto"/>
          </w:tcPr>
          <w:p>
            <w:pPr>
              <w:pStyle w:val="103"/>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PMingLiU" w:cs="Arial"/>
                <w:lang w:eastAsia="zh-TW"/>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bl>
    <w:p>
      <w:pPr>
        <w:rPr>
          <w:rFonts w:eastAsia="PMingLiU"/>
          <w:lang w:eastAsia="zh-TW"/>
        </w:rPr>
      </w:pPr>
    </w:p>
    <w:p>
      <w:pPr>
        <w:pStyle w:val="113"/>
      </w:pPr>
      <w:r>
        <w:t>Table 6.3B.3.2.4.3-2: NPDSCH-ConfigCommon-NB-DEFAULT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 xml:space="preserve">Derivation Path: TS 36.508 [12] clause </w:t>
            </w:r>
            <w:r>
              <w:rPr>
                <w:rFonts w:eastAsia="PMingLiU"/>
                <w:lang w:eastAsia="zh-TW"/>
              </w:rPr>
              <w:t>8.1.6.3</w:t>
            </w:r>
            <w:r>
              <w:t>,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bottom w:val="single" w:color="auto" w:sz="4" w:space="0"/>
            </w:tcBorders>
          </w:tcPr>
          <w:p>
            <w:pPr>
              <w:pStyle w:val="103"/>
            </w:pPr>
            <w:r>
              <w:t xml:space="preserve">  nrs-Power-r13</w:t>
            </w:r>
          </w:p>
        </w:tc>
        <w:tc>
          <w:tcPr>
            <w:tcW w:w="2268" w:type="dxa"/>
          </w:tcPr>
          <w:p>
            <w:pPr>
              <w:pStyle w:val="103"/>
            </w:pPr>
            <w:r>
              <w:t>24 (dBm)</w:t>
            </w:r>
          </w:p>
        </w:tc>
        <w:tc>
          <w:tcPr>
            <w:tcW w:w="1701" w:type="dxa"/>
          </w:tcPr>
          <w:p>
            <w:pPr>
              <w:pStyle w:val="103"/>
            </w:pPr>
          </w:p>
        </w:tc>
        <w:tc>
          <w:tcPr>
            <w:tcW w:w="1275"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3"/>
            </w:pPr>
            <w:r>
              <w:t>}</w:t>
            </w:r>
          </w:p>
        </w:tc>
        <w:tc>
          <w:tcPr>
            <w:tcW w:w="2268" w:type="dxa"/>
          </w:tcPr>
          <w:p>
            <w:pPr>
              <w:pStyle w:val="103"/>
            </w:pPr>
          </w:p>
        </w:tc>
        <w:tc>
          <w:tcPr>
            <w:tcW w:w="1701" w:type="dxa"/>
          </w:tcPr>
          <w:p>
            <w:pPr>
              <w:pStyle w:val="103"/>
            </w:pPr>
          </w:p>
        </w:tc>
        <w:tc>
          <w:tcPr>
            <w:tcW w:w="1275" w:type="dxa"/>
          </w:tcPr>
          <w:p>
            <w:pPr>
              <w:pStyle w:val="103"/>
            </w:pPr>
          </w:p>
        </w:tc>
      </w:tr>
    </w:tbl>
    <w:p>
      <w:pPr>
        <w:rPr>
          <w:rFonts w:eastAsia="PMingLiU"/>
          <w:lang w:eastAsia="zh-TW"/>
        </w:rPr>
      </w:pPr>
    </w:p>
    <w:p>
      <w:pPr>
        <w:pStyle w:val="113"/>
      </w:pPr>
      <w:r>
        <w:t>Table 6.3B.3.2.4.3-3: NPRACH-ConfigSIB-NB-DEFAULT</w:t>
      </w:r>
    </w:p>
    <w:tbl>
      <w:tblPr>
        <w:tblStyle w:val="89"/>
        <w:tblW w:w="9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 xml:space="preserve">Derivation Path: TS 36.508 [12] clause </w:t>
            </w:r>
            <w:r>
              <w:rPr>
                <w:rFonts w:eastAsia="PMingLiU"/>
                <w:lang w:eastAsia="zh-TW"/>
              </w:rPr>
              <w:t>8.1.6</w:t>
            </w:r>
            <w:r>
              <w:t>.3, Table 8.1.6.3-5 NPRACH-ConfigSIB-NB-DEFAULT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NPRACH-ConfigSIB-NB-DEFAULT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bottom w:val="nil"/>
            </w:tcBorders>
          </w:tcPr>
          <w:p>
            <w:pPr>
              <w:pStyle w:val="103"/>
            </w:pPr>
            <w:r>
              <w:t xml:space="preserve">  n</w:t>
            </w:r>
            <w:r>
              <w:rPr>
                <w:rFonts w:cs="Courier New"/>
                <w:szCs w:val="16"/>
              </w:rPr>
              <w:t>prach-CP-Length-r13</w:t>
            </w:r>
          </w:p>
        </w:tc>
        <w:tc>
          <w:tcPr>
            <w:tcW w:w="2268" w:type="dxa"/>
          </w:tcPr>
          <w:p>
            <w:pPr>
              <w:pStyle w:val="103"/>
            </w:pPr>
            <w:r>
              <w:t>us66dot7</w:t>
            </w:r>
          </w:p>
        </w:tc>
        <w:tc>
          <w:tcPr>
            <w:tcW w:w="1701" w:type="dxa"/>
          </w:tcPr>
          <w:p>
            <w:pPr>
              <w:pStyle w:val="103"/>
            </w:pPr>
            <w:r>
              <w:t>2048*Ts</w:t>
            </w:r>
          </w:p>
        </w:tc>
        <w:tc>
          <w:tcPr>
            <w:tcW w:w="1275" w:type="dxa"/>
          </w:tcPr>
          <w:p>
            <w:pPr>
              <w:pStyle w:val="103"/>
            </w:pPr>
            <w:r>
              <w:rPr>
                <w:rFonts w:eastAsia="PMingLiU" w:cs="Arial"/>
                <w:lang w:eastAsia="zh-TW"/>
              </w:rPr>
              <w:t>N</w:t>
            </w:r>
            <w:r>
              <w:rPr>
                <w:rFonts w:cs="Arial"/>
              </w:rPr>
              <w:t>PRACH Format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bottom w:val="nil"/>
            </w:tcBorders>
          </w:tcPr>
          <w:p>
            <w:pPr>
              <w:pStyle w:val="103"/>
            </w:pPr>
          </w:p>
        </w:tc>
        <w:tc>
          <w:tcPr>
            <w:tcW w:w="2268" w:type="dxa"/>
          </w:tcPr>
          <w:p>
            <w:pPr>
              <w:pStyle w:val="103"/>
            </w:pPr>
            <w:r>
              <w:t>us266dot7</w:t>
            </w:r>
          </w:p>
        </w:tc>
        <w:tc>
          <w:tcPr>
            <w:tcW w:w="1701" w:type="dxa"/>
          </w:tcPr>
          <w:p>
            <w:pPr>
              <w:pStyle w:val="103"/>
            </w:pPr>
            <w:r>
              <w:t>8192*Ts</w:t>
            </w:r>
          </w:p>
        </w:tc>
        <w:tc>
          <w:tcPr>
            <w:tcW w:w="1275" w:type="dxa"/>
          </w:tcPr>
          <w:p>
            <w:pPr>
              <w:pStyle w:val="103"/>
            </w:pPr>
            <w:r>
              <w:rPr>
                <w:rFonts w:eastAsia="PMingLiU" w:cs="Arial"/>
                <w:lang w:eastAsia="zh-TW"/>
              </w:rPr>
              <w:t>N</w:t>
            </w:r>
            <w:r>
              <w:rPr>
                <w:rFonts w:cs="Arial"/>
              </w:rPr>
              <w:t xml:space="preserve">PRACH Format </w:t>
            </w:r>
            <w:r>
              <w:rPr>
                <w:rFonts w:eastAsia="PMingLiU" w:cs="Arial"/>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6.3B.3.2.5</w:t>
      </w:r>
      <w:r>
        <w:tab/>
      </w:r>
      <w:r>
        <w:t>Test requirement</w:t>
      </w:r>
    </w:p>
    <w:p>
      <w:r>
        <w:t xml:space="preserve">The requirement for the power measured in steps (2), (3) and (4) of the test procedure shall not </w:t>
      </w:r>
      <w:r>
        <w:rPr>
          <w:rFonts w:eastAsia="香~??’c‘I"/>
        </w:rPr>
        <w:t>exceed</w:t>
      </w:r>
      <w:r>
        <w:t xml:space="preserve"> the values specified in Table 6.3B.1.5-1.</w:t>
      </w:r>
    </w:p>
    <w:p>
      <w:pPr>
        <w:pStyle w:val="113"/>
      </w:pPr>
      <w:r>
        <w:t xml:space="preserve">Table 6.3B.3.2.5-1: </w:t>
      </w:r>
      <w:r>
        <w:rPr>
          <w:rFonts w:eastAsia="PMingLiU"/>
          <w:lang w:eastAsia="zh-TW"/>
        </w:rPr>
        <w:t>General ON/OFF time mask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5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409" w:type="dxa"/>
            <w:vMerge w:val="restart"/>
          </w:tcPr>
          <w:p>
            <w:pPr>
              <w:pStyle w:val="104"/>
            </w:pPr>
          </w:p>
        </w:tc>
        <w:tc>
          <w:tcPr>
            <w:tcW w:w="5245" w:type="dxa"/>
          </w:tcPr>
          <w:p>
            <w:pPr>
              <w:pStyle w:val="104"/>
            </w:pPr>
            <w: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Merge w:val="continue"/>
          </w:tcPr>
          <w:p/>
        </w:tc>
        <w:tc>
          <w:tcPr>
            <w:tcW w:w="5245" w:type="dxa"/>
          </w:tcPr>
          <w:p>
            <w:pPr>
              <w:pStyle w:val="104"/>
            </w:pPr>
            <w:r>
              <w:rPr>
                <w:rFonts w:eastAsia="PMingLiU"/>
                <w:lang w:eastAsia="zh-TW"/>
              </w:rPr>
              <w:t>200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Align w:val="center"/>
          </w:tcPr>
          <w:p>
            <w:pPr>
              <w:pStyle w:val="105"/>
            </w:pPr>
            <w:r>
              <w:t>Transmit OFF power</w:t>
            </w:r>
          </w:p>
        </w:tc>
        <w:tc>
          <w:tcPr>
            <w:tcW w:w="5245" w:type="dxa"/>
            <w:vAlign w:val="center"/>
          </w:tcPr>
          <w:p>
            <w:pPr>
              <w:pStyle w:val="105"/>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Align w:val="center"/>
          </w:tcPr>
          <w:p>
            <w:pPr>
              <w:pStyle w:val="103"/>
            </w:pPr>
            <w:r>
              <w:t>Transmission OFF Measurement bandwidth</w:t>
            </w:r>
          </w:p>
        </w:tc>
        <w:tc>
          <w:tcPr>
            <w:tcW w:w="5245" w:type="dxa"/>
            <w:vAlign w:val="center"/>
          </w:tcPr>
          <w:p>
            <w:pPr>
              <w:pStyle w:val="105"/>
              <w:rPr>
                <w:rFonts w:eastAsia="PMingLiU"/>
                <w:lang w:eastAsia="zh-TW"/>
              </w:rPr>
            </w:pPr>
            <w:r>
              <w:rPr>
                <w:rFonts w:eastAsia="PMingLiU"/>
                <w:lang w:eastAsia="zh-TW"/>
              </w:rPr>
              <w:t>180kHz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Align w:val="center"/>
          </w:tcPr>
          <w:p>
            <w:pPr>
              <w:pStyle w:val="103"/>
            </w:pPr>
            <w:r>
              <w:t>Expected Transmission ON Measured power</w:t>
            </w:r>
          </w:p>
        </w:tc>
        <w:tc>
          <w:tcPr>
            <w:tcW w:w="5245" w:type="dxa"/>
            <w:vAlign w:val="center"/>
          </w:tcPr>
          <w:p>
            <w:pPr>
              <w:pStyle w:val="105"/>
              <w:rPr>
                <w:rFonts w:eastAsia="PMingLiU"/>
                <w:lang w:eastAsia="zh-TW"/>
              </w:rPr>
            </w:pPr>
            <w:r>
              <w:rPr>
                <w:rFonts w:eastAsia="PMingLiU"/>
                <w:lang w:eastAsia="zh-TW"/>
              </w:rPr>
              <w:t xml:space="preserve">-11 </w:t>
            </w:r>
            <w: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Align w:val="center"/>
          </w:tcPr>
          <w:p>
            <w:pPr>
              <w:pStyle w:val="103"/>
            </w:pPr>
            <w:r>
              <w:t>ON power tolerance</w:t>
            </w:r>
          </w:p>
          <w:p>
            <w:pPr>
              <w:pStyle w:val="103"/>
              <w:rPr>
                <w:rFonts w:eastAsia="PMingLiU"/>
                <w:lang w:eastAsia="zh-TW"/>
              </w:rPr>
            </w:pPr>
            <w:r>
              <w:rPr>
                <w:rFonts w:cs="v4.2.0"/>
              </w:rPr>
              <w:t xml:space="preserve">f </w:t>
            </w:r>
            <w:r>
              <w:rPr>
                <w:rFonts w:cs="Arial"/>
              </w:rPr>
              <w:t>≤</w:t>
            </w:r>
            <w:r>
              <w:rPr>
                <w:rFonts w:cs="v4.2.0"/>
              </w:rPr>
              <w:t xml:space="preserve"> 3.0GHz</w:t>
            </w:r>
          </w:p>
        </w:tc>
        <w:tc>
          <w:tcPr>
            <w:tcW w:w="5245" w:type="dxa"/>
            <w:vAlign w:val="center"/>
          </w:tcPr>
          <w:p>
            <w:pPr>
              <w:pStyle w:val="105"/>
              <w:rPr>
                <w:rFonts w:eastAsia="PMingLiU"/>
                <w:lang w:eastAsia="zh-TW"/>
              </w:rPr>
            </w:pPr>
            <w:r>
              <w:rPr>
                <w:snapToGrid w:val="0"/>
              </w:rPr>
              <w:t>±</w:t>
            </w:r>
            <w:r>
              <w:t xml:space="preserve"> </w:t>
            </w:r>
            <w:r>
              <w:rPr>
                <w:rFonts w:eastAsia="PMingLiU"/>
                <w:lang w:eastAsia="zh-TW"/>
              </w:rPr>
              <w:t xml:space="preserve">7.5 </w:t>
            </w:r>
            <w:r>
              <w:t>dB</w:t>
            </w:r>
          </w:p>
        </w:tc>
      </w:tr>
    </w:tbl>
    <w:p/>
    <w:p>
      <w:pPr>
        <w:pStyle w:val="5"/>
      </w:pPr>
      <w:bookmarkStart w:id="626" w:name="_Toc6565"/>
      <w:bookmarkStart w:id="627" w:name="_Toc27320"/>
      <w:bookmarkStart w:id="628" w:name="_Toc8455"/>
      <w:bookmarkStart w:id="629" w:name="_Toc2790"/>
      <w:bookmarkStart w:id="630" w:name="_Toc15823"/>
      <w:bookmarkStart w:id="631" w:name="_Toc9427"/>
      <w:r>
        <w:t>6.3B.4</w:t>
      </w:r>
      <w:r>
        <w:tab/>
      </w:r>
      <w:r>
        <w:t>Power Control for category NB1 and NB2</w:t>
      </w:r>
      <w:bookmarkEnd w:id="622"/>
      <w:bookmarkEnd w:id="623"/>
      <w:bookmarkEnd w:id="624"/>
      <w:bookmarkEnd w:id="625"/>
      <w:bookmarkEnd w:id="626"/>
      <w:bookmarkEnd w:id="627"/>
      <w:bookmarkEnd w:id="628"/>
      <w:bookmarkEnd w:id="629"/>
      <w:bookmarkEnd w:id="630"/>
      <w:bookmarkEnd w:id="631"/>
    </w:p>
    <w:p>
      <w:pPr>
        <w:pStyle w:val="6"/>
      </w:pPr>
      <w:bookmarkStart w:id="632" w:name="_Toc4696"/>
      <w:bookmarkStart w:id="633" w:name="_Toc8375"/>
      <w:bookmarkStart w:id="634" w:name="_Toc19803"/>
      <w:bookmarkStart w:id="635" w:name="_Toc13196"/>
      <w:bookmarkStart w:id="636" w:name="_Toc24326"/>
      <w:bookmarkStart w:id="637" w:name="_Toc8791"/>
      <w:r>
        <w:t>6.3B.4.1</w:t>
      </w:r>
      <w:r>
        <w:tab/>
      </w:r>
      <w:r>
        <w:t>Power Control Absolute power tolerance for category NB1 and NB2</w:t>
      </w:r>
      <w:bookmarkEnd w:id="632"/>
      <w:bookmarkEnd w:id="633"/>
      <w:bookmarkEnd w:id="634"/>
      <w:bookmarkEnd w:id="635"/>
      <w:bookmarkEnd w:id="636"/>
      <w:bookmarkEnd w:id="637"/>
    </w:p>
    <w:p>
      <w:pPr>
        <w:pStyle w:val="112"/>
        <w:rPr>
          <w:lang w:val="en-US"/>
        </w:rPr>
      </w:pPr>
      <w:r>
        <w:t>Editor’s Note: Addition to applicability spec is pending.</w:t>
      </w:r>
    </w:p>
    <w:p>
      <w:pPr>
        <w:pStyle w:val="9"/>
      </w:pPr>
      <w:r>
        <w:t>6.3B.4.1.1</w:t>
      </w:r>
      <w:r>
        <w:tab/>
      </w:r>
      <w:r>
        <w:t>Test purpose</w:t>
      </w:r>
    </w:p>
    <w:p>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pPr>
        <w:pStyle w:val="9"/>
      </w:pPr>
      <w:r>
        <w:t>6.3B.4.1.2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6.3B.4.1.3</w:t>
      </w:r>
      <w:r>
        <w:tab/>
      </w:r>
      <w:r>
        <w:t>Minimum conformance requirements</w:t>
      </w:r>
    </w:p>
    <w:p>
      <w:r>
        <w:t>The minimum requirement for absolute power tolerance is given in Table 6.3B.4.1.3-1 over the power range bounded by the Maximum output power as defined in subclause 6.2B and the Minimum output power as defined in subclause 6.3B</w:t>
      </w:r>
    </w:p>
    <w:p>
      <w:pPr>
        <w:pStyle w:val="113"/>
      </w:pPr>
      <w:r>
        <w:t>Table 6.3B.4.1.3-1: Absolute power tolerance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0" w:type="dxa"/>
          </w:tcPr>
          <w:p>
            <w:pPr>
              <w:pStyle w:val="104"/>
              <w:rPr>
                <w:rFonts w:cs="Arial"/>
              </w:rPr>
            </w:pPr>
            <w:r>
              <w:rPr>
                <w:rFonts w:cs="Arial"/>
              </w:rPr>
              <w:t>Conditions</w:t>
            </w:r>
          </w:p>
        </w:tc>
        <w:tc>
          <w:tcPr>
            <w:tcW w:w="1827" w:type="dxa"/>
          </w:tcPr>
          <w:p>
            <w:pPr>
              <w:pStyle w:val="104"/>
              <w:rPr>
                <w:rFonts w:cs="Arial"/>
              </w:rPr>
            </w:pPr>
            <w:r>
              <w:rPr>
                <w:rFonts w:cs="Arial"/>
              </w:rPr>
              <w:t>Tolerance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0" w:type="dxa"/>
            <w:vAlign w:val="center"/>
          </w:tcPr>
          <w:p>
            <w:pPr>
              <w:pStyle w:val="103"/>
              <w:rPr>
                <w:rFonts w:eastAsia="Osaka" w:cs="Arial"/>
              </w:rPr>
            </w:pPr>
            <w:r>
              <w:rPr>
                <w:rFonts w:cs="Arial"/>
              </w:rPr>
              <w:t>Normal</w:t>
            </w:r>
          </w:p>
        </w:tc>
        <w:tc>
          <w:tcPr>
            <w:tcW w:w="1827" w:type="dxa"/>
            <w:vAlign w:val="center"/>
          </w:tcPr>
          <w:p>
            <w:pPr>
              <w:pStyle w:val="105"/>
              <w:rPr>
                <w:rFonts w:eastAsia="Osaka" w:cs="Arial"/>
              </w:rPr>
            </w:pPr>
            <w:r>
              <w:rPr>
                <w:rFonts w:cs="Arial"/>
                <w:snapToGrid w:val="0"/>
              </w:rPr>
              <w:t>±</w:t>
            </w:r>
            <w:r>
              <w:rPr>
                <w:rFonts w:cs="Arial"/>
              </w:rPr>
              <w:t xml:space="preserve"> 9.0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0" w:type="dxa"/>
            <w:vAlign w:val="center"/>
          </w:tcPr>
          <w:p>
            <w:pPr>
              <w:pStyle w:val="103"/>
              <w:rPr>
                <w:rFonts w:eastAsia="Osaka" w:cs="Arial"/>
              </w:rPr>
            </w:pPr>
            <w:r>
              <w:rPr>
                <w:rFonts w:cs="Arial"/>
              </w:rPr>
              <w:t>Extreme</w:t>
            </w:r>
          </w:p>
        </w:tc>
        <w:tc>
          <w:tcPr>
            <w:tcW w:w="1827" w:type="dxa"/>
            <w:vAlign w:val="center"/>
          </w:tcPr>
          <w:p>
            <w:pPr>
              <w:pStyle w:val="105"/>
              <w:rPr>
                <w:rFonts w:eastAsia="Osaka" w:cs="Arial"/>
              </w:rPr>
            </w:pPr>
            <w:r>
              <w:rPr>
                <w:rFonts w:cs="Arial"/>
                <w:snapToGrid w:val="0"/>
              </w:rPr>
              <w:t>±</w:t>
            </w:r>
            <w:r>
              <w:rPr>
                <w:rFonts w:cs="Arial"/>
              </w:rPr>
              <w:t xml:space="preserve"> 12.0 dB</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6.3B.3.4.</w:t>
      </w:r>
    </w:p>
    <w:p>
      <w:pPr>
        <w:pStyle w:val="9"/>
      </w:pPr>
      <w:r>
        <w:t>6.3B.4.1.4</w:t>
      </w:r>
      <w:r>
        <w:tab/>
      </w:r>
      <w:r>
        <w:t>Test description</w:t>
      </w:r>
    </w:p>
    <w:p>
      <w:pPr>
        <w:pStyle w:val="9"/>
      </w:pPr>
      <w:r>
        <w:t>6.3B.4.1.4.1</w:t>
      </w:r>
      <w:r>
        <w:tab/>
      </w:r>
      <w:r>
        <w:t>Initial conditions</w:t>
      </w:r>
    </w:p>
    <w:p>
      <w: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Annex A.2. </w:t>
      </w:r>
      <w:r>
        <w:t>Configurations of NPDSCH and NPDCCH before measurement are specified in Annex C.2.</w:t>
      </w:r>
    </w:p>
    <w:p>
      <w:pPr>
        <w:pStyle w:val="113"/>
      </w:pPr>
      <w:r>
        <w:t>Table 6.3B.4.1.4.1-1: Test Configuration</w:t>
      </w:r>
      <w:r>
        <w:rPr>
          <w:rFonts w:eastAsia="PMingLiU"/>
          <w:lang w:eastAsia="zh-TW"/>
        </w:rPr>
        <w:t xml:space="preserve"> </w:t>
      </w:r>
      <w:r>
        <w:t>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164"/>
        <w:gridCol w:w="135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tcPr>
          <w:p>
            <w:pPr>
              <w:pStyle w:val="103"/>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tcPr>
          <w:p>
            <w:pPr>
              <w:pStyle w:val="103"/>
            </w:pPr>
            <w:r>
              <w:rPr>
                <w:rFonts w:cs="Arial"/>
                <w:szCs w:val="18"/>
                <w:lang w:eastAsia="zh-TW"/>
              </w:rPr>
              <w:t>Frequency ranges defined in Annex K.1.</w:t>
            </w:r>
            <w:r>
              <w:rPr>
                <w:rFonts w:eastAsia="PMingLiU" w:cs="Arial"/>
                <w:szCs w:val="18"/>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164" w:type="dxa"/>
          </w:tcPr>
          <w:p>
            <w:pPr>
              <w:pStyle w:val="105"/>
            </w:pPr>
            <w:r>
              <w:t>Modulation</w:t>
            </w:r>
          </w:p>
        </w:tc>
        <w:tc>
          <w:tcPr>
            <w:tcW w:w="1354" w:type="dxa"/>
          </w:tcPr>
          <w:p>
            <w:pPr>
              <w:pStyle w:val="105"/>
              <w:rPr>
                <w:highlight w:val="yellow"/>
              </w:rPr>
            </w:pPr>
            <w:r>
              <w:rPr>
                <w:rFonts w:cs="Arial"/>
              </w:rPr>
              <w:t>Subcarriers</w:t>
            </w:r>
          </w:p>
        </w:tc>
        <w:tc>
          <w:tcPr>
            <w:tcW w:w="2139" w:type="dxa"/>
          </w:tcPr>
          <w:p>
            <w:pPr>
              <w:pStyle w:val="105"/>
            </w:pPr>
            <w:r>
              <w:t>Modulation</w:t>
            </w:r>
          </w:p>
        </w:tc>
        <w:tc>
          <w:tcPr>
            <w:tcW w:w="1164" w:type="dxa"/>
          </w:tcPr>
          <w:p>
            <w:pPr>
              <w:pStyle w:val="105"/>
              <w:rPr>
                <w:highlight w:val="yellow"/>
              </w:rPr>
            </w:pPr>
            <w:r>
              <w:t>N</w:t>
            </w:r>
            <w:r>
              <w:rPr>
                <w:vertAlign w:val="subscript"/>
              </w:rPr>
              <w:t>tones</w:t>
            </w:r>
          </w:p>
        </w:tc>
        <w:tc>
          <w:tcPr>
            <w:tcW w:w="1194" w:type="dxa"/>
          </w:tcPr>
          <w:p>
            <w:pPr>
              <w:pStyle w:val="105"/>
              <w:rPr>
                <w:highlight w:val="yellow"/>
              </w:rPr>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2518" w:type="dxa"/>
            <w:gridSpan w:val="2"/>
            <w:vMerge w:val="restart"/>
          </w:tcPr>
          <w:p>
            <w:pPr>
              <w:pStyle w:val="105"/>
              <w:rPr>
                <w:highlight w:val="yellow"/>
                <w:lang w:eastAsia="ko-KR"/>
              </w:rPr>
            </w:pPr>
            <w:r>
              <w:rPr>
                <w:lang w:eastAsia="ko-KR"/>
              </w:rPr>
              <w:t>N/A</w:t>
            </w:r>
          </w:p>
        </w:tc>
        <w:tc>
          <w:tcPr>
            <w:tcW w:w="2139" w:type="dxa"/>
          </w:tcPr>
          <w:p>
            <w:pPr>
              <w:pStyle w:val="105"/>
            </w:pPr>
            <w:r>
              <w:t>QPSK</w:t>
            </w:r>
          </w:p>
        </w:tc>
        <w:tc>
          <w:tcPr>
            <w:tcW w:w="1164" w:type="dxa"/>
          </w:tcPr>
          <w:p>
            <w:pPr>
              <w:pStyle w:val="105"/>
              <w:rPr>
                <w:highlight w:val="yellow"/>
              </w:rPr>
            </w:pPr>
            <w:r>
              <w:t>1@0</w:t>
            </w:r>
          </w:p>
        </w:tc>
        <w:tc>
          <w:tcPr>
            <w:tcW w:w="1194" w:type="dxa"/>
          </w:tcPr>
          <w:p>
            <w:pPr>
              <w:pStyle w:val="105"/>
              <w:rPr>
                <w:highlight w:val="yellow"/>
              </w:rPr>
            </w:pPr>
            <w:r>
              <w:t>3.75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rPr>
                <w:lang w:eastAsia="ko-KR"/>
              </w:rPr>
            </w:pPr>
            <w:r>
              <w:rPr>
                <w:lang w:eastAsia="ko-KR"/>
              </w:rPr>
              <w:t>2</w:t>
            </w:r>
          </w:p>
        </w:tc>
        <w:tc>
          <w:tcPr>
            <w:tcW w:w="2518" w:type="dxa"/>
            <w:gridSpan w:val="2"/>
            <w:vMerge w:val="continue"/>
          </w:tcPr>
          <w:p>
            <w:pPr>
              <w:pStyle w:val="105"/>
            </w:pPr>
          </w:p>
        </w:tc>
        <w:tc>
          <w:tcPr>
            <w:tcW w:w="2139" w:type="dxa"/>
          </w:tcPr>
          <w:p>
            <w:pPr>
              <w:pStyle w:val="105"/>
            </w:pPr>
            <w:r>
              <w:t>QPSK</w:t>
            </w:r>
          </w:p>
        </w:tc>
        <w:tc>
          <w:tcPr>
            <w:tcW w:w="1164" w:type="dxa"/>
          </w:tcPr>
          <w:p>
            <w:pPr>
              <w:pStyle w:val="105"/>
            </w:pPr>
            <w:r>
              <w:t>1@0</w:t>
            </w:r>
          </w:p>
        </w:tc>
        <w:tc>
          <w:tcPr>
            <w:tcW w:w="1194" w:type="dxa"/>
          </w:tcPr>
          <w:p>
            <w:pPr>
              <w:pStyle w:val="105"/>
            </w:pPr>
            <w: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rPr>
                <w:lang w:eastAsia="ko-KR"/>
              </w:rPr>
            </w:pPr>
            <w:r>
              <w:rPr>
                <w:lang w:eastAsia="ko-KR"/>
              </w:rPr>
              <w:t>3 (NOTE 1)</w:t>
            </w:r>
          </w:p>
        </w:tc>
        <w:tc>
          <w:tcPr>
            <w:tcW w:w="2518" w:type="dxa"/>
            <w:gridSpan w:val="2"/>
            <w:vMerge w:val="continue"/>
          </w:tcPr>
          <w:p>
            <w:pPr>
              <w:pStyle w:val="105"/>
            </w:pPr>
          </w:p>
        </w:tc>
        <w:tc>
          <w:tcPr>
            <w:tcW w:w="2139" w:type="dxa"/>
          </w:tcPr>
          <w:p>
            <w:pPr>
              <w:pStyle w:val="105"/>
            </w:pPr>
            <w:r>
              <w:t>QPSK</w:t>
            </w:r>
          </w:p>
        </w:tc>
        <w:tc>
          <w:tcPr>
            <w:tcW w:w="1164" w:type="dxa"/>
          </w:tcPr>
          <w:p>
            <w:pPr>
              <w:pStyle w:val="105"/>
            </w:pPr>
            <w:r>
              <w:t>12@0</w:t>
            </w:r>
          </w:p>
        </w:tc>
        <w:tc>
          <w:tcPr>
            <w:tcW w:w="1194" w:type="dxa"/>
          </w:tcPr>
          <w:p>
            <w:pPr>
              <w:pStyle w:val="105"/>
            </w:pPr>
            <w: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5" w:type="dxa"/>
            <w:gridSpan w:val="6"/>
          </w:tcPr>
          <w:p>
            <w:pPr>
              <w:pStyle w:val="105"/>
              <w:jc w:val="left"/>
            </w:pPr>
            <w:r>
              <w:t>Note 1:</w:t>
            </w:r>
            <w:r>
              <w:tab/>
            </w:r>
            <w:r>
              <w:t>Applicable to UE supporting UL multi-tone transmissions</w:t>
            </w:r>
          </w:p>
        </w:tc>
      </w:tr>
    </w:tbl>
    <w:p>
      <w:pPr>
        <w:rPr>
          <w:rFonts w:eastAsia="PMingLiU"/>
          <w:lang w:eastAsia="zh-TW"/>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H.1.1 and H.4.0.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6.3B.4.1.4.1-1.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r>
        <w:rPr>
          <w:lang w:eastAsia="en-GB"/>
        </w:rPr>
        <w:t>8.2.6.1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emulat</w:t>
      </w:r>
      <w:r>
        <w:rPr>
          <w:color w:val="000000" w:themeColor="text1"/>
          <w14:textFill>
            <w14:solidFill>
              <w14:schemeClr w14:val="tx1"/>
            </w14:solidFill>
          </w14:textFill>
        </w:rPr>
        <w:t xml:space="preserve">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during t</w:t>
      </w:r>
      <w:r>
        <w:t>he duration of the test as define in TS 36.508[12] clause 8.2.6.3.1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7.</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r>
      <w:r>
        <w:rPr>
          <w:rFonts w:hint="eastAsia"/>
          <w:lang w:eastAsia="en-GB"/>
        </w:rPr>
        <w:t>Ensure the UE is in State 2A-NB with CP CIoT Optimisation according to TS 36.508 [12] clause 8.1.5. Message contents are defined in clause 6.3B.4.1.4.3.</w:t>
      </w:r>
    </w:p>
    <w:p>
      <w:pPr>
        <w:pStyle w:val="9"/>
      </w:pPr>
      <w:r>
        <w:t>6.3B.4.1.4.2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NPDCCH DCI format N0 for C_RNTI to schedule the UL RMC according to Table 6.3B.4.1.4.1-1.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SS shall configure the UE to transmit according to Table 6.3B.4.1.4.3-1 and Table 6.3B.4.1.4.3-2.</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Release the connection through State 3A-NB.</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Modify system information elements according to Table 6.3B.4.1.4.3-3 and Table 6.3B.4.1.4.3-4 and notify the UE via paging message with SystemInformationModification included.</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SS sends uplink scheduling information for each UL HARQ process via NPDCCH DCI format N0 for C_RNTI to schedule the UL RMC according to Table 6.3B.4.1.4.1-1.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r>
      <w:r>
        <w:rPr>
          <w:rFonts w:hint="eastAsia"/>
          <w:lang w:eastAsia="en-GB"/>
        </w:rPr>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For TDD slots with transient periods are not under test.</w:t>
      </w:r>
    </w:p>
    <w:p>
      <w:pPr>
        <w:pStyle w:val="100"/>
        <w:overflowPunct w:val="0"/>
        <w:autoSpaceDE w:val="0"/>
        <w:autoSpaceDN w:val="0"/>
        <w:adjustRightInd w:val="0"/>
        <w:ind w:left="0"/>
        <w:contextualSpacing w:val="0"/>
        <w:textAlignment w:val="baseline"/>
        <w:rPr>
          <w:lang w:eastAsia="en-GB"/>
        </w:rPr>
      </w:pPr>
      <w:r>
        <w:rPr>
          <w:rFonts w:hint="eastAsia"/>
          <w:lang w:eastAsia="en-GB"/>
        </w:rPr>
        <w:t>NOTE 1:</w:t>
      </w:r>
      <w:r>
        <w:rPr>
          <w:rFonts w:hint="eastAsia"/>
          <w:lang w:eastAsia="en-GB"/>
        </w:rPr>
        <w:tab/>
      </w:r>
      <w:r>
        <w:rPr>
          <w:rFonts w:hint="eastAsia"/>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6.3B.4.1.4.3</w:t>
      </w:r>
      <w:r>
        <w:tab/>
      </w:r>
      <w:r>
        <w:t>Message contents</w:t>
      </w:r>
    </w:p>
    <w:p>
      <w:r>
        <w:t>Message contents are according to TS 36.508 [12] subclause 8.1.6 with the following exceptions.</w:t>
      </w:r>
    </w:p>
    <w:p>
      <w:pPr>
        <w:pStyle w:val="113"/>
      </w:pPr>
      <w:r>
        <w:t>Table 6.3B.4.1.4.3-1: UplinkPowerControlCommon: Test point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[12]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-124 (-124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lang w:eastAsia="ko-KR"/>
              </w:rPr>
            </w:pPr>
            <w:r>
              <w:rPr>
                <w:lang w:eastAsia="ko-KR"/>
              </w:rPr>
              <w:t>Test point 1 to verify a UE relative low initial power transmission</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113"/>
      </w:pPr>
      <w:r>
        <w:t>Table 6.3B.4.1.4.3-2: NPDSCH-ConfigCommon-NB-DEFAULT: Test Point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36.331 clause 6.7.3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20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113"/>
      </w:pPr>
      <w:r>
        <w:t>Table 6.3B.4.1.4.3-3: UplinkPowerControlCommon: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[12]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-94 (-94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rPr>
                <w:lang w:eastAsia="ko-KR"/>
              </w:rPr>
              <w:t>Test point 2 to verify a UE relative high initial power transmission</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113"/>
      </w:pPr>
      <w:r>
        <w:t>Table 6.3B.4.1.4.3-4: NPDSCH-ConfigCommon-NB-DEFAULT: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36.331 clause 6.7.3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3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113"/>
      </w:pPr>
      <w:r>
        <w:t>Table 6.3B.4.1.4.3-5: PhysicalConfigDedicated</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700"/>
        <w:gridCol w:w="12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Borders>
              <w:top w:val="single" w:color="000000" w:sz="4" w:space="0"/>
              <w:left w:val="single" w:color="000000" w:sz="4" w:space="0"/>
              <w:bottom w:val="single" w:color="000000" w:sz="4" w:space="0"/>
              <w:right w:val="single" w:color="000000" w:sz="4" w:space="0"/>
            </w:tcBorders>
          </w:tcPr>
          <w:p>
            <w:pPr>
              <w:pStyle w:val="103"/>
            </w:pPr>
            <w:r>
              <w:t>Derivation Path: TS 36.508 [12] clause 8.1.8.2,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Information Element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Value/remark</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Comment</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PhysicalConfigDedicated-NB-DEFAULT ::=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 xml:space="preserve">  uplinkPowerControlDedicated-r13</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UplinkPowerControlDedicated-NB-DEFAULT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See subclause 8.1.6.3</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r>
    </w:tbl>
    <w:p/>
    <w:p>
      <w:pPr>
        <w:pStyle w:val="113"/>
      </w:pPr>
      <w:r>
        <w:t>Table 6.3B.4.1.4.3-6: UplinkPowerControlDedicated-NB-DEFAULT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[12] clause 8.1.6.3, Table 8.1.6.3-15 UplinkPowerControlDedicated-NB-DEFAULT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UplinkPowerControlDedicated-NB-DEFAULT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p0-UE-NPUSCH-r13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Default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9"/>
      </w:pPr>
      <w:r>
        <w:t>6.3B.4.1.5</w:t>
      </w:r>
      <w:r>
        <w:tab/>
      </w:r>
      <w:r>
        <w:t>Test requirement</w:t>
      </w:r>
    </w:p>
    <w:p>
      <w:r>
        <w:t xml:space="preserve">The requirement for the power measured in steps (2), (3) and (4) of the test procedure shall not </w:t>
      </w:r>
      <w:r>
        <w:rPr>
          <w:rFonts w:eastAsia="香~??’c‘I"/>
        </w:rPr>
        <w:t>exceed</w:t>
      </w:r>
      <w:r>
        <w:t xml:space="preserve"> the values specified in Table 6.3B.4.1.5-1 and 6.3B.4.1.5-2.</w:t>
      </w:r>
    </w:p>
    <w:p>
      <w:pPr>
        <w:pStyle w:val="113"/>
      </w:pPr>
      <w:r>
        <w:t>Table 6.3B.4.1.5-1: Absolute power tolerance: test point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1843"/>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Merge w:val="restart"/>
            <w:tcBorders>
              <w:top w:val="single" w:color="auto" w:sz="4" w:space="0"/>
              <w:left w:val="single" w:color="auto" w:sz="4" w:space="0"/>
              <w:bottom w:val="single" w:color="auto" w:sz="4" w:space="0"/>
              <w:right w:val="single" w:color="auto" w:sz="4" w:space="0"/>
            </w:tcBorders>
          </w:tcPr>
          <w:p/>
        </w:tc>
        <w:tc>
          <w:tcPr>
            <w:tcW w:w="5529" w:type="dxa"/>
            <w:gridSpan w:val="3"/>
            <w:tcBorders>
              <w:top w:val="single" w:color="auto" w:sz="4" w:space="0"/>
              <w:left w:val="single" w:color="auto" w:sz="4" w:space="0"/>
              <w:bottom w:val="single" w:color="auto" w:sz="4" w:space="0"/>
              <w:right w:val="single" w:color="auto" w:sz="4" w:space="0"/>
            </w:tcBorders>
          </w:tcPr>
          <w:p>
            <w:pPr>
              <w:pStyle w:val="104"/>
            </w:pPr>
            <w:r>
              <w:t>Channel bandwidth / expected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38" w:type="dxa"/>
            <w:vMerge w:val="continue"/>
            <w:tcBorders>
              <w:top w:val="single" w:color="auto" w:sz="4" w:space="0"/>
              <w:left w:val="single" w:color="auto" w:sz="4" w:space="0"/>
              <w:bottom w:val="single" w:color="auto" w:sz="4" w:space="0"/>
              <w:right w:val="single" w:color="auto" w:sz="4" w:space="0"/>
            </w:tcBorders>
            <w:vAlign w:val="center"/>
          </w:tcPr>
          <w:p>
            <w:pPr>
              <w:spacing w:after="0"/>
            </w:pP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1</w:t>
            </w:r>
          </w:p>
          <w:p>
            <w:pPr>
              <w:pStyle w:val="104"/>
            </w:pPr>
            <w:r>
              <w:t>3.75 kHz (1 tone)</w:t>
            </w: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2</w:t>
            </w:r>
          </w:p>
          <w:p>
            <w:pPr>
              <w:pStyle w:val="104"/>
            </w:pPr>
            <w:r>
              <w:t>15 kHz (1 tone)</w:t>
            </w: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3</w:t>
            </w:r>
          </w:p>
          <w:p>
            <w:pPr>
              <w:pStyle w:val="104"/>
            </w:pPr>
            <w:r>
              <w:t>15 kHz (12 tones)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
          <w:p>
            <w:pPr>
              <w:pStyle w:val="103"/>
              <w:jc w:val="center"/>
            </w:pPr>
            <w:r>
              <w:t>Expected Measured power Normal conditions</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-25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-19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
          <w:p>
            <w:pPr>
              <w:pStyle w:val="103"/>
              <w:jc w:val="center"/>
            </w:pPr>
            <w:r>
              <w:t>Expected Measured power Extreme conditions</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-25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-19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38" w:type="dxa"/>
            <w:gridSpan w:val="4"/>
            <w:tcBorders>
              <w:top w:val="single" w:color="auto" w:sz="4" w:space="0"/>
              <w:left w:val="single" w:color="auto" w:sz="4" w:space="0"/>
              <w:bottom w:val="single" w:color="auto" w:sz="4" w:space="0"/>
              <w:right w:val="single" w:color="auto" w:sz="4" w:space="0"/>
            </w:tcBorders>
            <w:vAlign w:val="center"/>
          </w:tcPr>
          <w:p>
            <w:pPr>
              <w:pStyle w:val="118"/>
              <w:rPr>
                <w:snapToGrid w:val="0"/>
              </w:rPr>
            </w:pPr>
            <w:r>
              <w:t>Note 1:</w:t>
            </w:r>
            <w:r>
              <w:tab/>
            </w:r>
            <w:r>
              <w:t>The lower power limit shall not exceed the minimum output power requirements defined in sub-clause 6.3B.1</w:t>
            </w:r>
          </w:p>
        </w:tc>
      </w:tr>
    </w:tbl>
    <w:p/>
    <w:p>
      <w:pPr>
        <w:pStyle w:val="113"/>
      </w:pPr>
      <w:r>
        <w:t>Table 6.3B.4.1.5-2: Absolute power tolerance: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1843"/>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Merge w:val="restart"/>
            <w:tcBorders>
              <w:top w:val="single" w:color="auto" w:sz="4" w:space="0"/>
              <w:left w:val="single" w:color="auto" w:sz="4" w:space="0"/>
              <w:bottom w:val="single" w:color="auto" w:sz="4" w:space="0"/>
              <w:right w:val="single" w:color="auto" w:sz="4" w:space="0"/>
            </w:tcBorders>
          </w:tcPr>
          <w:p/>
        </w:tc>
        <w:tc>
          <w:tcPr>
            <w:tcW w:w="5529" w:type="dxa"/>
            <w:gridSpan w:val="3"/>
            <w:tcBorders>
              <w:top w:val="single" w:color="auto" w:sz="4" w:space="0"/>
              <w:left w:val="single" w:color="auto" w:sz="4" w:space="0"/>
              <w:bottom w:val="single" w:color="auto" w:sz="4" w:space="0"/>
              <w:right w:val="single" w:color="auto" w:sz="4" w:space="0"/>
            </w:tcBorders>
          </w:tcPr>
          <w:p>
            <w:pPr>
              <w:pStyle w:val="104"/>
            </w:pPr>
            <w:r>
              <w:t>Channel bandwidth / expected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38" w:type="dxa"/>
            <w:vMerge w:val="continue"/>
            <w:tcBorders>
              <w:top w:val="single" w:color="auto" w:sz="4" w:space="0"/>
              <w:left w:val="single" w:color="auto" w:sz="4" w:space="0"/>
              <w:bottom w:val="single" w:color="auto" w:sz="4" w:space="0"/>
              <w:right w:val="single" w:color="auto" w:sz="4" w:space="0"/>
            </w:tcBorders>
            <w:vAlign w:val="center"/>
          </w:tcPr>
          <w:p>
            <w:pPr>
              <w:spacing w:after="0"/>
            </w:pP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1</w:t>
            </w:r>
          </w:p>
          <w:p>
            <w:pPr>
              <w:pStyle w:val="104"/>
            </w:pPr>
            <w:r>
              <w:t>3.75 kHz (1 tone)</w:t>
            </w: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2</w:t>
            </w:r>
          </w:p>
          <w:p>
            <w:pPr>
              <w:pStyle w:val="104"/>
            </w:pPr>
            <w:r>
              <w:t>15 kHz (1 tone)</w:t>
            </w: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3</w:t>
            </w:r>
          </w:p>
          <w:p>
            <w:pPr>
              <w:pStyle w:val="104"/>
            </w:pPr>
            <w:r>
              <w:t>15 kHz (12 tones)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
          <w:p>
            <w:pPr>
              <w:pStyle w:val="103"/>
              <w:jc w:val="center"/>
            </w:pPr>
            <w:r>
              <w:t>Expected Measured power Normal conditions</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-12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-6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
          <w:p>
            <w:pPr>
              <w:pStyle w:val="103"/>
              <w:jc w:val="center"/>
            </w:pPr>
            <w:r>
              <w:t>Expected Measured power Extreme conditions</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-12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-6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38" w:type="dxa"/>
            <w:gridSpan w:val="4"/>
            <w:tcBorders>
              <w:top w:val="single" w:color="auto" w:sz="4" w:space="0"/>
              <w:left w:val="single" w:color="auto" w:sz="4" w:space="0"/>
              <w:bottom w:val="single" w:color="auto" w:sz="4" w:space="0"/>
              <w:right w:val="single" w:color="auto" w:sz="4" w:space="0"/>
            </w:tcBorders>
            <w:vAlign w:val="center"/>
          </w:tcPr>
          <w:p>
            <w:pPr>
              <w:pStyle w:val="118"/>
              <w:rPr>
                <w:snapToGrid w:val="0"/>
              </w:rPr>
            </w:pPr>
            <w:r>
              <w:t>Note 1:</w:t>
            </w:r>
            <w:r>
              <w:tab/>
            </w:r>
            <w:r>
              <w:t>The upper power limit shall not exceed the maximum output power requirements defined in sub-clause 6.2B.1</w:t>
            </w:r>
          </w:p>
        </w:tc>
      </w:tr>
    </w:tbl>
    <w:p>
      <w:pPr>
        <w:rPr>
          <w:lang w:eastAsia="zh-CN"/>
        </w:rPr>
      </w:pPr>
    </w:p>
    <w:p>
      <w:pPr>
        <w:pStyle w:val="6"/>
      </w:pPr>
      <w:bookmarkStart w:id="638" w:name="_Toc27511"/>
      <w:bookmarkStart w:id="639" w:name="_Toc30485"/>
      <w:bookmarkStart w:id="640" w:name="_Toc2505"/>
      <w:bookmarkStart w:id="641" w:name="_Toc1618"/>
      <w:bookmarkStart w:id="642" w:name="_Toc17908"/>
      <w:bookmarkStart w:id="643" w:name="_Toc5148"/>
      <w:bookmarkStart w:id="644" w:name="_Toc111062049"/>
      <w:bookmarkStart w:id="645" w:name="_Toc120570045"/>
      <w:bookmarkStart w:id="646" w:name="_Toc121162837"/>
      <w:bookmarkStart w:id="647" w:name="_Toc368026273"/>
      <w:bookmarkStart w:id="648" w:name="_Toc12525"/>
      <w:r>
        <w:t>6.3B.4.2 Power Control Relative power tolerance for category NB1 and NB2</w:t>
      </w:r>
      <w:bookmarkEnd w:id="638"/>
      <w:bookmarkEnd w:id="639"/>
      <w:bookmarkEnd w:id="640"/>
      <w:bookmarkEnd w:id="641"/>
      <w:bookmarkEnd w:id="642"/>
      <w:bookmarkEnd w:id="643"/>
    </w:p>
    <w:p>
      <w:pPr>
        <w:pStyle w:val="112"/>
        <w:rPr>
          <w:lang w:val="en-US"/>
        </w:rPr>
      </w:pPr>
      <w:r>
        <w:t>Editor’s Note: Addition to applicability spec is pending.</w:t>
      </w:r>
    </w:p>
    <w:p>
      <w:pPr>
        <w:pStyle w:val="9"/>
      </w:pPr>
      <w:r>
        <w:t>6.3B.4.2.1</w:t>
      </w:r>
      <w:r>
        <w:tab/>
      </w:r>
      <w:r>
        <w:t>Test purpose</w:t>
      </w:r>
    </w:p>
    <w:p>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pPr>
        <w:pStyle w:val="9"/>
      </w:pPr>
      <w:r>
        <w:t>6.3B.4.2.2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6.3B.4.2.3</w:t>
      </w:r>
      <w:r>
        <w:tab/>
      </w:r>
      <w:r>
        <w:t>Minimum conformance requirements</w:t>
      </w:r>
    </w:p>
    <w:p>
      <w:r>
        <w:t xml:space="preserve">Category NB1 and NB2 UE relative power control requirement is defined for NPRACH power step values of 0, </w:t>
      </w:r>
      <w:r>
        <w:rPr>
          <w:rFonts w:ascii="Times" w:hAnsi="Times" w:eastAsia="MS Mincho"/>
          <w:szCs w:val="24"/>
        </w:rPr>
        <w:t xml:space="preserve">2, 4 and 6 dB. </w:t>
      </w:r>
      <w:r>
        <w:rPr>
          <w:snapToGrid w:val="0"/>
        </w:rPr>
        <w:t xml:space="preserve">For NPRACH transmission, the relative tolerance is </w:t>
      </w:r>
      <w:r>
        <w:rPr>
          <w:rFonts w:cs="v5.0.0"/>
        </w:rPr>
        <w:t>the ability of the UE transmitter to set its output power</w:t>
      </w:r>
      <w:r>
        <w:rPr>
          <w:snapToGrid w:val="0"/>
        </w:rPr>
        <w:t xml:space="preserve"> relatively to </w:t>
      </w:r>
      <w:r>
        <w:rPr>
          <w:rFonts w:cs="v5.0.0"/>
          <w:snapToGrid w:val="0"/>
        </w:rPr>
        <w:t>the power of the most recently</w:t>
      </w:r>
      <w:r>
        <w:rPr>
          <w:snapToGrid w:val="0"/>
        </w:rPr>
        <w:t xml:space="preserve"> transmitted preamble</w:t>
      </w:r>
      <w:r>
        <w:t>. The measurement period for the NPRACH preamble is specified in Table 6.3B.3.2.3-1.</w:t>
      </w:r>
    </w:p>
    <w:p>
      <w:r>
        <w:t>The requirements specified in Table 6.3B.4.2.3-1 apply when the power of the target and reference sub-frames are within the power range bounded by the Minimum output power as defined in subclause 6.3B.1 and</w:t>
      </w:r>
      <w:r>
        <w:rPr>
          <w:rFonts w:cs="v5.0.0"/>
        </w:rPr>
        <w:t xml:space="preserve"> the maximum output power as defined in subclause 6.2B.1</w:t>
      </w:r>
    </w:p>
    <w:p>
      <w:pPr>
        <w:pStyle w:val="113"/>
      </w:pPr>
      <w:r>
        <w:t>Table 6.3B.4.2.3-1: Relative power tolerance for category NB1 and NB2 NPRACH transmission (normal conditions)</w:t>
      </w:r>
    </w:p>
    <w:tbl>
      <w:tblPr>
        <w:tblStyle w:val="89"/>
        <w:tblW w:w="4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0"/>
        <w:gridCol w:w="32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jc w:val="center"/>
        </w:trPr>
        <w:tc>
          <w:tcPr>
            <w:tcW w:w="1600" w:type="dxa"/>
            <w:shd w:val="clear" w:color="auto" w:fill="auto"/>
            <w:vAlign w:val="center"/>
          </w:tcPr>
          <w:p>
            <w:pPr>
              <w:pStyle w:val="104"/>
              <w:rPr>
                <w:rFonts w:eastAsia="MS Mincho" w:cs="Arial"/>
              </w:rPr>
            </w:pPr>
            <w:r>
              <w:rPr>
                <w:rFonts w:cs="Arial"/>
              </w:rPr>
              <w:t xml:space="preserve">Power step </w:t>
            </w:r>
            <w:r>
              <w:rPr>
                <w:rFonts w:ascii="Symbol" w:hAnsi="Symbol" w:cs="Arial"/>
              </w:rPr>
              <w:t></w:t>
            </w:r>
            <w:r>
              <w:rPr>
                <w:rFonts w:cs="Arial"/>
              </w:rPr>
              <w:t>P [dB]</w:t>
            </w:r>
          </w:p>
        </w:tc>
        <w:tc>
          <w:tcPr>
            <w:tcW w:w="3235" w:type="dxa"/>
            <w:shd w:val="clear" w:color="auto" w:fill="auto"/>
            <w:vAlign w:val="center"/>
          </w:tcPr>
          <w:p>
            <w:pPr>
              <w:pStyle w:val="104"/>
              <w:rPr>
                <w:rFonts w:eastAsia="MS Mincho" w:cs="Arial"/>
              </w:rPr>
            </w:pPr>
            <w:r>
              <w:rPr>
                <w:rFonts w:eastAsia="MS Mincho" w:cs="Arial"/>
              </w:rPr>
              <w:t>NPRACH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eastAsia="MS Mincho" w:cs="Arial"/>
              </w:rPr>
            </w:pPr>
            <w:r>
              <w:rPr>
                <w:rFonts w:cs="Arial"/>
              </w:rPr>
              <w:t>ΔP = 0</w:t>
            </w:r>
          </w:p>
        </w:tc>
        <w:tc>
          <w:tcPr>
            <w:tcW w:w="3235" w:type="dxa"/>
            <w:shd w:val="clear" w:color="auto" w:fill="auto"/>
          </w:tcPr>
          <w:p>
            <w:pPr>
              <w:pStyle w:val="105"/>
              <w:rPr>
                <w:rFonts w:eastAsia="MS Mincho" w:cs="Arial"/>
              </w:rPr>
            </w:pPr>
            <w:r>
              <w:rPr>
                <w:rFonts w:cs="Arial"/>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eastAsia="MS Mincho" w:cs="Arial"/>
              </w:rPr>
            </w:pPr>
            <w:r>
              <w:rPr>
                <w:rFonts w:cs="Arial"/>
              </w:rPr>
              <w:t>ΔP = 2</w:t>
            </w:r>
          </w:p>
        </w:tc>
        <w:tc>
          <w:tcPr>
            <w:tcW w:w="3235" w:type="dxa"/>
            <w:shd w:val="clear" w:color="auto" w:fill="auto"/>
          </w:tcPr>
          <w:p>
            <w:pPr>
              <w:pStyle w:val="105"/>
              <w:rPr>
                <w:rFonts w:eastAsia="MS Mincho" w:cs="Arial"/>
              </w:rPr>
            </w:pPr>
            <w:r>
              <w:rPr>
                <w:rFonts w:cs="Aria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eastAsia="MS Mincho" w:cs="Arial"/>
              </w:rPr>
            </w:pPr>
            <w:r>
              <w:rPr>
                <w:rFonts w:cs="Arial"/>
              </w:rPr>
              <w:t>ΔP = 4</w:t>
            </w:r>
          </w:p>
        </w:tc>
        <w:tc>
          <w:tcPr>
            <w:tcW w:w="3235" w:type="dxa"/>
            <w:shd w:val="clear" w:color="auto" w:fill="auto"/>
          </w:tcPr>
          <w:p>
            <w:pPr>
              <w:pStyle w:val="105"/>
              <w:rPr>
                <w:rFonts w:eastAsia="MS Mincho" w:cs="Arial"/>
              </w:rPr>
            </w:pPr>
            <w:r>
              <w:rPr>
                <w:rFonts w:cs="Arial"/>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cs="Arial"/>
              </w:rPr>
            </w:pPr>
            <w:r>
              <w:rPr>
                <w:rFonts w:cs="Arial"/>
              </w:rPr>
              <w:t>ΔP = 6</w:t>
            </w:r>
          </w:p>
        </w:tc>
        <w:tc>
          <w:tcPr>
            <w:tcW w:w="3235" w:type="dxa"/>
            <w:shd w:val="clear" w:color="auto" w:fill="auto"/>
          </w:tcPr>
          <w:p>
            <w:pPr>
              <w:pStyle w:val="105"/>
              <w:rPr>
                <w:rFonts w:eastAsia="MS Mincho" w:cs="Arial"/>
              </w:rPr>
            </w:pPr>
            <w:r>
              <w:rPr>
                <w:rFonts w:cs="Arial"/>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4835" w:type="dxa"/>
            <w:gridSpan w:val="2"/>
            <w:shd w:val="clear" w:color="auto" w:fill="auto"/>
            <w:vAlign w:val="center"/>
          </w:tcPr>
          <w:p>
            <w:pPr>
              <w:pStyle w:val="118"/>
              <w:rPr>
                <w:rFonts w:cs="Arial"/>
              </w:rPr>
            </w:pPr>
            <w:r>
              <w:rPr>
                <w:rFonts w:cs="Arial"/>
              </w:rPr>
              <w:t>NOTE:</w:t>
            </w:r>
            <w:r>
              <w:rPr>
                <w:rFonts w:cs="Arial"/>
              </w:rPr>
              <w:tab/>
            </w:r>
            <w:r>
              <w:rPr>
                <w:rFonts w:cs="Arial"/>
              </w:rPr>
              <w:t>For extreme conditions an additional ± 2.0 dB relaxation is allowed.</w:t>
            </w:r>
          </w:p>
        </w:tc>
      </w:tr>
    </w:tbl>
    <w:p/>
    <w:p>
      <w:r>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6.3B.4.</w:t>
      </w:r>
    </w:p>
    <w:p>
      <w:pPr>
        <w:pStyle w:val="9"/>
      </w:pPr>
      <w:r>
        <w:t>6.3B.4.2.4</w:t>
      </w:r>
      <w:r>
        <w:tab/>
      </w:r>
      <w:r>
        <w:t>Test description</w:t>
      </w:r>
    </w:p>
    <w:p>
      <w:pPr>
        <w:pStyle w:val="9"/>
      </w:pPr>
      <w:r>
        <w:t>6.3B.4.2.4.1</w:t>
      </w:r>
      <w:r>
        <w:tab/>
      </w:r>
      <w:r>
        <w:t>Initial conditions</w:t>
      </w:r>
    </w:p>
    <w:p>
      <w:pPr>
        <w:rPr>
          <w:rFonts w:eastAsia="Times New Roman"/>
          <w:lang w:eastAsia="en-US"/>
        </w:rPr>
      </w:pPr>
      <w:r>
        <w:rPr>
          <w:rFonts w:eastAsia="Times New Roman"/>
          <w:lang w:eastAsia="en-US"/>
        </w:rPr>
        <w:t>Initial conditions are set of test configurations the UE needs to be tested in and the steps for the SS to take with the UE to reach the correct measurement state.</w:t>
      </w:r>
    </w:p>
    <w:p>
      <w:pPr>
        <w:rPr>
          <w:rFonts w:eastAsia="Times New Roman"/>
          <w:lang w:eastAsia="en-US"/>
        </w:rPr>
      </w:pPr>
      <w:r>
        <w:t>The initial test configurations consist of environmental conditions and test frequencies based on the subset of E-UTRA operating bands defined for NB-IoT in clause 5.2B.</w:t>
      </w:r>
      <w:r>
        <w:rPr>
          <w:rFonts w:eastAsia="Times New Roman"/>
          <w:lang w:eastAsia="en-US"/>
        </w:rPr>
        <w:t xml:space="preserve"> All of these configurations shall be tested with applicable test parameters for each channel bandwidth and are shown in table 6.3B.4.2.4.1-1. The details of the uplink reference measurement channel (RMCs) are specified in Annex A.2. </w:t>
      </w:r>
      <w:r>
        <w:t>Configurations of NPDSCH and NPDCCH before measurement are specified in Annex C.2.</w:t>
      </w:r>
    </w:p>
    <w:p>
      <w:pPr>
        <w:pStyle w:val="113"/>
      </w:pPr>
      <w:r>
        <w:t>Table 6.3B.4.2.4.1-1: Test Configuration</w:t>
      </w:r>
      <w:r>
        <w:rPr>
          <w:rFonts w:eastAsia="PMingLiU"/>
          <w:lang w:eastAsia="zh-TW"/>
        </w:rPr>
        <w:t xml:space="preserve"> </w:t>
      </w:r>
      <w:r>
        <w:t>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88"/>
        <w:gridCol w:w="4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2"/>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tcPr>
          <w:p>
            <w:pPr>
              <w:pStyle w:val="103"/>
            </w:pPr>
            <w:r>
              <w:t>Test Environment as specified in TS 36.508 [12] clause 8.1.1</w:t>
            </w:r>
          </w:p>
        </w:tc>
        <w:tc>
          <w:tcPr>
            <w:tcW w:w="4497" w:type="dxa"/>
          </w:tcPr>
          <w:p>
            <w:pPr>
              <w:pStyle w:val="103"/>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tcPr>
          <w:p>
            <w:pPr>
              <w:pStyle w:val="103"/>
            </w:pPr>
            <w:r>
              <w:t>Test Frequencies as specified in TS36.508 [12] clause 8.1.3.1</w:t>
            </w:r>
          </w:p>
        </w:tc>
        <w:tc>
          <w:tcPr>
            <w:tcW w:w="4497" w:type="dxa"/>
          </w:tcPr>
          <w:p>
            <w:pPr>
              <w:pStyle w:val="103"/>
            </w:pPr>
            <w:r>
              <w:rPr>
                <w:lang w:eastAsia="ko-KR"/>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vAlign w:val="center"/>
          </w:tcPr>
          <w:p>
            <w:pPr>
              <w:pStyle w:val="103"/>
            </w:pPr>
            <w:r>
              <w:rPr>
                <w:lang w:eastAsia="ko-KR"/>
              </w:rPr>
              <w:t>NPRACH preamble format</w:t>
            </w:r>
          </w:p>
        </w:tc>
        <w:tc>
          <w:tcPr>
            <w:tcW w:w="4497" w:type="dxa"/>
          </w:tcPr>
          <w:p>
            <w:pPr>
              <w:pStyle w:val="103"/>
              <w:rPr>
                <w:lang w:eastAsia="ko-KR"/>
              </w:rPr>
            </w:pPr>
            <w:r>
              <w:rPr>
                <w:lang w:eastAsia="ko-KR"/>
              </w:rPr>
              <w:t>0</w:t>
            </w:r>
          </w:p>
        </w:tc>
      </w:tr>
    </w:tbl>
    <w:p>
      <w:pPr>
        <w:rPr>
          <w:rFonts w:eastAsia="PMingLiU"/>
          <w:lang w:eastAsia="zh-TW"/>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6.3B.4.2.4.1-1.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 xml:space="preserve">UE location according to TS 36.508 [12] clause </w:t>
      </w:r>
      <w:r>
        <w:rPr>
          <w:lang w:eastAsia="en-GB"/>
        </w:rPr>
        <w:t>8</w:t>
      </w:r>
      <w:r>
        <w:rPr>
          <w:rFonts w:hint="eastAsia"/>
          <w:lang w:eastAsia="en-GB"/>
        </w:rPr>
        <w:t>.</w:t>
      </w:r>
      <w:r>
        <w:rPr>
          <w:lang w:eastAsia="en-GB"/>
        </w:rPr>
        <w:t>2.6.1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rPr>
          <w:rFonts w:eastAsia="宋体"/>
          <w:lang w:val="en-US" w:eastAsia="zh-CN"/>
        </w:rPr>
      </w:pPr>
      <w:r>
        <w:rPr>
          <w:rFonts w:hint="eastAsia"/>
          <w:lang w:eastAsia="en-GB"/>
        </w:rPr>
        <w:t>7.</w:t>
      </w:r>
      <w:r>
        <w:rPr>
          <w:rFonts w:hint="eastAsia"/>
          <w:lang w:eastAsia="en-GB"/>
        </w:rPr>
        <w:tab/>
      </w:r>
      <w:r>
        <w:t>Test equipment shall e</w:t>
      </w:r>
      <w:r>
        <w:rPr>
          <w:color w:val="000000" w:themeColor="text1"/>
          <w14:textFill>
            <w14:solidFill>
              <w14:schemeClr w14:val="tx1"/>
            </w14:solidFill>
          </w14:textFill>
        </w:rPr>
        <w:t xml:space="preserve">mulate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w:t>
      </w:r>
      <w:r>
        <w:t>uring the duration of the test as define in TS 36.508[12] clause 8.2.6.3.1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3A-NB with CP CIoT Optimisation according to TS 36.508 [12] clause 8.1.5. Message contents are defined in clause 6.3B.4.2.4.3.</w:t>
      </w:r>
    </w:p>
    <w:p>
      <w:pPr>
        <w:pStyle w:val="9"/>
      </w:pPr>
      <w:r>
        <w:t>6.3B.4.2.4.2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The SS send the paging and UE shall send a preamble to the SS.</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NPRACH is set according to Table 6.3B.2.4.1-1.</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UE shall send a preamble to the SS.</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In response to the preamble, the SS shall transmit a random access response not corresponding to the transmitted random access preamble, or send no response.</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The UE shall consider the random access response reception not successful then re-transmit the preamble with the calculated NPRACH transmission power.</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Switches off and on the UE and ensure the UE is in State 3A-NB with CP CIoT Optimisation according to TS 36.508 [12] clause 8.1.5. Message contents are defined in clause 6.3B.4.2.4.3.</w:t>
      </w:r>
    </w:p>
    <w:p>
      <w:pPr>
        <w:pStyle w:val="11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r>
      <w:r>
        <w:rPr>
          <w:rFonts w:hint="eastAsia"/>
          <w:lang w:eastAsia="en-GB"/>
        </w:rPr>
        <w:t>Repeat test with step 1-6 as indicated in section 6.3B.4.2.4.3.</w:t>
      </w:r>
    </w:p>
    <w:p>
      <w:pPr>
        <w:pStyle w:val="9"/>
      </w:pPr>
      <w:r>
        <w:t>6.3B.4.2.4.3</w:t>
      </w:r>
      <w:r>
        <w:tab/>
      </w:r>
      <w:r>
        <w:t>Message contents</w:t>
      </w:r>
    </w:p>
    <w:p>
      <w:r>
        <w:t>Message contents are according to TS 36.508 [12] subclause 8.1.6 with the following exceptions.</w:t>
      </w:r>
    </w:p>
    <w:p>
      <w:pPr>
        <w:pStyle w:val="113"/>
      </w:pPr>
      <w:r>
        <w:t>Table 6.3B.4.2.4.3-1: NPDSCH-ConfigCommon-NB-DEFAULT: NPRACH measurement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781" w:type="dxa"/>
            <w:gridSpan w:val="4"/>
          </w:tcPr>
          <w:p>
            <w:pPr>
              <w:pStyle w:val="103"/>
            </w:pPr>
            <w:r>
              <w:t xml:space="preserve">Derivation Path: TS 36.508 [7] clause </w:t>
            </w:r>
            <w:r>
              <w:rPr>
                <w:rFonts w:eastAsia="PMingLiU"/>
                <w:lang w:eastAsia="zh-TW"/>
              </w:rPr>
              <w:t>8.1.6</w:t>
            </w:r>
            <w:r>
              <w:t>,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bottom w:val="single" w:color="auto" w:sz="4" w:space="0"/>
            </w:tcBorders>
          </w:tcPr>
          <w:p>
            <w:pPr>
              <w:pStyle w:val="103"/>
            </w:pPr>
            <w:r>
              <w:t xml:space="preserve">  nrs-Power-r13</w:t>
            </w:r>
          </w:p>
        </w:tc>
        <w:tc>
          <w:tcPr>
            <w:tcW w:w="2268" w:type="dxa"/>
          </w:tcPr>
          <w:p>
            <w:pPr>
              <w:pStyle w:val="103"/>
            </w:pPr>
            <w:r>
              <w:t>-22 (dBm)</w:t>
            </w:r>
          </w:p>
        </w:tc>
        <w:tc>
          <w:tcPr>
            <w:tcW w:w="1701" w:type="dxa"/>
          </w:tcPr>
          <w:p>
            <w:pPr>
              <w:pStyle w:val="103"/>
            </w:pPr>
          </w:p>
        </w:tc>
        <w:tc>
          <w:tcPr>
            <w:tcW w:w="1275"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3"/>
            </w:pPr>
            <w:r>
              <w:t>}</w:t>
            </w:r>
          </w:p>
        </w:tc>
        <w:tc>
          <w:tcPr>
            <w:tcW w:w="2268" w:type="dxa"/>
          </w:tcPr>
          <w:p>
            <w:pPr>
              <w:pStyle w:val="103"/>
            </w:pPr>
          </w:p>
        </w:tc>
        <w:tc>
          <w:tcPr>
            <w:tcW w:w="1701" w:type="dxa"/>
          </w:tcPr>
          <w:p>
            <w:pPr>
              <w:pStyle w:val="103"/>
            </w:pPr>
          </w:p>
        </w:tc>
        <w:tc>
          <w:tcPr>
            <w:tcW w:w="1275" w:type="dxa"/>
          </w:tcPr>
          <w:p>
            <w:pPr>
              <w:pStyle w:val="103"/>
            </w:pPr>
          </w:p>
        </w:tc>
      </w:tr>
    </w:tbl>
    <w:p/>
    <w:p>
      <w:pPr>
        <w:pStyle w:val="113"/>
      </w:pPr>
      <w:r>
        <w:t xml:space="preserve">Table 6.3B.4.2.4.3-2: RACH-ConfigCommon-NB-DEFAULT: </w:t>
      </w:r>
      <w:r>
        <w:rPr>
          <w:rFonts w:eastAsia="PMingLiU"/>
          <w:lang w:eastAsia="zh-TW"/>
        </w:rPr>
        <w:t>N</w:t>
      </w:r>
      <w:r>
        <w:t>PRACH measurement (Subtest 1: power step size ΔP = 2 dB)</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 xml:space="preserve">Derivation Path: TS 36.508 [7] clause </w:t>
            </w:r>
            <w:r>
              <w:rPr>
                <w:rFonts w:eastAsia="PMingLiU"/>
                <w:lang w:eastAsia="zh-TW"/>
              </w:rPr>
              <w:t>8.1.6</w:t>
            </w:r>
            <w:r>
              <w:t>,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preambleTransMax-CE-r13</w:t>
            </w:r>
          </w:p>
        </w:tc>
        <w:tc>
          <w:tcPr>
            <w:tcW w:w="2268" w:type="dxa"/>
            <w:shd w:val="clear" w:color="auto" w:fill="auto"/>
          </w:tcPr>
          <w:p>
            <w:pPr>
              <w:pStyle w:val="103"/>
            </w:pPr>
            <w:r>
              <w:t>n50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113"/>
      </w:pPr>
      <w:r>
        <w:t xml:space="preserve">Table 6.3B.4.2.4.3-3: RACH-ConfigCommon-NB-DEFAULT: </w:t>
      </w:r>
      <w:r>
        <w:rPr>
          <w:rFonts w:eastAsia="PMingLiU"/>
          <w:lang w:eastAsia="zh-TW"/>
        </w:rPr>
        <w:t>N</w:t>
      </w:r>
      <w:r>
        <w:t>PRACH measurement (Subtest 2: power step size ΔP = 6 dB)</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 xml:space="preserve">Derivation Path: TS 36.508 [7] clause </w:t>
            </w:r>
            <w:r>
              <w:rPr>
                <w:rFonts w:eastAsia="PMingLiU"/>
                <w:lang w:eastAsia="zh-TW"/>
              </w:rPr>
              <w:t>8.1.6</w:t>
            </w:r>
            <w:r>
              <w:t>,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trHeight w:val="141" w:hRule="atLeast"/>
          <w:jc w:val="center"/>
        </w:trPr>
        <w:tc>
          <w:tcPr>
            <w:tcW w:w="4537" w:type="dxa"/>
            <w:shd w:val="clear" w:color="auto" w:fill="auto"/>
          </w:tcPr>
          <w:p>
            <w:pPr>
              <w:pStyle w:val="103"/>
            </w:pPr>
            <w:r>
              <w:t xml:space="preserve">  preambleTransMax-CE-r13</w:t>
            </w:r>
          </w:p>
        </w:tc>
        <w:tc>
          <w:tcPr>
            <w:tcW w:w="2268" w:type="dxa"/>
            <w:shd w:val="clear" w:color="auto" w:fill="auto"/>
          </w:tcPr>
          <w:p>
            <w:pPr>
              <w:pStyle w:val="103"/>
            </w:pPr>
            <w:r>
              <w:t>n10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powerRampingParameters-r13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powerRampingStep</w:t>
            </w:r>
          </w:p>
        </w:tc>
        <w:tc>
          <w:tcPr>
            <w:tcW w:w="2268" w:type="dxa"/>
            <w:shd w:val="clear" w:color="auto" w:fill="auto"/>
          </w:tcPr>
          <w:p>
            <w:pPr>
              <w:pStyle w:val="103"/>
            </w:pPr>
            <w:r>
              <w:t>dB6</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6.3B.4.2.5</w:t>
      </w:r>
      <w:r>
        <w:tab/>
      </w:r>
      <w:r>
        <w:t>Test requirement</w:t>
      </w:r>
    </w:p>
    <w:p>
      <w:r>
        <w:t>Each UE power step measured in the test procedure 6.3B.4.2.4.2 should satisfy the test requirements specified in Table 6.3B.4.2.5-1 for normal conditions; for extreme conditions an additional ± 2.0 dB relaxation is allowed.</w:t>
      </w:r>
    </w:p>
    <w:p>
      <w:pPr>
        <w:pStyle w:val="113"/>
      </w:pPr>
      <w:r>
        <w:t>Table 6.3B.4.2.5-1: Relative power tolerance for category NB1 and NB2 NPRACH transmission (normal conditions – Note 1)</w:t>
      </w:r>
    </w:p>
    <w:tbl>
      <w:tblPr>
        <w:tblStyle w:val="89"/>
        <w:tblW w:w="65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6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260" w:type="dxa"/>
            <w:vAlign w:val="center"/>
          </w:tcPr>
          <w:p>
            <w:pPr>
              <w:pStyle w:val="104"/>
            </w:pPr>
            <w:r>
              <w:t>Expected power step size (up)</w:t>
            </w:r>
          </w:p>
          <w:p>
            <w:pPr>
              <w:pStyle w:val="104"/>
            </w:pPr>
            <w:r>
              <w:t>ΔP [dB]</w:t>
            </w:r>
          </w:p>
        </w:tc>
        <w:tc>
          <w:tcPr>
            <w:tcW w:w="3330" w:type="dxa"/>
            <w:shd w:val="clear" w:color="auto" w:fill="auto"/>
            <w:vAlign w:val="center"/>
          </w:tcPr>
          <w:p>
            <w:pPr>
              <w:pStyle w:val="104"/>
            </w:pPr>
            <w:r>
              <w:t>NPRACH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3260" w:type="dxa"/>
          </w:tcPr>
          <w:p>
            <w:pPr>
              <w:pStyle w:val="113"/>
              <w:spacing w:before="0" w:after="0"/>
              <w:rPr>
                <w:b w:val="0"/>
                <w:sz w:val="18"/>
              </w:rPr>
            </w:pPr>
            <w:r>
              <w:rPr>
                <w:b w:val="0"/>
                <w:sz w:val="18"/>
              </w:rPr>
              <w:t>ΔP = 2</w:t>
            </w:r>
          </w:p>
        </w:tc>
        <w:tc>
          <w:tcPr>
            <w:tcW w:w="3330" w:type="dxa"/>
            <w:shd w:val="clear" w:color="auto" w:fill="auto"/>
            <w:vAlign w:val="center"/>
          </w:tcPr>
          <w:p>
            <w:pPr>
              <w:pStyle w:val="113"/>
              <w:spacing w:before="0" w:after="0"/>
              <w:rPr>
                <w:b w:val="0"/>
                <w:sz w:val="18"/>
              </w:rPr>
            </w:pPr>
            <w:r>
              <w:rPr>
                <w:b w:val="0"/>
                <w:sz w:val="18"/>
              </w:rPr>
              <w:t>2 ± (2.7)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3260" w:type="dxa"/>
          </w:tcPr>
          <w:p>
            <w:pPr>
              <w:pStyle w:val="113"/>
              <w:spacing w:before="0" w:after="0"/>
              <w:rPr>
                <w:rFonts w:eastAsia="Malgun Gothic"/>
                <w:b w:val="0"/>
                <w:sz w:val="18"/>
                <w:lang w:eastAsia="ko-KR"/>
              </w:rPr>
            </w:pPr>
            <w:r>
              <w:rPr>
                <w:b w:val="0"/>
                <w:sz w:val="18"/>
              </w:rPr>
              <w:t>ΔP = 6</w:t>
            </w:r>
          </w:p>
        </w:tc>
        <w:tc>
          <w:tcPr>
            <w:tcW w:w="3330" w:type="dxa"/>
            <w:shd w:val="clear" w:color="auto" w:fill="auto"/>
            <w:vAlign w:val="center"/>
          </w:tcPr>
          <w:p>
            <w:pPr>
              <w:pStyle w:val="113"/>
              <w:spacing w:before="0" w:after="0"/>
              <w:rPr>
                <w:rFonts w:eastAsia="Malgun Gothic"/>
                <w:b w:val="0"/>
                <w:sz w:val="18"/>
                <w:lang w:eastAsia="ko-KR"/>
              </w:rPr>
            </w:pPr>
            <w:r>
              <w:rPr>
                <w:b w:val="0"/>
                <w:sz w:val="18"/>
                <w:lang w:eastAsia="ko-KR"/>
              </w:rPr>
              <w:t>6</w:t>
            </w:r>
            <w:r>
              <w:rPr>
                <w:b w:val="0"/>
                <w:sz w:val="18"/>
              </w:rPr>
              <w:t xml:space="preserve"> ± (4.7)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590" w:type="dxa"/>
            <w:gridSpan w:val="2"/>
          </w:tcPr>
          <w:p>
            <w:pPr>
              <w:pStyle w:val="118"/>
              <w:rPr>
                <w:lang w:eastAsia="ko-KR"/>
              </w:rPr>
            </w:pPr>
            <w:r>
              <w:t>Note 1:</w:t>
            </w:r>
            <w:r>
              <w:tab/>
            </w:r>
            <w:r>
              <w:rPr>
                <w:lang w:eastAsia="ko-KR"/>
              </w:rPr>
              <w:t>For extreme conditions an additional ± 2.0 dB relaxation is allowed.</w:t>
            </w:r>
          </w:p>
          <w:p>
            <w:pPr>
              <w:pStyle w:val="118"/>
            </w:pPr>
            <w:r>
              <w:t>Note 2:</w:t>
            </w:r>
            <w:r>
              <w:tab/>
            </w:r>
            <w:r>
              <w:t>Only UE output power measurements within the range -39.3 to 20.3 dBm for Power Class 3, or -39.3 to 16.8 dBm for Power Class 5 shall be considered in the pass/fail criteria.</w:t>
            </w:r>
          </w:p>
        </w:tc>
      </w:tr>
    </w:tbl>
    <w:p/>
    <w:p>
      <w:pPr>
        <w:pStyle w:val="6"/>
      </w:pPr>
      <w:bookmarkStart w:id="649" w:name="_Toc32399"/>
      <w:bookmarkStart w:id="650" w:name="_Toc20125"/>
      <w:bookmarkStart w:id="651" w:name="_Toc23380"/>
      <w:bookmarkStart w:id="652" w:name="_Toc31912"/>
      <w:bookmarkStart w:id="653" w:name="_Toc27118"/>
      <w:bookmarkStart w:id="654" w:name="_Toc1471"/>
      <w:r>
        <w:t>6.3B.4.3 Aggregate power control tolerance for category NB1 and NB2</w:t>
      </w:r>
      <w:bookmarkEnd w:id="649"/>
      <w:bookmarkEnd w:id="650"/>
      <w:bookmarkEnd w:id="651"/>
      <w:bookmarkEnd w:id="652"/>
      <w:bookmarkEnd w:id="653"/>
      <w:bookmarkEnd w:id="654"/>
    </w:p>
    <w:p>
      <w:pPr>
        <w:pStyle w:val="112"/>
      </w:pPr>
      <w:r>
        <w:t>Editor’s Note: This clause is incomplete. The following aspects are either missing or not yet determined:</w:t>
      </w:r>
    </w:p>
    <w:p>
      <w:pPr>
        <w:pStyle w:val="112"/>
        <w:rPr>
          <w:i w:val="0"/>
          <w:iCs w:val="0"/>
        </w:rPr>
      </w:pPr>
      <w:r>
        <w:t>- Addition to applicability spec is pending.</w:t>
      </w:r>
    </w:p>
    <w:p>
      <w:pPr>
        <w:pStyle w:val="112"/>
        <w:rPr>
          <w:rFonts w:eastAsiaTheme="minorEastAsia"/>
          <w:lang w:val="en-GB" w:eastAsia="en-US"/>
        </w:rPr>
      </w:pPr>
      <w:r>
        <w:t>- T</w:t>
      </w:r>
      <w:r>
        <w:rPr>
          <w:lang w:val="en-GB" w:eastAsia="en-US"/>
        </w:rPr>
        <w:t>he minimum requirements are not testable with Release 17 UEs</w:t>
      </w:r>
    </w:p>
    <w:p>
      <w:pPr>
        <w:pStyle w:val="112"/>
        <w:rPr>
          <w:rFonts w:eastAsiaTheme="minorEastAsia"/>
          <w:lang w:val="en-GB" w:eastAsia="en-US"/>
        </w:rPr>
      </w:pPr>
      <w:r>
        <w:t>- Tes</w:t>
      </w:r>
      <w:r>
        <w:rPr>
          <w:lang w:val="en-GB" w:eastAsia="en-US"/>
        </w:rPr>
        <w:t>tability with forward releases is FFS</w:t>
      </w:r>
    </w:p>
    <w:p>
      <w:pPr>
        <w:pStyle w:val="9"/>
      </w:pPr>
      <w:r>
        <w:t>6.3B.4.3.1</w:t>
      </w:r>
      <w:r>
        <w:tab/>
      </w:r>
      <w:r>
        <w:t>Test purpose</w:t>
      </w:r>
    </w:p>
    <w:p>
      <w:pPr>
        <w:spacing w:after="180"/>
      </w:pPr>
      <w:r>
        <w:t>To verify the ability of a category NB1 and NB2 UE to maintain its output power in non-contiguous transmission with respect to the first UE transmission, when the uplink power control parameters as defined in TS 36.213 are constant and α is set to 0.</w:t>
      </w:r>
    </w:p>
    <w:p>
      <w:pPr>
        <w:pStyle w:val="9"/>
      </w:pPr>
      <w:r>
        <w:t>6.3B.4.3.2</w:t>
      </w:r>
      <w:r>
        <w:tab/>
      </w:r>
      <w:r>
        <w:t>Test applicability</w:t>
      </w:r>
    </w:p>
    <w:p>
      <w:r>
        <w:t>This test case applies to all types of</w:t>
      </w:r>
      <w:r>
        <w:rPr>
          <w:lang w:eastAsia="zh-TW"/>
        </w:rPr>
        <w:t xml:space="preserve"> </w:t>
      </w:r>
      <w:r>
        <w:t>NB-IoT</w:t>
      </w:r>
      <w:r>
        <w:rPr>
          <w:lang w:eastAsia="zh-TW"/>
        </w:rPr>
        <w:t xml:space="preserve"> FDD </w:t>
      </w:r>
      <w:r>
        <w:t xml:space="preserve">UE release </w:t>
      </w:r>
      <w:r>
        <w:rPr>
          <w:rFonts w:hint="eastAsia" w:eastAsia="宋体"/>
          <w:lang w:val="en-US" w:eastAsia="zh-CN"/>
        </w:rPr>
        <w:t>FFS</w:t>
      </w:r>
      <w:r>
        <w:t xml:space="preserve"> and forward of category</w:t>
      </w:r>
      <w:r>
        <w:rPr>
          <w:lang w:eastAsia="zh-TW"/>
        </w:rPr>
        <w:t xml:space="preserve"> NB1 and</w:t>
      </w:r>
      <w:r>
        <w:t xml:space="preserve"> NB2 that support satellite access operation.</w:t>
      </w:r>
    </w:p>
    <w:p>
      <w:pPr>
        <w:pStyle w:val="9"/>
      </w:pPr>
      <w:r>
        <w:t>6.3B.4.3.3</w:t>
      </w:r>
      <w:r>
        <w:tab/>
      </w:r>
      <w:r>
        <w:t>Minimum conformance requirements</w:t>
      </w:r>
    </w:p>
    <w:p>
      <w:pPr>
        <w:rPr>
          <w:rFonts w:cs="v5.0.0"/>
        </w:rPr>
      </w:pPr>
      <w:r>
        <w:rPr>
          <w:rFonts w:cs="v5.0.0"/>
        </w:rPr>
        <w:t>The UE shall meet the requirements specified in Table 6.3B.4.3.3-1 for aggregate power control over the power range bounded by the minimum output power as defined in subclause 6.3B.1 and the maximum output power as defined in subclause 6.2B.1.</w:t>
      </w:r>
    </w:p>
    <w:p>
      <w:pPr>
        <w:pStyle w:val="113"/>
      </w:pPr>
      <w:r>
        <w:t>Table 6.3B.4.3.3-1: Aggregate power control tolerance for HD-FDD</w:t>
      </w:r>
    </w:p>
    <w:tbl>
      <w:tblPr>
        <w:tblStyle w:val="89"/>
        <w:tblW w:w="5647" w:type="dxa"/>
        <w:jc w:val="center"/>
        <w:tblLayout w:type="autofit"/>
        <w:tblCellMar>
          <w:top w:w="0" w:type="dxa"/>
          <w:left w:w="108" w:type="dxa"/>
          <w:bottom w:w="0" w:type="dxa"/>
          <w:right w:w="108" w:type="dxa"/>
        </w:tblCellMar>
      </w:tblPr>
      <w:tblGrid>
        <w:gridCol w:w="1703"/>
        <w:gridCol w:w="1972"/>
        <w:gridCol w:w="1972"/>
      </w:tblGrid>
      <w:tr>
        <w:tblPrEx>
          <w:tblCellMar>
            <w:top w:w="0" w:type="dxa"/>
            <w:left w:w="108" w:type="dxa"/>
            <w:bottom w:w="0" w:type="dxa"/>
            <w:right w:w="108" w:type="dxa"/>
          </w:tblCellMar>
        </w:tblPrEx>
        <w:trPr>
          <w:trHeight w:val="150" w:hRule="atLeast"/>
          <w:jc w:val="center"/>
        </w:trPr>
        <w:tc>
          <w:tcPr>
            <w:tcW w:w="1703"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sz w:val="18"/>
              </w:rPr>
            </w:pPr>
            <w:r>
              <w:rPr>
                <w:rFonts w:ascii="Arial" w:hAnsi="Arial" w:cs="Arial"/>
                <w:b/>
                <w:sz w:val="18"/>
              </w:rPr>
              <w:t>UL channel</w:t>
            </w:r>
          </w:p>
        </w:tc>
        <w:tc>
          <w:tcPr>
            <w:tcW w:w="3944" w:type="dxa"/>
            <w:gridSpan w:val="2"/>
            <w:tcBorders>
              <w:top w:val="single" w:color="auto" w:sz="4" w:space="0"/>
              <w:left w:val="single" w:color="auto" w:sz="4" w:space="0"/>
              <w:bottom w:val="single" w:color="auto" w:sz="4" w:space="0"/>
              <w:right w:val="single" w:color="auto" w:sz="4" w:space="0"/>
            </w:tcBorders>
          </w:tcPr>
          <w:p>
            <w:pPr>
              <w:pStyle w:val="104"/>
              <w:keepNext/>
              <w:keepLines/>
              <w:spacing w:after="0"/>
              <w:jc w:val="center"/>
              <w:rPr>
                <w:rFonts w:cs="v5.0.0"/>
              </w:rPr>
            </w:pPr>
            <w:r>
              <w:t xml:space="preserve">Aggregate power tolerance </w:t>
            </w:r>
          </w:p>
        </w:tc>
      </w:tr>
      <w:tr>
        <w:tblPrEx>
          <w:tblCellMar>
            <w:top w:w="0" w:type="dxa"/>
            <w:left w:w="108" w:type="dxa"/>
            <w:bottom w:w="0" w:type="dxa"/>
            <w:right w:w="108" w:type="dxa"/>
          </w:tblCellMar>
        </w:tblPrEx>
        <w:trPr>
          <w:trHeight w:val="150" w:hRule="atLeast"/>
          <w:jc w:val="center"/>
        </w:trPr>
        <w:tc>
          <w:tcPr>
            <w:tcW w:w="1703"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sz w:val="18"/>
              </w:rPr>
            </w:pPr>
          </w:p>
        </w:tc>
        <w:tc>
          <w:tcPr>
            <w:tcW w:w="197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rPr>
            </w:pPr>
            <w:r>
              <w:rPr>
                <w:rFonts w:ascii="Arial" w:hAnsi="Arial" w:cs="Arial"/>
                <w:b/>
                <w:sz w:val="18"/>
              </w:rPr>
              <w:t>15 kHz / 12 tones within 53 ms</w:t>
            </w:r>
          </w:p>
        </w:tc>
        <w:tc>
          <w:tcPr>
            <w:tcW w:w="197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rPr>
            </w:pPr>
            <w:r>
              <w:rPr>
                <w:rFonts w:ascii="Arial" w:hAnsi="Arial" w:cs="Arial"/>
                <w:b/>
                <w:sz w:val="18"/>
              </w:rPr>
              <w:t>15 kHz / 1 tone within 104 ms</w:t>
            </w:r>
          </w:p>
        </w:tc>
      </w:tr>
      <w:tr>
        <w:tblPrEx>
          <w:tblCellMar>
            <w:top w:w="0" w:type="dxa"/>
            <w:left w:w="108" w:type="dxa"/>
            <w:bottom w:w="0" w:type="dxa"/>
            <w:right w:w="108" w:type="dxa"/>
          </w:tblCellMar>
        </w:tblPrEx>
        <w:trPr>
          <w:trHeight w:val="302" w:hRule="atLeast"/>
          <w:jc w:val="center"/>
        </w:trPr>
        <w:tc>
          <w:tcPr>
            <w:tcW w:w="17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NPUSCH</w:t>
            </w:r>
          </w:p>
        </w:tc>
        <w:tc>
          <w:tcPr>
            <w:tcW w:w="3944"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±3.5 dB</w:t>
            </w:r>
          </w:p>
        </w:tc>
      </w:tr>
      <w:tr>
        <w:tblPrEx>
          <w:tblCellMar>
            <w:top w:w="0" w:type="dxa"/>
            <w:left w:w="108" w:type="dxa"/>
            <w:bottom w:w="0" w:type="dxa"/>
            <w:right w:w="108" w:type="dxa"/>
          </w:tblCellMar>
        </w:tblPrEx>
        <w:trPr>
          <w:trHeight w:val="302" w:hRule="atLeast"/>
          <w:jc w:val="center"/>
        </w:trPr>
        <w:tc>
          <w:tcPr>
            <w:tcW w:w="5647" w:type="dxa"/>
            <w:gridSpan w:val="3"/>
            <w:tcBorders>
              <w:top w:val="single" w:color="auto" w:sz="4" w:space="0"/>
              <w:left w:val="single" w:color="auto" w:sz="4" w:space="0"/>
              <w:bottom w:val="single" w:color="auto" w:sz="4" w:space="0"/>
              <w:right w:val="single" w:color="auto" w:sz="4" w:space="0"/>
            </w:tcBorders>
          </w:tcPr>
          <w:p>
            <w:pPr>
              <w:pStyle w:val="118"/>
              <w:keepNext/>
              <w:keepLines/>
              <w:spacing w:after="0"/>
              <w:ind w:left="851"/>
            </w:pPr>
            <w:r>
              <w:t>NOTE:</w:t>
            </w:r>
            <w:r>
              <w:tab/>
            </w:r>
            <w:r>
              <w:t>For five consecutive UE transmissions the transmission gaps are 12 ms for 12 tone and 16 ms for single tone transmissions. Uplink scheduling grant is transmitted via NPDCCH eight subframes before NPUSCH transmission.</w:t>
            </w:r>
          </w:p>
        </w:tc>
      </w:tr>
    </w:tbl>
    <w:p/>
    <w:p>
      <w:pPr>
        <w:rPr>
          <w:rFonts w:eastAsia="Times New Roman" w:cs="v5.0.0"/>
        </w:rPr>
      </w:pPr>
      <w:r>
        <w:rPr>
          <w:rFonts w:eastAsia="Times New Roman" w:cs="v5.0.0"/>
        </w:rPr>
        <w:t>The normative reference for this requirement is TS 36.102 [11] clause 6.3B.4.</w:t>
      </w:r>
    </w:p>
    <w:p>
      <w:pPr>
        <w:pStyle w:val="9"/>
      </w:pPr>
      <w:r>
        <w:t>6.3B.4.3.4</w:t>
      </w:r>
      <w:r>
        <w:tab/>
      </w:r>
      <w:r>
        <w:t>Test description</w:t>
      </w:r>
    </w:p>
    <w:p>
      <w:pPr>
        <w:pStyle w:val="9"/>
      </w:pPr>
      <w:r>
        <w:t>6.3B.4.3.4.1</w:t>
      </w:r>
      <w:r>
        <w:tab/>
      </w:r>
      <w:r>
        <w:t>Initial conditions</w:t>
      </w:r>
    </w:p>
    <w:p>
      <w:pPr>
        <w:rPr>
          <w:rFonts w:eastAsia="Times New Roman" w:cs="v5.0.0"/>
          <w:lang w:eastAsia="en-US"/>
        </w:rPr>
      </w:pPr>
      <w:r>
        <w:rPr>
          <w:rFonts w:eastAsia="Times New Roman" w:cs="v5.0.0"/>
          <w:lang w:eastAsia="en-US"/>
        </w:rPr>
        <w:t>Initial conditions are set of test configurations the UE needs to be tested in and the steps for the SS to take with the UE to reach the correct measurement state.</w:t>
      </w:r>
    </w:p>
    <w:p>
      <w:pPr>
        <w:rPr>
          <w:rFonts w:eastAsia="Times New Roman" w:cs="v5.0.0"/>
          <w:lang w:eastAsia="en-US"/>
        </w:rPr>
      </w:pPr>
      <w:r>
        <w:rPr>
          <w:rFonts w:cs="v5.0.0"/>
        </w:rPr>
        <w:t>The initial test configurations consist of environmental conditions and test frequencies based on the subset of E-UTRA operating bands defined for NB-IoT in clause 5.2B.</w:t>
      </w:r>
      <w:r>
        <w:rPr>
          <w:rFonts w:eastAsia="Times New Roman" w:cs="v5.0.0"/>
          <w:lang w:eastAsia="en-US"/>
        </w:rPr>
        <w:t xml:space="preserve"> All of these configurations shall be tested with applicable test parameters for each channel bandwidth and are shown in table 6.3B.4.3.4.1-1. The details of the uplink reference measurement channel (RMCs) are specified in Annex A.2.4. </w:t>
      </w:r>
      <w:r>
        <w:rPr>
          <w:rFonts w:cs="v5.0.0"/>
        </w:rPr>
        <w:t>Configurations of NPDSCH and NPDCCH before measurement are specified in Annex C.2.</w:t>
      </w:r>
    </w:p>
    <w:p>
      <w:pPr>
        <w:pStyle w:val="113"/>
      </w:pPr>
      <w:r>
        <w:t>Table 6.3B.4.3.4.1-1: Test Configuration</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2410"/>
        <w:gridCol w:w="1275"/>
        <w:gridCol w:w="1843"/>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Environment as specified in</w:t>
            </w:r>
          </w:p>
          <w:p>
            <w:pPr>
              <w:pStyle w:val="103"/>
            </w:pPr>
            <w:r>
              <w:rPr>
                <w:rFonts w:eastAsia="微软雅黑" w:cs="Arial"/>
                <w:szCs w:val="18"/>
              </w:rPr>
              <w:t>TS 36.508 [12] subclause 8.1.1</w:t>
            </w:r>
          </w:p>
        </w:tc>
        <w:tc>
          <w:tcPr>
            <w:tcW w:w="5494"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Frequencies as specified in</w:t>
            </w:r>
          </w:p>
          <w:p>
            <w:pPr>
              <w:pStyle w:val="103"/>
            </w:pPr>
            <w:r>
              <w:rPr>
                <w:rFonts w:eastAsia="微软雅黑" w:cs="Arial"/>
                <w:szCs w:val="18"/>
              </w:rPr>
              <w:t>TS 36.508 [12] subclause 8.1.3.1</w:t>
            </w:r>
          </w:p>
        </w:tc>
        <w:tc>
          <w:tcPr>
            <w:tcW w:w="5494" w:type="dxa"/>
            <w:gridSpan w:val="3"/>
          </w:tcPr>
          <w:p>
            <w:pPr>
              <w:pStyle w:val="103"/>
            </w:pPr>
            <w:r>
              <w:rPr>
                <w:rFonts w:eastAsia="微软雅黑" w:cs="Arial"/>
                <w:szCs w:val="18"/>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rPr>
                <w:b/>
              </w:rPr>
            </w:pPr>
            <w:r>
              <w:rPr>
                <w:rFonts w:eastAsia="微软雅黑" w:cs="Arial"/>
                <w:b/>
                <w:bCs/>
                <w:szCs w:val="18"/>
              </w:rPr>
              <w:t>Configuration ID</w:t>
            </w:r>
          </w:p>
        </w:tc>
        <w:tc>
          <w:tcPr>
            <w:tcW w:w="2410" w:type="dxa"/>
          </w:tcPr>
          <w:p>
            <w:pPr>
              <w:pStyle w:val="103"/>
              <w:jc w:val="center"/>
              <w:rPr>
                <w:b/>
              </w:rPr>
            </w:pPr>
            <w:r>
              <w:rPr>
                <w:b/>
              </w:rPr>
              <w:t>Downlink Configuration</w:t>
            </w:r>
          </w:p>
        </w:tc>
        <w:tc>
          <w:tcPr>
            <w:tcW w:w="5494" w:type="dxa"/>
            <w:gridSpan w:val="3"/>
          </w:tcPr>
          <w:p>
            <w:pPr>
              <w:pStyle w:val="103"/>
              <w:jc w:val="center"/>
              <w:rPr>
                <w:b/>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p>
        </w:tc>
        <w:tc>
          <w:tcPr>
            <w:tcW w:w="2410" w:type="dxa"/>
            <w:vMerge w:val="restart"/>
          </w:tcPr>
          <w:p>
            <w:pPr>
              <w:pStyle w:val="103"/>
              <w:jc w:val="center"/>
            </w:pPr>
            <w:r>
              <w:t>N/A</w:t>
            </w:r>
          </w:p>
        </w:tc>
        <w:tc>
          <w:tcPr>
            <w:tcW w:w="1275" w:type="dxa"/>
          </w:tcPr>
          <w:p>
            <w:pPr>
              <w:pStyle w:val="103"/>
              <w:jc w:val="center"/>
            </w:pPr>
            <w:r>
              <w:rPr>
                <w:rFonts w:eastAsia="微软雅黑" w:cs="Arial"/>
                <w:szCs w:val="18"/>
              </w:rPr>
              <w:t>Modulation</w:t>
            </w:r>
          </w:p>
        </w:tc>
        <w:tc>
          <w:tcPr>
            <w:tcW w:w="1843" w:type="dxa"/>
          </w:tcPr>
          <w:p>
            <w:pPr>
              <w:pStyle w:val="103"/>
              <w:jc w:val="center"/>
            </w:pPr>
            <w:r>
              <w:rPr>
                <w:rFonts w:eastAsia="微软雅黑" w:cs="Arial"/>
                <w:szCs w:val="18"/>
              </w:rPr>
              <w:t>N</w:t>
            </w:r>
            <w:r>
              <w:rPr>
                <w:rFonts w:eastAsia="微软雅黑" w:cs="Arial"/>
                <w:szCs w:val="18"/>
                <w:vertAlign w:val="subscript"/>
              </w:rPr>
              <w:t>tones</w:t>
            </w:r>
            <w:r>
              <w:rPr>
                <w:rFonts w:eastAsia="微软雅黑" w:cs="Arial"/>
                <w:szCs w:val="18"/>
              </w:rPr>
              <w:t>, start position</w:t>
            </w:r>
          </w:p>
        </w:tc>
        <w:tc>
          <w:tcPr>
            <w:tcW w:w="2376" w:type="dxa"/>
          </w:tcPr>
          <w:p>
            <w:pPr>
              <w:pStyle w:val="103"/>
              <w:jc w:val="center"/>
            </w:pPr>
            <w:r>
              <w:rPr>
                <w:rFonts w:eastAsia="微软雅黑" w:cs="Arial"/>
                <w:szCs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1</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rPr>
                <w:rFonts w:eastAsia="微软雅黑" w:cs="Arial"/>
                <w:szCs w:val="18"/>
              </w:rPr>
            </w:pPr>
            <w:r>
              <w:rPr>
                <w:rFonts w:eastAsia="微软雅黑" w:cs="Arial"/>
                <w:szCs w:val="18"/>
              </w:rPr>
              <w:t>1@0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2</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rPr>
                <w:rFonts w:eastAsia="微软雅黑" w:cs="Arial"/>
                <w:szCs w:val="18"/>
              </w:rPr>
            </w:pPr>
            <w:r>
              <w:rPr>
                <w:rFonts w:eastAsia="微软雅黑" w:cs="Arial"/>
                <w:szCs w:val="18"/>
              </w:rPr>
              <w:t>1@11</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 xml:space="preserve">3 </w:t>
            </w:r>
            <w:r>
              <w:rPr>
                <w:rFonts w:cs="Arial"/>
              </w:rPr>
              <w:t>(</w:t>
            </w:r>
            <w:r>
              <w:rPr>
                <w:rFonts w:eastAsia="微软雅黑" w:cs="Arial"/>
                <w:szCs w:val="18"/>
              </w:rPr>
              <w:t>Note 1</w:t>
            </w:r>
            <w:r>
              <w:rPr>
                <w:rFonts w:cs="Arial"/>
              </w:rPr>
              <w:t>)</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rPr>
                <w:rFonts w:eastAsia="微软雅黑" w:cs="Arial"/>
                <w:szCs w:val="18"/>
              </w:rPr>
            </w:pPr>
            <w:r>
              <w:rPr>
                <w:rFonts w:eastAsia="微软雅黑" w:cs="Arial"/>
                <w:szCs w:val="18"/>
              </w:rPr>
              <w:t>12@0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rPr>
                <w:rFonts w:eastAsia="微软雅黑" w:cs="Arial"/>
                <w:szCs w:val="18"/>
              </w:rPr>
            </w:pPr>
            <w:r>
              <w:rPr>
                <w:rFonts w:eastAsia="微软雅黑" w:cs="Arial"/>
                <w:szCs w:val="18"/>
              </w:rPr>
              <w:t>Note 1:</w:t>
            </w:r>
            <w:r>
              <w:rPr>
                <w:rFonts w:eastAsia="微软雅黑" w:cs="Arial"/>
              </w:rPr>
              <w:t> </w:t>
            </w:r>
            <w:r>
              <w:rPr>
                <w:rFonts w:eastAsia="微软雅黑" w:cs="Arial"/>
                <w:szCs w:val="18"/>
              </w:rPr>
              <w:t>Applicable to UE supporting UL multi-tone transmissions</w:t>
            </w:r>
          </w:p>
        </w:tc>
      </w:tr>
    </w:tbl>
    <w:p>
      <w:pPr>
        <w:rPr>
          <w:rFonts w:eastAsia="PMingLiU"/>
          <w:lang w:eastAsia="zh-TW"/>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 and uplink signals according to Annex H.</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6.3B.4.3.4.1-1.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 xml:space="preserve">UE location according to TS 36.508 [12] clause </w:t>
      </w:r>
      <w:r>
        <w:rPr>
          <w:lang w:eastAsia="en-GB"/>
        </w:rPr>
        <w:t>8.2.6.1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w:t>
      </w:r>
      <w:r>
        <w:rPr>
          <w:color w:val="000000" w:themeColor="text1"/>
          <w14:textFill>
            <w14:solidFill>
              <w14:schemeClr w14:val="tx1"/>
            </w14:solidFill>
          </w14:textFill>
        </w:rPr>
        <w:t xml:space="preserve">ulate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w:t>
      </w:r>
      <w:r>
        <w:t>ing the duration of the test as define in TS 36.508[12] clause 8.2.6.3.1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2A-NB with CP CIoT Optimisation according to TS 36.508 [12] clause 8.1.5. Message contents are defined in clause 6.3B.4.3.4.3.</w:t>
      </w:r>
    </w:p>
    <w:p>
      <w:pPr>
        <w:pStyle w:val="9"/>
      </w:pPr>
      <w:r>
        <w:t>6.3B.4.3.4.2</w:t>
      </w:r>
      <w:r>
        <w:tab/>
      </w:r>
      <w:r>
        <w:t>Test procedure</w:t>
      </w:r>
    </w:p>
    <w:p>
      <w:r>
        <w:t>The procedure is separated in two subtests to verify single tone and multi tone NPUSCH aggregate power control tolerance respectively. The uplink transmission patterns are described in figure 6.3B.4.3.4.2-1.</w:t>
      </w:r>
    </w:p>
    <w:p>
      <w:pPr>
        <w:pStyle w:val="113"/>
      </w:pPr>
      <w:bookmarkStart w:id="655" w:name="_MON_1570960071"/>
      <w:bookmarkEnd w:id="655"/>
      <w:r>
        <w:rPr>
          <w:snapToGrid w:val="0"/>
        </w:rPr>
        <w:object>
          <v:shape id="_x0000_i1031" o:spt="75" type="#_x0000_t75" style="height:375pt;width:403.8pt;" o:ole="t" filled="f" o:preferrelative="t" stroked="f" coordsize="21600,21600">
            <v:path/>
            <v:fill on="f" focussize="0,0"/>
            <v:stroke on="f" joinstyle="miter"/>
            <v:imagedata r:id="rId32" o:title=""/>
            <o:lock v:ext="edit" aspectratio="t"/>
            <w10:wrap type="none"/>
            <w10:anchorlock/>
          </v:shape>
          <o:OLEObject Type="Embed" ProgID="Word.Picture.8" ShapeID="_x0000_i1031" DrawAspect="Content" ObjectID="_1468075731" r:id="rId31">
            <o:LockedField>false</o:LockedField>
          </o:OLEObject>
        </w:object>
      </w:r>
      <w:r>
        <w:object>
          <v:shape id="_x0000_i1032" o:spt="75" type="#_x0000_t75" style="height:303pt;width:382.2pt;" o:ole="t" filled="f" o:preferrelative="t" stroked="f" coordsize="21600,21600">
            <v:path/>
            <v:fill on="f" focussize="0,0"/>
            <v:stroke on="f" joinstyle="miter"/>
            <v:imagedata r:id="rId34" o:title=""/>
            <o:lock v:ext="edit" aspectratio="t"/>
            <w10:wrap type="none"/>
            <w10:anchorlock/>
          </v:shape>
          <o:OLEObject Type="Embed" ProgID="Visio.Drawing.15" ShapeID="_x0000_i1032" DrawAspect="Content" ObjectID="_1468075732" r:id="rId33">
            <o:LockedField>false</o:LockedField>
          </o:OLEObject>
        </w:object>
      </w:r>
    </w:p>
    <w:p>
      <w:pPr>
        <w:pStyle w:val="120"/>
      </w:pPr>
      <w:r>
        <w:t>Figure 6.3B.4.3.4.2-1 Test uplink transmission for HD-FDD</w:t>
      </w:r>
    </w:p>
    <w:p>
      <w:r>
        <w:t>For single tone NPUSCH transmission scenario:</w:t>
      </w:r>
    </w:p>
    <w:p>
      <w:pPr>
        <w:pStyle w:val="111"/>
        <w:overflowPunct w:val="0"/>
        <w:autoSpaceDE w:val="0"/>
        <w:autoSpaceDN w:val="0"/>
        <w:adjustRightInd w:val="0"/>
        <w:contextualSpacing w:val="0"/>
        <w:textAlignment w:val="baseline"/>
        <w:rPr>
          <w:lang w:eastAsia="en-GB"/>
        </w:rPr>
      </w:pPr>
      <w:r>
        <w:rPr>
          <w:rFonts w:hint="eastAsia"/>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  Schedule the UE's NPUSCH data transmission for period containing SI message transmission according to Annex A.2.4 and make the UE transmit NPUSCH with 32 or 48 slots (16 or 24 ms) gap for HD-FDD or 46 slots (23ms) gap for TDD. Uplink scheduling grant is transmitted via NPDCCH 9 subframes before NPUSCH transmission.</w:t>
      </w:r>
    </w:p>
    <w:p>
      <w:pPr>
        <w:pStyle w:val="111"/>
        <w:overflowPunct w:val="0"/>
        <w:autoSpaceDE w:val="0"/>
        <w:autoSpaceDN w:val="0"/>
        <w:adjustRightInd w:val="0"/>
        <w:contextualSpacing w:val="0"/>
        <w:textAlignment w:val="baseline"/>
        <w:rPr>
          <w:lang w:eastAsia="en-GB"/>
        </w:rPr>
      </w:pPr>
      <w:r>
        <w:rPr>
          <w:rFonts w:hint="eastAsia"/>
          <w:lang w:eastAsia="en-GB"/>
        </w:rPr>
        <w:t>3.  Measure the power of 5 consecutive NPUSCH transmissions to verify the UE transmitted NPUSCH power is maintained within 112 ms for HD-FDD. The transient periods of 20us are excluded from the power measurement.</w:t>
      </w:r>
    </w:p>
    <w:p>
      <w:pPr>
        <w:pStyle w:val="111"/>
        <w:overflowPunct w:val="0"/>
        <w:autoSpaceDE w:val="0"/>
        <w:autoSpaceDN w:val="0"/>
        <w:adjustRightInd w:val="0"/>
        <w:contextualSpacing w:val="0"/>
        <w:textAlignment w:val="baseline"/>
        <w:rPr>
          <w:lang w:eastAsia="en-GB"/>
        </w:rPr>
      </w:pPr>
      <w:r>
        <w:rPr>
          <w:rFonts w:hint="eastAsia"/>
          <w:lang w:eastAsia="en-GB"/>
        </w:rPr>
        <w:t>4.  Repeat step 2 and 3 for configuration ID 2 in Table 6.3B.4.3.4.1-1.</w:t>
      </w:r>
    </w:p>
    <w:p>
      <w:r>
        <w:t>For 12 tones NPUSCH transmission scenario:</w:t>
      </w:r>
    </w:p>
    <w:p>
      <w:pPr>
        <w:pStyle w:val="111"/>
        <w:overflowPunct w:val="0"/>
        <w:autoSpaceDE w:val="0"/>
        <w:autoSpaceDN w:val="0"/>
        <w:adjustRightInd w:val="0"/>
        <w:contextualSpacing w:val="0"/>
        <w:textAlignment w:val="baseline"/>
        <w:rPr>
          <w:lang w:eastAsia="en-GB"/>
        </w:rPr>
      </w:pPr>
      <w:r>
        <w:rPr>
          <w:rFonts w:hint="eastAsia"/>
          <w:lang w:eastAsia="en-GB"/>
        </w:rPr>
        <w:t>0.  SS release the connection through State 3A-NB and finally ensure the UE is in State 2A-NB with CP CIoT Optimisation according to TS 36.508 [12] clause 8.1.5 and configure the UE to the new UL power level with messages in Table 6.3B.4.3.4.3-2.</w:t>
      </w:r>
    </w:p>
    <w:p>
      <w:pPr>
        <w:pStyle w:val="111"/>
        <w:overflowPunct w:val="0"/>
        <w:autoSpaceDE w:val="0"/>
        <w:autoSpaceDN w:val="0"/>
        <w:adjustRightInd w:val="0"/>
        <w:contextualSpacing w:val="0"/>
        <w:textAlignment w:val="baseline"/>
        <w:rPr>
          <w:lang w:eastAsia="en-GB"/>
        </w:rPr>
      </w:pPr>
      <w:r>
        <w:rPr>
          <w:rFonts w:hint="eastAsia"/>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  Schedule the UE's NPUSCH data transmission for period where there is no transmission of SI messages according to Annex A.2.4 and make the UE transmit NPUSCH with 28, 30 or 32 slots (14, 15 or 16 ms) gap for HD-FDD . Uplink scheduling grant is transmitted via NPDCCH 9 subframes before NPUSCH transmission.</w:t>
      </w:r>
    </w:p>
    <w:p>
      <w:pPr>
        <w:pStyle w:val="111"/>
        <w:overflowPunct w:val="0"/>
        <w:autoSpaceDE w:val="0"/>
        <w:autoSpaceDN w:val="0"/>
        <w:adjustRightInd w:val="0"/>
        <w:contextualSpacing w:val="0"/>
        <w:textAlignment w:val="baseline"/>
        <w:rPr>
          <w:lang w:eastAsia="en-GB"/>
        </w:rPr>
      </w:pPr>
      <w:r>
        <w:rPr>
          <w:rFonts w:hint="eastAsia"/>
          <w:lang w:eastAsia="en-GB"/>
        </w:rPr>
        <w:t>3.  Measure the power of 5 consecutive NPUSCH transmissions to verify the UE transmitted NPUSCH power is maintained within 65 ms for HD-FDD. The transient periods of 20us are excluded from the power measurement.</w:t>
      </w:r>
    </w:p>
    <w:p>
      <w:pPr>
        <w:pStyle w:val="9"/>
      </w:pPr>
      <w:r>
        <w:t>6.3B.4.3.4.3</w:t>
      </w:r>
      <w:r>
        <w:tab/>
      </w:r>
      <w:r>
        <w:t>Message contents</w:t>
      </w:r>
    </w:p>
    <w:p>
      <w:r>
        <w:t>Message contents are according to TS 36.508 [12] subclause 8.1.6 with the following exceptions.</w:t>
      </w:r>
    </w:p>
    <w:p>
      <w:pPr>
        <w:pStyle w:val="113"/>
      </w:pPr>
      <w:r>
        <w:t>Table 6.3B.4.3.4.3-1: P0-NominalNPUSCH-r13 configuration for single tone 15 kHz scenario</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 (0 dBm)</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al0 (0)</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bl>
    <w:p/>
    <w:p>
      <w:pPr>
        <w:pStyle w:val="113"/>
      </w:pPr>
      <w:r>
        <w:t>Table 6.3B.4.3.4.3-2: P0-NominalNPUSCH-r13 configuration for 12 tones 15 kHz scenario</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-11 (-0.2 dBm)</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al0 (0)</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bl>
    <w:p>
      <w:pPr>
        <w:rPr>
          <w:lang w:eastAsia="ja-JP"/>
        </w:rPr>
      </w:pPr>
    </w:p>
    <w:p>
      <w:pPr>
        <w:pStyle w:val="9"/>
      </w:pPr>
      <w:r>
        <w:t>6.3B.4.3.5</w:t>
      </w:r>
      <w:r>
        <w:tab/>
      </w:r>
      <w:r>
        <w:t>Test requirement</w:t>
      </w:r>
    </w:p>
    <w:p>
      <w:r>
        <w:t xml:space="preserve">The requirement for the power measurements made in step 4 of the test procedure shall not </w:t>
      </w:r>
      <w:r>
        <w:rPr>
          <w:rFonts w:eastAsia="香~??’c‘I"/>
        </w:rPr>
        <w:t>exceed</w:t>
      </w:r>
      <w:r>
        <w:t xml:space="preserve"> the values specified in Table 6.3B.4.3.5-1. The power measurement period shall be 1 resource unit excluding transient periods.</w:t>
      </w:r>
    </w:p>
    <w:p>
      <w:pPr>
        <w:pStyle w:val="113"/>
      </w:pPr>
      <w:r>
        <w:t>Table 6.3B.4.3.5-1: Power control tolerance</w:t>
      </w:r>
    </w:p>
    <w:tbl>
      <w:tblPr>
        <w:tblStyle w:val="89"/>
        <w:tblW w:w="7204" w:type="dxa"/>
        <w:jc w:val="center"/>
        <w:tblLayout w:type="autofit"/>
        <w:tblCellMar>
          <w:top w:w="0" w:type="dxa"/>
          <w:left w:w="108" w:type="dxa"/>
          <w:bottom w:w="0" w:type="dxa"/>
          <w:right w:w="108" w:type="dxa"/>
        </w:tblCellMar>
      </w:tblPr>
      <w:tblGrid>
        <w:gridCol w:w="1559"/>
        <w:gridCol w:w="5645"/>
      </w:tblGrid>
      <w:tr>
        <w:tblPrEx>
          <w:tblCellMar>
            <w:top w:w="0" w:type="dxa"/>
            <w:left w:w="108" w:type="dxa"/>
            <w:bottom w:w="0" w:type="dxa"/>
            <w:right w:w="108" w:type="dxa"/>
          </w:tblCellMar>
        </w:tblPrEx>
        <w:trPr>
          <w:trHeight w:val="302" w:hRule="atLeast"/>
          <w:jc w:val="center"/>
        </w:trPr>
        <w:tc>
          <w:tcPr>
            <w:tcW w:w="155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color w:val="000000"/>
                <w:sz w:val="18"/>
                <w:lang w:eastAsia="ja-JP"/>
              </w:rPr>
            </w:pPr>
            <w:r>
              <w:rPr>
                <w:rFonts w:ascii="Arial" w:hAnsi="Arial" w:cs="Tahoma"/>
                <w:b/>
                <w:color w:val="000000"/>
                <w:sz w:val="18"/>
                <w:lang w:eastAsia="ja-JP"/>
              </w:rPr>
              <w:t>UL channel</w:t>
            </w:r>
          </w:p>
        </w:tc>
        <w:tc>
          <w:tcPr>
            <w:tcW w:w="56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color w:val="000000"/>
                <w:sz w:val="18"/>
                <w:lang w:eastAsia="ja-JP"/>
              </w:rPr>
            </w:pPr>
            <w:r>
              <w:rPr>
                <w:rFonts w:ascii="Arial" w:hAnsi="Arial" w:cs="Tahoma"/>
                <w:b/>
                <w:color w:val="000000"/>
                <w:sz w:val="18"/>
                <w:lang w:eastAsia="ja-JP"/>
              </w:rPr>
              <w:t>Test requirement measured power</w:t>
            </w:r>
          </w:p>
        </w:tc>
      </w:tr>
      <w:tr>
        <w:tblPrEx>
          <w:tblCellMar>
            <w:top w:w="0" w:type="dxa"/>
            <w:left w:w="108" w:type="dxa"/>
            <w:bottom w:w="0" w:type="dxa"/>
            <w:right w:w="108" w:type="dxa"/>
          </w:tblCellMar>
        </w:tblPrEx>
        <w:trPr>
          <w:trHeight w:val="302" w:hRule="atLeast"/>
          <w:jc w:val="center"/>
        </w:trPr>
        <w:tc>
          <w:tcPr>
            <w:tcW w:w="155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olor w:val="000000"/>
                <w:sz w:val="18"/>
                <w:lang w:eastAsia="ja-JP"/>
              </w:rPr>
            </w:pPr>
            <w:r>
              <w:rPr>
                <w:rFonts w:ascii="Arial" w:hAnsi="Arial" w:cs="Tahoma"/>
                <w:color w:val="000000"/>
                <w:sz w:val="18"/>
                <w:lang w:eastAsia="ja-JP"/>
              </w:rPr>
              <w:t>NPUSCH</w:t>
            </w:r>
          </w:p>
        </w:tc>
        <w:tc>
          <w:tcPr>
            <w:tcW w:w="56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olor w:val="000000"/>
                <w:sz w:val="18"/>
                <w:lang w:eastAsia="ja-JP"/>
              </w:rPr>
            </w:pPr>
            <w:r>
              <w:rPr>
                <w:rFonts w:ascii="Arial" w:hAnsi="Arial"/>
                <w:color w:val="000000"/>
                <w:sz w:val="18"/>
                <w:lang w:eastAsia="ja-JP"/>
              </w:rPr>
              <w:t>Given 5 power measurements in the pattern, the 2</w:t>
            </w:r>
            <w:r>
              <w:rPr>
                <w:rFonts w:ascii="Arial" w:hAnsi="Arial"/>
                <w:color w:val="000000"/>
                <w:sz w:val="18"/>
                <w:vertAlign w:val="superscript"/>
                <w:lang w:eastAsia="ja-JP"/>
              </w:rPr>
              <w:t>nd</w:t>
            </w:r>
            <w:r>
              <w:rPr>
                <w:rFonts w:ascii="Arial" w:hAnsi="Arial"/>
                <w:color w:val="000000"/>
                <w:sz w:val="18"/>
                <w:lang w:eastAsia="ja-JP"/>
              </w:rPr>
              <w:t>, 3</w:t>
            </w:r>
            <w:r>
              <w:rPr>
                <w:rFonts w:ascii="Arial" w:hAnsi="Arial"/>
                <w:color w:val="000000"/>
                <w:sz w:val="18"/>
                <w:vertAlign w:val="superscript"/>
                <w:lang w:eastAsia="ja-JP"/>
              </w:rPr>
              <w:t>rd</w:t>
            </w:r>
            <w:r>
              <w:rPr>
                <w:rFonts w:ascii="Arial" w:hAnsi="Arial"/>
                <w:color w:val="000000"/>
                <w:sz w:val="18"/>
                <w:lang w:eastAsia="ja-JP"/>
              </w:rPr>
              <w:t>, 4</w:t>
            </w:r>
            <w:r>
              <w:rPr>
                <w:rFonts w:ascii="Arial" w:hAnsi="Arial"/>
                <w:color w:val="000000"/>
                <w:sz w:val="18"/>
                <w:vertAlign w:val="superscript"/>
                <w:lang w:eastAsia="ja-JP"/>
              </w:rPr>
              <w:t>th</w:t>
            </w:r>
            <w:r>
              <w:rPr>
                <w:rFonts w:ascii="Arial" w:hAnsi="Arial"/>
                <w:color w:val="000000"/>
                <w:sz w:val="18"/>
                <w:lang w:eastAsia="ja-JP"/>
              </w:rPr>
              <w:t>, and 5</w:t>
            </w:r>
            <w:r>
              <w:rPr>
                <w:rFonts w:ascii="Arial" w:hAnsi="Arial"/>
                <w:color w:val="000000"/>
                <w:sz w:val="18"/>
                <w:vertAlign w:val="superscript"/>
                <w:lang w:eastAsia="ja-JP"/>
              </w:rPr>
              <w:t>th</w:t>
            </w:r>
            <w:r>
              <w:rPr>
                <w:rFonts w:ascii="Arial" w:hAnsi="Arial"/>
                <w:color w:val="000000"/>
                <w:sz w:val="18"/>
                <w:lang w:eastAsia="ja-JP"/>
              </w:rPr>
              <w:t xml:space="preserve"> measurements shall be within</w:t>
            </w:r>
            <w:r>
              <w:rPr>
                <w:rFonts w:ascii="Arial" w:hAnsi="Arial" w:cs="Tahoma"/>
                <w:color w:val="000000"/>
                <w:sz w:val="18"/>
                <w:lang w:eastAsia="ja-JP"/>
              </w:rPr>
              <w:t xml:space="preserve"> ± 4.2 dB</w:t>
            </w:r>
            <w:r>
              <w:rPr>
                <w:rFonts w:ascii="Arial" w:hAnsi="Arial"/>
                <w:color w:val="000000"/>
                <w:sz w:val="18"/>
                <w:lang w:eastAsia="ja-JP"/>
              </w:rPr>
              <w:t xml:space="preserve"> of the 1</w:t>
            </w:r>
            <w:r>
              <w:rPr>
                <w:rFonts w:ascii="Arial" w:hAnsi="Arial"/>
                <w:color w:val="000000"/>
                <w:sz w:val="18"/>
                <w:vertAlign w:val="superscript"/>
                <w:lang w:eastAsia="ja-JP"/>
              </w:rPr>
              <w:t>st</w:t>
            </w:r>
            <w:r>
              <w:rPr>
                <w:rFonts w:ascii="Arial" w:hAnsi="Arial"/>
                <w:color w:val="000000"/>
                <w:sz w:val="18"/>
                <w:lang w:eastAsia="ja-JP"/>
              </w:rPr>
              <w:t xml:space="preserve"> measurement.</w:t>
            </w:r>
          </w:p>
        </w:tc>
      </w:tr>
    </w:tbl>
    <w:p>
      <w:pPr>
        <w:rPr>
          <w:lang w:eastAsia="ko-KR"/>
        </w:rPr>
      </w:pPr>
    </w:p>
    <w:p>
      <w:pPr>
        <w:pStyle w:val="4"/>
      </w:pPr>
      <w:bookmarkStart w:id="656" w:name="_Toc32396"/>
      <w:bookmarkStart w:id="657" w:name="_Toc19929"/>
      <w:bookmarkStart w:id="658" w:name="_Toc8618"/>
      <w:bookmarkStart w:id="659" w:name="_Toc21675"/>
      <w:bookmarkStart w:id="660" w:name="_Toc29794"/>
      <w:bookmarkStart w:id="661" w:name="_Toc15391"/>
      <w:r>
        <w:t>6.4</w:t>
      </w:r>
      <w:r>
        <w:tab/>
      </w:r>
      <w:r>
        <w:t>Transmit signal quality</w:t>
      </w:r>
      <w:bookmarkEnd w:id="644"/>
      <w:bookmarkEnd w:id="645"/>
      <w:bookmarkEnd w:id="646"/>
      <w:bookmarkEnd w:id="647"/>
      <w:bookmarkEnd w:id="648"/>
      <w:bookmarkEnd w:id="656"/>
      <w:bookmarkEnd w:id="657"/>
      <w:bookmarkEnd w:id="658"/>
      <w:bookmarkEnd w:id="659"/>
      <w:bookmarkEnd w:id="660"/>
      <w:bookmarkEnd w:id="661"/>
    </w:p>
    <w:p>
      <w:pPr>
        <w:rPr>
          <w:rFonts w:eastAsia="宋体"/>
          <w:color w:val="000000" w:themeColor="text1"/>
          <w14:textFill>
            <w14:solidFill>
              <w14:schemeClr w14:val="tx1"/>
            </w14:solidFill>
          </w14:textFill>
        </w:rPr>
      </w:pPr>
      <w:r>
        <w:rPr>
          <w:rFonts w:eastAsia="宋体"/>
          <w:color w:val="000000" w:themeColor="text1"/>
          <w14:textFill>
            <w14:solidFill>
              <w14:schemeClr w14:val="tx1"/>
            </w14:solidFill>
          </w14:textFill>
        </w:rPr>
        <w:t>This clause is reserved.</w:t>
      </w:r>
    </w:p>
    <w:p>
      <w:pPr>
        <w:pStyle w:val="4"/>
        <w:rPr>
          <w:rFonts w:eastAsia="宋体"/>
          <w:color w:val="000000" w:themeColor="text1"/>
          <w14:textFill>
            <w14:solidFill>
              <w14:schemeClr w14:val="tx1"/>
            </w14:solidFill>
          </w14:textFill>
        </w:rPr>
      </w:pPr>
      <w:bookmarkStart w:id="662" w:name="_Toc18535"/>
      <w:bookmarkStart w:id="663" w:name="_Toc1210"/>
      <w:bookmarkStart w:id="664" w:name="_Toc5341"/>
      <w:bookmarkStart w:id="665" w:name="_Toc12969"/>
      <w:bookmarkStart w:id="666" w:name="_Toc9852"/>
      <w:bookmarkStart w:id="667" w:name="_Toc120570046"/>
      <w:bookmarkStart w:id="668" w:name="_Toc121162838"/>
      <w:bookmarkStart w:id="669" w:name="_Toc20444"/>
      <w:bookmarkStart w:id="670" w:name="_Toc13981"/>
      <w:r>
        <w:t>6.4A</w:t>
      </w:r>
      <w:r>
        <w:tab/>
      </w:r>
      <w:r>
        <w:t>Transmit signal quality for category M1</w:t>
      </w:r>
      <w:bookmarkEnd w:id="662"/>
      <w:bookmarkEnd w:id="663"/>
      <w:bookmarkEnd w:id="664"/>
      <w:bookmarkEnd w:id="665"/>
      <w:bookmarkEnd w:id="666"/>
      <w:bookmarkEnd w:id="667"/>
      <w:bookmarkEnd w:id="668"/>
      <w:bookmarkEnd w:id="669"/>
      <w:bookmarkEnd w:id="670"/>
    </w:p>
    <w:p>
      <w:pPr>
        <w:pStyle w:val="5"/>
      </w:pPr>
      <w:bookmarkStart w:id="671" w:name="_Toc11947"/>
      <w:bookmarkStart w:id="672" w:name="_Toc2545"/>
      <w:bookmarkStart w:id="673" w:name="_Toc26402"/>
      <w:bookmarkStart w:id="674" w:name="_Toc120570047"/>
      <w:bookmarkStart w:id="675" w:name="_Toc121162839"/>
      <w:bookmarkStart w:id="676" w:name="_Toc111062051"/>
      <w:bookmarkStart w:id="677" w:name="_Toc108617008"/>
      <w:bookmarkStart w:id="678" w:name="_Toc17084"/>
      <w:bookmarkStart w:id="679" w:name="_Toc22298"/>
      <w:bookmarkStart w:id="680" w:name="_Toc7577"/>
      <w:bookmarkStart w:id="681" w:name="_Toc19475"/>
      <w:r>
        <w:t>6.4A.1</w:t>
      </w:r>
      <w:r>
        <w:tab/>
      </w:r>
      <w:r>
        <w:t>Frequency error for UE category M1</w:t>
      </w:r>
      <w:bookmarkEnd w:id="671"/>
      <w:bookmarkEnd w:id="672"/>
      <w:bookmarkEnd w:id="673"/>
      <w:bookmarkEnd w:id="674"/>
      <w:bookmarkEnd w:id="675"/>
      <w:bookmarkEnd w:id="676"/>
      <w:bookmarkEnd w:id="677"/>
      <w:bookmarkEnd w:id="678"/>
      <w:bookmarkEnd w:id="679"/>
      <w:bookmarkEnd w:id="680"/>
      <w:bookmarkEnd w:id="681"/>
    </w:p>
    <w:p>
      <w:pPr>
        <w:pStyle w:val="112"/>
        <w:rPr>
          <w:lang w:val="en-US"/>
        </w:rPr>
      </w:pPr>
      <w:bookmarkStart w:id="682" w:name="_Toc120570048"/>
      <w:bookmarkStart w:id="683" w:name="_Toc111062052"/>
      <w:bookmarkStart w:id="684" w:name="_Toc368026277"/>
      <w:r>
        <w:t>Editor’s Note: Addition to applicability spec is pending.</w:t>
      </w:r>
    </w:p>
    <w:p>
      <w:pPr>
        <w:pStyle w:val="9"/>
      </w:pPr>
      <w:r>
        <w:t>6.4A.1.1</w:t>
      </w:r>
      <w:r>
        <w:tab/>
      </w:r>
      <w:r>
        <w:t>Test purpose</w:t>
      </w:r>
    </w:p>
    <w:p>
      <w:r>
        <w:t>This test verifies the ability of both, the receiver and the transmitter, to process frequency correctly.</w:t>
      </w:r>
    </w:p>
    <w:p>
      <w:r>
        <w:t>Receiver: to extract the correct frequency from the stimulus signal, offered by the System simulator, under ideal propagation conditions and low level.</w:t>
      </w:r>
    </w:p>
    <w:p>
      <w:r>
        <w:t>Transmitter: to derive the correct modulated carrier frequency from the results, gained by the receiver.</w:t>
      </w:r>
    </w:p>
    <w:p>
      <w:pPr>
        <w:pStyle w:val="9"/>
      </w:pPr>
      <w:r>
        <w:t>6.4A.1.2</w:t>
      </w:r>
      <w:r>
        <w:tab/>
      </w:r>
      <w: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pPr>
      <w:r>
        <w:t>6.4A.1.3</w:t>
      </w:r>
      <w:r>
        <w:tab/>
      </w:r>
      <w:r>
        <w:t>Minimum conformance requirements</w:t>
      </w:r>
    </w:p>
    <w:p>
      <w:bookmarkStart w:id="685" w:name="_Hlk119952195"/>
      <w:r>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r>
        <w:rPr>
          <w:rFonts w:hint="eastAsia" w:ascii="PMingLiU" w:hAnsi="PMingLiU"/>
          <w:lang w:eastAsia="zh-TW"/>
        </w:rPr>
        <w:t xml:space="preserve"> </w:t>
      </w:r>
      <w:r>
        <w:t xml:space="preserve">[6]), its own location and UL carrier frequency signalled to the UE by the SAN (according to TS36.300 [8] clause 16.14.2). </w:t>
      </w:r>
    </w:p>
    <w:p>
      <w:r>
        <w:t xml:space="preserve">For category M1 FD-FDD UEs and for category M1 HD-FDD UEs with continuous uplink transmissions of duration </w:t>
      </w:r>
      <w:r>
        <w:rPr>
          <w:rFonts w:hint="eastAsia"/>
        </w:rPr>
        <w:t>≤</w:t>
      </w:r>
      <w:r>
        <w:t xml:space="preserve"> 64 ms, the mean value of basic measurements of UE pre-compensated modulated carrier frequency shall be accurate to within ± 0.1 PPM observed over a period of one time slot (0.5 ms) compared with the ideally pre-compensated UL carrier frequency.</w:t>
      </w:r>
    </w:p>
    <w:p>
      <w:r>
        <w:t>For category M1 HD-FDD UEs with</w:t>
      </w:r>
      <w:r>
        <w:rPr>
          <w:rFonts w:ascii="Segoe UI" w:hAnsi="Segoe UI" w:cs="Segoe UI"/>
          <w:color w:val="242424"/>
          <w:shd w:val="clear" w:color="auto" w:fill="FFFFFF"/>
        </w:rPr>
        <w:t xml:space="preserve"> </w:t>
      </w:r>
      <w:r>
        <w:t>continuous uplink transmissions of duration &gt; 64 ms, the mean value of basic measurements of UE pre-compensated modulated carrier frequency shall be accurate within the limits in Table 6.4A.1-1 observed over a period of one time slot (0.5 ms) compared with ideally pre-compensated UL carrier frequency.</w:t>
      </w:r>
    </w:p>
    <w:p>
      <w:r>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pPr>
        <w:pStyle w:val="100"/>
      </w:pPr>
      <w:r>
        <w:t>NOTE:</w:t>
      </w:r>
      <w:r>
        <w:tab/>
      </w:r>
      <w:r>
        <w:t>The ideally pre-compensated reference uplink carrier frequency consists of the UL carrier frequency signalled to the UE by SAN and UL pre-compensated Doppler frequency shift</w:t>
      </w:r>
      <w:r>
        <w:rPr>
          <w:lang w:val="en-US"/>
        </w:rPr>
        <w:t xml:space="preserve"> corresponding to the estimated Doppler frequency at the beginning of the transmission</w:t>
      </w:r>
      <w:r>
        <w:t>.</w:t>
      </w:r>
    </w:p>
    <w:bookmarkEnd w:id="685"/>
    <w:p>
      <w:pPr>
        <w:pStyle w:val="113"/>
        <w:rPr>
          <w:color w:val="000000" w:themeColor="text1"/>
          <w14:textFill>
            <w14:solidFill>
              <w14:schemeClr w14:val="tx1"/>
            </w14:solidFill>
          </w14:textFill>
        </w:rPr>
      </w:pPr>
      <w:r>
        <w:rPr>
          <w:snapToGrid w:val="0"/>
          <w:color w:val="000000" w:themeColor="text1"/>
          <w14:textFill>
            <w14:solidFill>
              <w14:schemeClr w14:val="tx1"/>
            </w14:solidFill>
          </w14:textFill>
        </w:rPr>
        <w:t xml:space="preserve">Table 6.4A.1.3-1: </w:t>
      </w:r>
      <w:r>
        <w:rPr>
          <w:color w:val="000000" w:themeColor="text1"/>
          <w14:textFill>
            <w14:solidFill>
              <w14:schemeClr w14:val="tx1"/>
            </w14:solidFill>
          </w14:textFill>
        </w:rPr>
        <w:t>Frequency error requirement for HD-FDD UE category M1</w:t>
      </w:r>
    </w:p>
    <w:tbl>
      <w:tblPr>
        <w:tblStyle w:val="89"/>
        <w:tblW w:w="177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0"/>
        <w:gridCol w:w="1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01" w:type="pct"/>
            <w:tcBorders>
              <w:top w:val="single" w:color="auto" w:sz="4" w:space="0"/>
              <w:left w:val="single" w:color="auto" w:sz="4" w:space="0"/>
              <w:bottom w:val="single" w:color="auto" w:sz="4" w:space="0"/>
              <w:right w:val="single" w:color="auto" w:sz="4" w:space="0"/>
            </w:tcBorders>
          </w:tcPr>
          <w:p>
            <w:pPr>
              <w:pStyle w:val="104"/>
              <w:rPr>
                <w:lang w:eastAsia="ja-JP"/>
              </w:rPr>
            </w:pPr>
            <w:r>
              <w:rPr>
                <w:lang w:eastAsia="ja-JP"/>
              </w:rPr>
              <w:t>Carrier frequency [GHz]</w:t>
            </w:r>
          </w:p>
        </w:tc>
        <w:tc>
          <w:tcPr>
            <w:tcW w:w="2599" w:type="pct"/>
            <w:tcBorders>
              <w:top w:val="single" w:color="auto" w:sz="4" w:space="0"/>
              <w:left w:val="single" w:color="auto" w:sz="4" w:space="0"/>
              <w:bottom w:val="single" w:color="auto" w:sz="4" w:space="0"/>
              <w:right w:val="single" w:color="auto" w:sz="4" w:space="0"/>
            </w:tcBorders>
          </w:tcPr>
          <w:p>
            <w:pPr>
              <w:pStyle w:val="104"/>
              <w:rPr>
                <w:lang w:eastAsia="ja-JP"/>
              </w:rPr>
            </w:pPr>
            <w:r>
              <w:rPr>
                <w:lang w:eastAsia="ja-JP"/>
              </w:rPr>
              <w:t>Frequency error [ppm]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5" w:hRule="atLeast"/>
          <w:jc w:val="center"/>
        </w:trPr>
        <w:tc>
          <w:tcPr>
            <w:tcW w:w="2401" w:type="pct"/>
            <w:tcBorders>
              <w:top w:val="single" w:color="auto" w:sz="4" w:space="0"/>
              <w:left w:val="single" w:color="auto" w:sz="4" w:space="0"/>
              <w:bottom w:val="single" w:color="auto" w:sz="4" w:space="0"/>
              <w:right w:val="single" w:color="auto" w:sz="4" w:space="0"/>
            </w:tcBorders>
          </w:tcPr>
          <w:p>
            <w:pPr>
              <w:pStyle w:val="105"/>
              <w:rPr>
                <w:lang w:eastAsia="ja-JP"/>
              </w:rPr>
            </w:pPr>
            <w:r>
              <w:rPr>
                <w:lang w:eastAsia="ja-JP"/>
              </w:rPr>
              <w:t>≤1</w:t>
            </w:r>
          </w:p>
        </w:tc>
        <w:tc>
          <w:tcPr>
            <w:tcW w:w="2599" w:type="pct"/>
            <w:tcBorders>
              <w:top w:val="single" w:color="auto" w:sz="4" w:space="0"/>
              <w:left w:val="single" w:color="auto" w:sz="4" w:space="0"/>
              <w:bottom w:val="single" w:color="auto" w:sz="4" w:space="0"/>
              <w:right w:val="single" w:color="auto" w:sz="4" w:space="0"/>
            </w:tcBorders>
          </w:tcPr>
          <w:p>
            <w:pPr>
              <w:pStyle w:val="105"/>
              <w:rPr>
                <w:lang w:eastAsia="ja-JP"/>
              </w:rPr>
            </w:pPr>
            <w: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5" w:hRule="atLeast"/>
          <w:jc w:val="center"/>
        </w:trPr>
        <w:tc>
          <w:tcPr>
            <w:tcW w:w="2401" w:type="pct"/>
            <w:tcBorders>
              <w:top w:val="single" w:color="auto" w:sz="4" w:space="0"/>
              <w:left w:val="single" w:color="auto" w:sz="4" w:space="0"/>
              <w:bottom w:val="single" w:color="auto" w:sz="4" w:space="0"/>
              <w:right w:val="single" w:color="auto" w:sz="4" w:space="0"/>
            </w:tcBorders>
          </w:tcPr>
          <w:p>
            <w:pPr>
              <w:pStyle w:val="105"/>
              <w:rPr>
                <w:lang w:eastAsia="ja-JP"/>
              </w:rPr>
            </w:pPr>
            <w:r>
              <w:rPr>
                <w:lang w:eastAsia="ja-JP"/>
              </w:rPr>
              <w:t>&gt;1</w:t>
            </w:r>
          </w:p>
        </w:tc>
        <w:tc>
          <w:tcPr>
            <w:tcW w:w="2599" w:type="pct"/>
            <w:tcBorders>
              <w:top w:val="single" w:color="auto" w:sz="4" w:space="0"/>
              <w:left w:val="single" w:color="auto" w:sz="4" w:space="0"/>
              <w:bottom w:val="single" w:color="auto" w:sz="4" w:space="0"/>
              <w:right w:val="single" w:color="auto" w:sz="4" w:space="0"/>
            </w:tcBorders>
          </w:tcPr>
          <w:p>
            <w:pPr>
              <w:pStyle w:val="105"/>
              <w:rPr>
                <w:lang w:eastAsia="ja-JP"/>
              </w:rPr>
            </w:pPr>
            <w:r>
              <w:t>±0.1</w:t>
            </w:r>
          </w:p>
        </w:tc>
      </w:tr>
    </w:tbl>
    <w:p>
      <w:pPr>
        <w:rPr>
          <w:rFonts w:eastAsia="PMingLiU"/>
          <w:lang w:eastAsia="zh-TW"/>
        </w:rPr>
      </w:pPr>
    </w:p>
    <w:p>
      <w:pPr>
        <w:rPr>
          <w:rFonts w:eastAsia="Times New Roman"/>
        </w:rPr>
      </w:pPr>
      <w:r>
        <w:rPr>
          <w:rFonts w:eastAsia="Times New Roman"/>
        </w:rPr>
        <w:t>The normative reference for this requirement is TS 36.102 [11] clause 6.4A.1.</w:t>
      </w:r>
    </w:p>
    <w:p>
      <w:pPr>
        <w:pStyle w:val="9"/>
      </w:pPr>
      <w:r>
        <w:t>6.4A.1.4</w:t>
      </w:r>
      <w:r>
        <w:tab/>
      </w:r>
      <w:r>
        <w:t>Test description</w:t>
      </w:r>
    </w:p>
    <w:p>
      <w:pPr>
        <w:pStyle w:val="9"/>
      </w:pPr>
      <w:r>
        <w:t>6.4A.1.4.1</w:t>
      </w:r>
      <w:r>
        <w:tab/>
      </w:r>
      <w:r>
        <w:t xml:space="preserve">Initial conditions  </w:t>
      </w:r>
    </w:p>
    <w:p>
      <w:r>
        <w:t>Initial conditions are a set of test configurations the UE needs to be tested in and the steps for the SS to take with the UE to reach the correct measurement state.</w:t>
      </w:r>
    </w:p>
    <w:p>
      <w:bookmarkStart w:id="686" w:name="_Hlk148953795"/>
      <w:r>
        <w:t>The initial test configurations consist of environmental conditions, test frequencies, channel bandwidths based on E-UTRA bands specified in sub-clause 5.2A</w:t>
      </w:r>
      <w:bookmarkEnd w:id="686"/>
      <w:r>
        <w:t xml:space="preserve">.  All of these configurations shall be tested with applicable test parameters for each channel bandwidth are shown in table 6.4A.1.4.1-1. The details of the uplink and downlink reference measurement channels (RMCs) are specified in Annexes A.2 and A.3. </w:t>
      </w:r>
      <w:r>
        <w:rPr>
          <w:rFonts w:cs="v5.0.0"/>
        </w:rPr>
        <w:t>Configurations of PDSCH and MPDCCH before measurement are specified in Annex C.2.</w:t>
      </w:r>
    </w:p>
    <w:p>
      <w:pPr>
        <w:pStyle w:val="113"/>
      </w:pPr>
      <w:r>
        <w:t>Table 6.4A.1.4.1-1: Test Configuration Table</w:t>
      </w:r>
    </w:p>
    <w:tbl>
      <w:tblPr>
        <w:tblStyle w:val="89"/>
        <w:tblW w:w="82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9"/>
        <w:gridCol w:w="1560"/>
        <w:gridCol w:w="1417"/>
        <w:gridCol w:w="1985"/>
        <w:gridCol w:w="21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17" w:type="dxa"/>
            <w:gridSpan w:val="5"/>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06" w:type="dxa"/>
            <w:gridSpan w:val="3"/>
          </w:tcPr>
          <w:p>
            <w:pPr>
              <w:pStyle w:val="103"/>
            </w:pPr>
            <w:r>
              <w:t>Test Environment as specified in</w:t>
            </w:r>
          </w:p>
          <w:p>
            <w:pPr>
              <w:pStyle w:val="103"/>
            </w:pPr>
            <w:r>
              <w:t>TS 36.508[12] subclause 4.1</w:t>
            </w:r>
          </w:p>
        </w:tc>
        <w:tc>
          <w:tcPr>
            <w:tcW w:w="4111" w:type="dxa"/>
            <w:gridSpan w:val="2"/>
          </w:tcPr>
          <w:p>
            <w:pPr>
              <w:pStyle w:val="103"/>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06" w:type="dxa"/>
            <w:gridSpan w:val="3"/>
          </w:tcPr>
          <w:p>
            <w:pPr>
              <w:pStyle w:val="103"/>
            </w:pPr>
            <w:r>
              <w:t>Test Frequencies as specified in</w:t>
            </w:r>
          </w:p>
          <w:p>
            <w:pPr>
              <w:pStyle w:val="103"/>
            </w:pPr>
            <w:r>
              <w:t>TS36.508 [12] subclause 4.3.1</w:t>
            </w:r>
          </w:p>
        </w:tc>
        <w:tc>
          <w:tcPr>
            <w:tcW w:w="4111" w:type="dxa"/>
            <w:gridSpan w:val="2"/>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06" w:type="dxa"/>
            <w:gridSpan w:val="3"/>
          </w:tcPr>
          <w:p>
            <w:pPr>
              <w:pStyle w:val="103"/>
            </w:pPr>
            <w:r>
              <w:t>Test Channel Bandwidths as specified in</w:t>
            </w:r>
          </w:p>
          <w:p>
            <w:pPr>
              <w:pStyle w:val="103"/>
            </w:pPr>
            <w:r>
              <w:t>TS 36.508 [12] subclause 4.3.1</w:t>
            </w:r>
          </w:p>
        </w:tc>
        <w:tc>
          <w:tcPr>
            <w:tcW w:w="4111" w:type="dxa"/>
            <w:gridSpan w:val="2"/>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pPr>
              <w:pStyle w:val="104"/>
            </w:pPr>
          </w:p>
        </w:tc>
        <w:tc>
          <w:tcPr>
            <w:tcW w:w="7088" w:type="dxa"/>
            <w:gridSpan w:val="4"/>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pPr>
              <w:pStyle w:val="104"/>
            </w:pPr>
          </w:p>
        </w:tc>
        <w:tc>
          <w:tcPr>
            <w:tcW w:w="2977" w:type="dxa"/>
            <w:gridSpan w:val="2"/>
          </w:tcPr>
          <w:p>
            <w:pPr>
              <w:pStyle w:val="104"/>
            </w:pPr>
            <w:r>
              <w:t>Downlink Configuration</w:t>
            </w:r>
          </w:p>
        </w:tc>
        <w:tc>
          <w:tcPr>
            <w:tcW w:w="4111" w:type="dxa"/>
            <w:gridSpan w:val="2"/>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pPr>
              <w:pStyle w:val="105"/>
            </w:pPr>
            <w:r>
              <w:t>Ch BW</w:t>
            </w:r>
          </w:p>
        </w:tc>
        <w:tc>
          <w:tcPr>
            <w:tcW w:w="1560" w:type="dxa"/>
          </w:tcPr>
          <w:p>
            <w:pPr>
              <w:pStyle w:val="105"/>
            </w:pPr>
            <w:r>
              <w:t>Modulation</w:t>
            </w:r>
          </w:p>
        </w:tc>
        <w:tc>
          <w:tcPr>
            <w:tcW w:w="1417" w:type="dxa"/>
          </w:tcPr>
          <w:p>
            <w:pPr>
              <w:pStyle w:val="105"/>
            </w:pPr>
            <w:r>
              <w:t>RB allocation</w:t>
            </w:r>
          </w:p>
        </w:tc>
        <w:tc>
          <w:tcPr>
            <w:tcW w:w="1985" w:type="dxa"/>
          </w:tcPr>
          <w:p>
            <w:pPr>
              <w:pStyle w:val="105"/>
            </w:pPr>
            <w:r>
              <w:t>Modulation</w:t>
            </w:r>
          </w:p>
        </w:tc>
        <w:tc>
          <w:tcPr>
            <w:tcW w:w="2126" w:type="dxa"/>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pPr>
              <w:pStyle w:val="105"/>
            </w:pPr>
            <w:r>
              <w:t>1.4MHz</w:t>
            </w:r>
          </w:p>
        </w:tc>
        <w:tc>
          <w:tcPr>
            <w:tcW w:w="1560" w:type="dxa"/>
          </w:tcPr>
          <w:p>
            <w:pPr>
              <w:pStyle w:val="105"/>
            </w:pPr>
            <w:r>
              <w:t>QPSK</w:t>
            </w:r>
          </w:p>
        </w:tc>
        <w:tc>
          <w:tcPr>
            <w:tcW w:w="1417" w:type="dxa"/>
          </w:tcPr>
          <w:p>
            <w:pPr>
              <w:pStyle w:val="105"/>
            </w:pPr>
            <w:r>
              <w:t>2</w:t>
            </w:r>
          </w:p>
        </w:tc>
        <w:tc>
          <w:tcPr>
            <w:tcW w:w="1985" w:type="dxa"/>
          </w:tcPr>
          <w:p>
            <w:pPr>
              <w:pStyle w:val="105"/>
            </w:pPr>
            <w:r>
              <w:t>QPSK</w:t>
            </w:r>
          </w:p>
        </w:tc>
        <w:tc>
          <w:tcPr>
            <w:tcW w:w="2126" w:type="dxa"/>
          </w:tcPr>
          <w:p>
            <w:pPr>
              <w:pStyle w:val="105"/>
              <w:rPr>
                <w:highlight w:val="yellow"/>
              </w:rPr>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pPr>
              <w:pStyle w:val="105"/>
            </w:pPr>
            <w:r>
              <w:t>1.4MHz</w:t>
            </w:r>
          </w:p>
        </w:tc>
        <w:tc>
          <w:tcPr>
            <w:tcW w:w="1560" w:type="dxa"/>
          </w:tcPr>
          <w:p>
            <w:pPr>
              <w:pStyle w:val="105"/>
            </w:pPr>
            <w:r>
              <w:t>QPSK</w:t>
            </w:r>
          </w:p>
        </w:tc>
        <w:tc>
          <w:tcPr>
            <w:tcW w:w="1417" w:type="dxa"/>
          </w:tcPr>
          <w:p>
            <w:pPr>
              <w:pStyle w:val="105"/>
            </w:pPr>
            <w:r>
              <w:t>2</w:t>
            </w:r>
          </w:p>
        </w:tc>
        <w:tc>
          <w:tcPr>
            <w:tcW w:w="1985" w:type="dxa"/>
          </w:tcPr>
          <w:p>
            <w:pPr>
              <w:pStyle w:val="105"/>
            </w:pPr>
            <w:r>
              <w:t>QPSK</w:t>
            </w:r>
          </w:p>
        </w:tc>
        <w:tc>
          <w:tcPr>
            <w:tcW w:w="2126" w:type="dxa"/>
          </w:tcPr>
          <w:p>
            <w:pPr>
              <w:pStyle w:val="105"/>
            </w:pPr>
            <w:r>
              <w:t>2</w:t>
            </w:r>
          </w:p>
        </w:tc>
      </w:tr>
    </w:tbl>
    <w:p>
      <w:pPr>
        <w:pStyle w:val="111"/>
      </w:pPr>
    </w:p>
    <w:p>
      <w:pPr>
        <w:pStyle w:val="111"/>
        <w:overflowPunct w:val="0"/>
        <w:autoSpaceDE w:val="0"/>
        <w:autoSpaceDN w:val="0"/>
        <w:adjustRightInd w:val="0"/>
        <w:contextualSpacing w:val="0"/>
        <w:textAlignment w:val="baseline"/>
        <w:rPr>
          <w:lang w:eastAsia="en-GB"/>
        </w:rPr>
      </w:pPr>
      <w:r>
        <w:rPr>
          <w:lang w:eastAsia="en-GB"/>
        </w:rPr>
        <w:t>1.</w:t>
      </w:r>
      <w:r>
        <w:rPr>
          <w:lang w:eastAsia="en-GB"/>
        </w:rPr>
        <w:tab/>
      </w:r>
      <w:r>
        <w:rPr>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lang w:eastAsia="en-GB"/>
        </w:rPr>
        <w:t>2.</w:t>
      </w:r>
      <w:r>
        <w:rPr>
          <w:lang w:eastAsia="en-GB"/>
        </w:rPr>
        <w:tab/>
      </w:r>
      <w:r>
        <w:rPr>
          <w:lang w:eastAsia="en-GB"/>
        </w:rPr>
        <w:t>The parameter settings for the cell are set up according to TS 36.508[12] subclause 4.4.3.</w:t>
      </w:r>
    </w:p>
    <w:p>
      <w:pPr>
        <w:pStyle w:val="111"/>
        <w:overflowPunct w:val="0"/>
        <w:autoSpaceDE w:val="0"/>
        <w:autoSpaceDN w:val="0"/>
        <w:adjustRightInd w:val="0"/>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lang w:eastAsia="en-GB"/>
        </w:rPr>
        <w:t>4.</w:t>
      </w:r>
      <w:r>
        <w:rPr>
          <w:lang w:eastAsia="en-GB"/>
        </w:rPr>
        <w:tab/>
      </w:r>
      <w:r>
        <w:rPr>
          <w:lang w:eastAsia="en-GB"/>
        </w:rPr>
        <w:t>The UL and DL Reference Measurement channels are set according to Table 6.4A.1.4.1-1.</w:t>
      </w:r>
    </w:p>
    <w:p>
      <w:pPr>
        <w:pStyle w:val="111"/>
        <w:overflowPunct w:val="0"/>
        <w:autoSpaceDE w:val="0"/>
        <w:autoSpaceDN w:val="0"/>
        <w:adjustRightInd w:val="0"/>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9"/>
      </w:pPr>
      <w:r>
        <w:t>6.4A.1.4.2</w:t>
      </w:r>
      <w:r>
        <w:tab/>
      </w:r>
      <w:r>
        <w:t>Test procedure</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1</w:t>
      </w:r>
      <w:r>
        <w:rPr>
          <w:rFonts w:hint="eastAsia" w:eastAsia="Times New Roman"/>
          <w:lang w:eastAsia="en-GB"/>
        </w:rPr>
        <w:t>.</w:t>
      </w:r>
      <w:r>
        <w:rPr>
          <w:rFonts w:hint="eastAsia" w:eastAsia="Times New Roman"/>
          <w:lang w:eastAsia="en-GB"/>
        </w:rPr>
        <w:tab/>
      </w:r>
      <w:r>
        <w:rPr>
          <w:rFonts w:hint="eastAsia" w:eastAsia="Times New Roman"/>
          <w:lang w:eastAsia="en-GB"/>
        </w:rPr>
        <w:t xml:space="preserve">UE location according to TS 36.508 [12] clause </w:t>
      </w:r>
      <w:r>
        <w:rPr>
          <w:rFonts w:eastAsia="Times New Roman"/>
          <w:lang w:eastAsia="en-GB"/>
        </w:rPr>
        <w:t>5.6.1</w:t>
      </w:r>
      <w:r>
        <w:rPr>
          <w:rFonts w:hint="eastAsia" w:eastAsia="Times New Roman"/>
          <w:lang w:eastAsia="en-GB"/>
        </w:rPr>
        <w:t xml:space="preserve"> is provided to the UE through any preconfigured means.</w:t>
      </w:r>
    </w:p>
    <w:p>
      <w:pPr>
        <w:pStyle w:val="111"/>
        <w:overflowPunct w:val="0"/>
        <w:autoSpaceDE w:val="0"/>
        <w:autoSpaceDN w:val="0"/>
        <w:adjustRightInd w:val="0"/>
        <w:contextualSpacing w:val="0"/>
        <w:textAlignment w:val="baseline"/>
        <w:rPr>
          <w:lang w:eastAsia="en-GB"/>
        </w:rPr>
      </w:pPr>
      <w:r>
        <w:rPr>
          <w:lang w:eastAsia="en-GB"/>
        </w:rPr>
        <w:t>2</w:t>
      </w:r>
      <w:r>
        <w:rPr>
          <w:rFonts w:hint="eastAsia"/>
          <w:lang w:eastAsia="en-GB"/>
        </w:rPr>
        <w:t>.</w:t>
      </w:r>
      <w:r>
        <w:rPr>
          <w:rFonts w:hint="eastAsia"/>
          <w:lang w:eastAsia="en-GB"/>
        </w:rPr>
        <w:tab/>
      </w:r>
      <w:r>
        <w:rPr>
          <w:rFonts w:hint="eastAsia"/>
          <w:lang w:eastAsia="en-GB"/>
        </w:rPr>
        <w:t xml:space="preserve">Test equipment shall emulate </w:t>
      </w:r>
      <w:r>
        <w:rPr>
          <w:rFonts w:hint="eastAsia"/>
          <w:color w:val="auto"/>
          <w:lang w:eastAsia="en-GB"/>
        </w:rPr>
        <w:t xml:space="preserve">the signal with doppler and delay according to ephemeris defined in TS 36.508 [12] table </w:t>
      </w:r>
      <w:r>
        <w:rPr>
          <w:color w:val="auto"/>
          <w:lang w:eastAsia="en-GB"/>
        </w:rPr>
        <w:t>5</w:t>
      </w:r>
      <w:r>
        <w:rPr>
          <w:rFonts w:hint="eastAsia"/>
          <w:color w:val="auto"/>
          <w:lang w:eastAsia="en-GB"/>
        </w:rPr>
        <w:t xml:space="preserve">.6.2.1-1 for GSO if UE supports only GSO or both GSO and NGSO satellites and table </w:t>
      </w:r>
      <w:r>
        <w:rPr>
          <w:color w:val="auto"/>
          <w:lang w:eastAsia="en-GB"/>
        </w:rPr>
        <w:t>5</w:t>
      </w:r>
      <w:r>
        <w:rPr>
          <w:rFonts w:hint="eastAsia"/>
          <w:color w:val="auto"/>
          <w:lang w:eastAsia="en-GB"/>
        </w:rPr>
        <w:t>.6.2.1-3 for NGSO (LEO-1200) if UE supports only NGSO satellites.</w:t>
      </w:r>
    </w:p>
    <w:p>
      <w:pPr>
        <w:pStyle w:val="111"/>
        <w:overflowPunct w:val="0"/>
        <w:autoSpaceDE w:val="0"/>
        <w:autoSpaceDN w:val="0"/>
        <w:adjustRightInd w:val="0"/>
        <w:contextualSpacing w:val="0"/>
        <w:textAlignment w:val="baseline"/>
        <w:rPr>
          <w:lang w:eastAsia="en-GB"/>
        </w:rPr>
      </w:pPr>
      <w:r>
        <w:rPr>
          <w:lang w:eastAsia="en-GB"/>
        </w:rPr>
        <w:t>3</w:t>
      </w:r>
      <w:r>
        <w:rPr>
          <w:rFonts w:hint="eastAsia"/>
          <w:lang w:eastAsia="en-GB"/>
        </w:rPr>
        <w:t>.</w:t>
      </w:r>
      <w:r>
        <w:rPr>
          <w:rFonts w:hint="eastAsia"/>
          <w:lang w:eastAsia="en-GB"/>
        </w:rPr>
        <w:tab/>
      </w:r>
      <w:r>
        <w:rPr>
          <w:lang w:eastAsia="en-GB"/>
        </w:rPr>
        <w:t xml:space="preserve">Deactivate UE prediction of satellite trajectory by any preconfigured means  </w:t>
      </w:r>
    </w:p>
    <w:p>
      <w:pPr>
        <w:pStyle w:val="111"/>
        <w:overflowPunct w:val="0"/>
        <w:autoSpaceDE w:val="0"/>
        <w:autoSpaceDN w:val="0"/>
        <w:adjustRightInd w:val="0"/>
        <w:contextualSpacing w:val="0"/>
        <w:textAlignment w:val="baseline"/>
        <w:rPr>
          <w:lang w:eastAsia="en-GB"/>
        </w:rPr>
      </w:pPr>
      <w:r>
        <w:rPr>
          <w:lang w:eastAsia="en-GB"/>
        </w:rPr>
        <w:t>4.</w:t>
      </w:r>
      <w:r>
        <w:rPr>
          <w:lang w:eastAsia="en-GB"/>
        </w:rPr>
        <w:tab/>
      </w:r>
      <w:r>
        <w:rPr>
          <w:lang w:eastAsia="en-GB"/>
        </w:rPr>
        <w:t>Ensure the UE is in State 3A-RF-CE according to TS 36.508 [7] clause 5.2A.2AA. Message contents are defined in clause 6.4A.1.4.3.</w:t>
      </w:r>
    </w:p>
    <w:p>
      <w:pPr>
        <w:pStyle w:val="111"/>
        <w:overflowPunct w:val="0"/>
        <w:autoSpaceDE w:val="0"/>
        <w:autoSpaceDN w:val="0"/>
        <w:adjustRightInd w:val="0"/>
        <w:contextualSpacing w:val="0"/>
        <w:textAlignment w:val="baseline"/>
        <w:rPr>
          <w:lang w:eastAsia="en-GB"/>
        </w:rPr>
      </w:pPr>
      <w:r>
        <w:rPr>
          <w:lang w:eastAsia="en-GB"/>
        </w:rPr>
        <w:t>5.</w:t>
      </w:r>
      <w:r>
        <w:rPr>
          <w:lang w:eastAsia="en-GB"/>
        </w:rPr>
        <w:tab/>
      </w:r>
      <w:r>
        <w:rPr>
          <w:lang w:eastAsia="en-GB"/>
        </w:rPr>
        <w:t>SS transmits PDSCH via MPDCCH DCI format 6-1A for C_RNTI to transmit the DL RMC according to Table 6.4A.1.4.1-1. The SS sends downlink MAC padding bits on the DL RMC.</w:t>
      </w:r>
    </w:p>
    <w:p>
      <w:pPr>
        <w:pStyle w:val="111"/>
        <w:overflowPunct w:val="0"/>
        <w:autoSpaceDE w:val="0"/>
        <w:autoSpaceDN w:val="0"/>
        <w:adjustRightInd w:val="0"/>
        <w:contextualSpacing w:val="0"/>
        <w:textAlignment w:val="baseline"/>
        <w:rPr>
          <w:lang w:eastAsia="en-GB"/>
        </w:rPr>
      </w:pPr>
      <w:r>
        <w:rPr>
          <w:lang w:eastAsia="en-GB"/>
        </w:rPr>
        <w:t>6.</w:t>
      </w:r>
      <w:r>
        <w:rPr>
          <w:lang w:eastAsia="en-GB"/>
        </w:rPr>
        <w:tab/>
      </w:r>
      <w:r>
        <w:rPr>
          <w:lang w:eastAsia="en-GB"/>
        </w:rPr>
        <w:t>SS sends uplink scheduling information for each UL HARQ process via MPDCCH DCI format 6-0A for C_RNTI to schedule the UL RMC according to Table 6.4A.1.4.1-1, since the UE has no payload data to send, the UE transmit uplink MAC padding bits on the UL RMC</w:t>
      </w:r>
    </w:p>
    <w:p>
      <w:pPr>
        <w:pStyle w:val="111"/>
        <w:overflowPunct w:val="0"/>
        <w:autoSpaceDE w:val="0"/>
        <w:autoSpaceDN w:val="0"/>
        <w:adjustRightInd w:val="0"/>
        <w:contextualSpacing w:val="0"/>
        <w:textAlignment w:val="baseline"/>
        <w:rPr>
          <w:lang w:eastAsia="en-GB"/>
        </w:rPr>
      </w:pPr>
      <w:r>
        <w:rPr>
          <w:rFonts w:eastAsia="Times New Roman"/>
          <w:lang w:eastAsia="en-GB"/>
        </w:rPr>
        <w:t>7</w:t>
      </w:r>
      <w:r>
        <w:rPr>
          <w:lang w:eastAsia="en-GB"/>
        </w:rPr>
        <w:t>.</w:t>
      </w:r>
      <w:r>
        <w:rPr>
          <w:lang w:eastAsia="en-GB"/>
        </w:rPr>
        <w:tab/>
      </w:r>
      <w:r>
        <w:rPr>
          <w:lang w:eastAsia="en-GB"/>
        </w:rPr>
        <w:t>Set the Downlink signal level to the appropriate REFSENS value defined in Table 7.3A.5-1. Send continuously uplink power control "up" commands to the UE in every uplink scheduling information to the UE so that the UE transmits at P</w:t>
      </w:r>
      <w:r>
        <w:rPr>
          <w:vertAlign w:val="baseline"/>
          <w:lang w:eastAsia="en-GB"/>
        </w:rPr>
        <w:t xml:space="preserve">UMAX </w:t>
      </w:r>
      <w:r>
        <w:rPr>
          <w:lang w:eastAsia="en-GB"/>
        </w:rPr>
        <w:t>level for the duration of the test.</w:t>
      </w:r>
    </w:p>
    <w:p>
      <w:pPr>
        <w:pStyle w:val="111"/>
        <w:overflowPunct w:val="0"/>
        <w:autoSpaceDE w:val="0"/>
        <w:autoSpaceDN w:val="0"/>
        <w:adjustRightInd w:val="0"/>
        <w:contextualSpacing w:val="0"/>
        <w:textAlignment w:val="baseline"/>
        <w:rPr>
          <w:lang w:eastAsia="en-GB"/>
        </w:rPr>
      </w:pPr>
      <w:r>
        <w:rPr>
          <w:rFonts w:eastAsia="Times New Roman"/>
          <w:lang w:eastAsia="en-GB"/>
        </w:rPr>
        <w:t>8</w:t>
      </w:r>
      <w:r>
        <w:rPr>
          <w:lang w:eastAsia="en-GB"/>
        </w:rPr>
        <w:t>.</w:t>
      </w:r>
      <w:r>
        <w:rPr>
          <w:lang w:eastAsia="en-GB"/>
        </w:rPr>
        <w:tab/>
      </w:r>
      <w:r>
        <w:rPr>
          <w:lang w:eastAsia="en-GB"/>
        </w:rPr>
        <w:t>Measure the Frequency Error using Global In-Channel Tx-Test (Annex E) according to the UE’s declaration on the position of carrier centre frequency. For HDD-FD slots with transient periods are not under test. Half-duplex guard sub frame is not under test</w:t>
      </w:r>
    </w:p>
    <w:p>
      <w:pPr>
        <w:pStyle w:val="111"/>
        <w:overflowPunct w:val="0"/>
        <w:autoSpaceDE w:val="0"/>
        <w:autoSpaceDN w:val="0"/>
        <w:adjustRightInd w:val="0"/>
        <w:contextualSpacing w:val="0"/>
        <w:textAlignment w:val="baseline"/>
        <w:rPr>
          <w:lang w:eastAsia="en-GB"/>
        </w:rPr>
      </w:pPr>
      <w:r>
        <w:rPr>
          <w:lang w:eastAsia="en-GB"/>
        </w:rPr>
        <w:t>9.</w:t>
      </w:r>
      <w:r>
        <w:rPr>
          <w:lang w:eastAsia="en-GB"/>
        </w:rPr>
        <w:tab/>
      </w:r>
      <w:r>
        <w:rPr>
          <w:lang w:eastAsia="en-GB"/>
        </w:rPr>
        <w:t xml:space="preserve">Repeat from test procedure steps 1-8 </w:t>
      </w:r>
      <w:r>
        <w:rPr>
          <w:rFonts w:hint="eastAsia"/>
          <w:lang w:eastAsia="en-GB"/>
        </w:rPr>
        <w:t xml:space="preserve">with ephemeris values for maximum </w:t>
      </w:r>
      <w:r>
        <w:rPr>
          <w:rFonts w:hint="eastAsia"/>
          <w:color w:val="auto"/>
          <w:lang w:eastAsia="en-GB"/>
        </w:rPr>
        <w:t xml:space="preserve">positive </w:t>
      </w:r>
      <w:r>
        <w:rPr>
          <w:rFonts w:hint="eastAsia"/>
          <w:lang w:eastAsia="en-GB"/>
        </w:rPr>
        <w:t xml:space="preserve">Doppler </w:t>
      </w:r>
      <w:r>
        <w:rPr>
          <w:rFonts w:hint="eastAsia"/>
          <w:color w:val="auto"/>
          <w:lang w:eastAsia="en-GB"/>
        </w:rPr>
        <w:t>for GSO if UE supports only GSO or both GSO and NGSO satellites and for NGSO (LEO-600) if UE supports only NGSO satellites replacing ephemeris in step 2 by corresponding tables in section 6.4A.1.4.3.</w:t>
      </w:r>
      <w:r>
        <w:rPr>
          <w:color w:val="auto"/>
          <w:lang w:eastAsia="en-GB"/>
        </w:rPr>
        <w:t xml:space="preserve"> </w:t>
      </w:r>
      <w:r>
        <w:rPr>
          <w:lang w:eastAsia="en-GB"/>
        </w:rPr>
        <w:t>Test system shall send same SIB31 information during this duration of each frequency error measurement</w:t>
      </w:r>
    </w:p>
    <w:p>
      <w:pPr>
        <w:pStyle w:val="111"/>
        <w:overflowPunct w:val="0"/>
        <w:autoSpaceDE w:val="0"/>
        <w:autoSpaceDN w:val="0"/>
        <w:adjustRightInd w:val="0"/>
        <w:contextualSpacing w:val="0"/>
        <w:textAlignment w:val="baseline"/>
        <w:rPr>
          <w:lang w:eastAsia="en-GB"/>
        </w:rPr>
      </w:pPr>
      <w:r>
        <w:rPr>
          <w:lang w:eastAsia="en-GB"/>
        </w:rPr>
        <w:t>10.</w:t>
      </w:r>
      <w:r>
        <w:rPr>
          <w:rFonts w:hint="eastAsia"/>
          <w:color w:val="auto"/>
          <w:lang w:eastAsia="en-GB"/>
        </w:rPr>
        <w:t xml:space="preserve"> Repeat from test procedure steps 1-8 with ephemeris values for maximum negative Doppler for GSO if UE supports only GSO or both GSO and NGSO satellites and for NGSO (LEO-600) if UE supports only NGSO satellites replacing ephemeris in step 2 by corresponding tables in section 6.4A.1.4.3. Test system shall send same SIB31 information during the duration of each frequency error measurement.</w:t>
      </w:r>
    </w:p>
    <w:p>
      <w:pPr>
        <w:pStyle w:val="111"/>
        <w:overflowPunct w:val="0"/>
        <w:autoSpaceDE w:val="0"/>
        <w:autoSpaceDN w:val="0"/>
        <w:adjustRightInd w:val="0"/>
        <w:contextualSpacing w:val="0"/>
        <w:textAlignment w:val="baseline"/>
        <w:rPr>
          <w:lang w:eastAsia="en-GB"/>
        </w:rPr>
      </w:pPr>
      <w:r>
        <w:rPr>
          <w:lang w:eastAsia="en-GB"/>
        </w:rPr>
        <w:t>11.</w:t>
      </w:r>
      <w:r>
        <w:rPr>
          <w:lang w:eastAsia="en-GB"/>
        </w:rPr>
        <w:tab/>
      </w:r>
      <w:r>
        <w:rPr>
          <w:lang w:eastAsia="en-GB"/>
        </w:rPr>
        <w:t xml:space="preserve">Repeat from test procedure steps 1-8 </w:t>
      </w:r>
      <w:r>
        <w:rPr>
          <w:rFonts w:hint="eastAsia"/>
          <w:lang w:eastAsia="en-GB"/>
        </w:rPr>
        <w:t xml:space="preserve">with ephemeris values for half of maximum </w:t>
      </w:r>
      <w:r>
        <w:rPr>
          <w:rFonts w:hint="eastAsia"/>
          <w:color w:val="auto"/>
          <w:lang w:eastAsia="en-GB"/>
        </w:rPr>
        <w:t xml:space="preserve">positive </w:t>
      </w:r>
      <w:r>
        <w:rPr>
          <w:rFonts w:hint="eastAsia"/>
          <w:lang w:eastAsia="en-GB"/>
        </w:rPr>
        <w:t xml:space="preserve">Doppler </w:t>
      </w:r>
      <w:r>
        <w:rPr>
          <w:rFonts w:hint="eastAsia"/>
          <w:color w:val="auto"/>
          <w:lang w:eastAsia="en-GB"/>
        </w:rPr>
        <w:t>if UE supports only GSO or both GSO and NGSO satellites and for NGSO (LEO-600) if UE supports only NGSO satellites replacing ephemeris in step 2 by corresponding tables in section 6.4A.1.4.3</w:t>
      </w:r>
      <w:r>
        <w:rPr>
          <w:lang w:eastAsia="en-GB"/>
        </w:rPr>
        <w:t>. Test system shall send same SIB31 information during this duration of each frequency error measurement</w:t>
      </w:r>
    </w:p>
    <w:p>
      <w:pPr>
        <w:pStyle w:val="111"/>
        <w:overflowPunct w:val="0"/>
        <w:autoSpaceDE w:val="0"/>
        <w:autoSpaceDN w:val="0"/>
        <w:adjustRightInd w:val="0"/>
        <w:contextualSpacing w:val="0"/>
        <w:textAlignment w:val="baseline"/>
        <w:rPr>
          <w:lang w:eastAsia="en-GB"/>
        </w:rPr>
      </w:pPr>
      <w:r>
        <w:rPr>
          <w:lang w:eastAsia="en-GB"/>
        </w:rPr>
        <w:t>12.</w:t>
      </w:r>
      <w:r>
        <w:rPr>
          <w:lang w:eastAsia="en-GB"/>
        </w:rPr>
        <w:tab/>
      </w:r>
      <w:r>
        <w:rPr>
          <w:lang w:eastAsia="en-GB"/>
        </w:rPr>
        <w:t>In case the UE supports both GSO and NGSO satellites, repeat test procedure steps 9-11 for NGSO (LEO-600)</w:t>
      </w:r>
    </w:p>
    <w:p>
      <w:pPr>
        <w:pStyle w:val="111"/>
      </w:pPr>
    </w:p>
    <w:p>
      <w:pPr>
        <w:pStyle w:val="9"/>
      </w:pPr>
      <w:r>
        <w:t>6.4A.1.4.3</w:t>
      </w:r>
      <w:r>
        <w:tab/>
      </w:r>
      <w:r>
        <w:t>Message contents</w:t>
      </w:r>
    </w:p>
    <w:p>
      <w:pPr>
        <w:rPr>
          <w:color w:val="000000" w:themeColor="text1"/>
          <w14:textFill>
            <w14:solidFill>
              <w14:schemeClr w14:val="tx1"/>
            </w14:solidFill>
          </w14:textFill>
        </w:rPr>
      </w:pPr>
      <w:r>
        <w:t>Message</w:t>
      </w:r>
      <w:r>
        <w:rPr>
          <w:color w:val="000000" w:themeColor="text1"/>
          <w14:textFill>
            <w14:solidFill>
              <w14:schemeClr w14:val="tx1"/>
            </w14:solidFill>
          </w14:textFill>
        </w:rPr>
        <w:t xml:space="preserve"> contents are according to TS 36.508 [12] subclause 4.6 with the condition CEModeA and 5.6.2, the exceptions in subclause 7.3A.4.3.</w:t>
      </w:r>
    </w:p>
    <w:p>
      <w:pPr>
        <w:pStyle w:val="113"/>
        <w:rPr>
          <w:color w:val="000000" w:themeColor="text1"/>
          <w:lang w:val="en-US"/>
          <w14:textFill>
            <w14:solidFill>
              <w14:schemeClr w14:val="tx1"/>
            </w14:solidFill>
          </w14:textFill>
        </w:rPr>
      </w:pPr>
      <w:r>
        <w:rPr>
          <w:color w:val="000000" w:themeColor="text1"/>
          <w:lang w:eastAsia="en-GB"/>
          <w14:textFill>
            <w14:solidFill>
              <w14:schemeClr w14:val="tx1"/>
            </w14:solidFill>
          </w14:textFill>
        </w:rPr>
        <w:t>Table 6.4A.1.4.3-1a:</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 eMTC NTN Ephemeris Information for GSO satellites (maximum positive Doppler)</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color w:val="000000" w:themeColor="text1"/>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FFS </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lang w:eastAsia="fr-FR"/>
                <w14:textFill>
                  <w14:solidFill>
                    <w14:schemeClr w14:val="tx1"/>
                  </w14:solidFill>
                </w14:textFill>
              </w:rPr>
              <w:t>-17104941</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27550229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-607219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258</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299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6277</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eastAsia="en-GB"/>
                <w14:textFill>
                  <w14:solidFill>
                    <w14:schemeClr w14:val="tx1"/>
                  </w14:solidFill>
                </w14:textFill>
              </w:rPr>
            </w:pPr>
            <w:r>
              <w:rPr>
                <w:color w:val="000000" w:themeColor="text1"/>
                <w:lang w:eastAsia="fr-FR"/>
                <w14:textFill>
                  <w14:solidFill>
                    <w14:schemeClr w14:val="tx1"/>
                  </w14:solidFill>
                </w14:textFill>
              </w:rPr>
              <w:t>NOTE 1: Satellite-UE elevation angle equal to 26.15 degrees, one-way delay equal to 129.93 ms and Doppler equal to 0.17 ppm</w:t>
            </w:r>
          </w:p>
        </w:tc>
      </w:tr>
    </w:tbl>
    <w:p>
      <w:pPr>
        <w:rPr>
          <w:color w:val="000000" w:themeColor="text1"/>
          <w14:textFill>
            <w14:solidFill>
              <w14:schemeClr w14:val="tx1"/>
            </w14:solidFill>
          </w14:textFill>
        </w:rPr>
      </w:pPr>
    </w:p>
    <w:p>
      <w:pPr>
        <w:pStyle w:val="113"/>
        <w:rPr>
          <w:color w:val="000000" w:themeColor="text1"/>
          <w:lang w:val="en-US"/>
          <w14:textFill>
            <w14:solidFill>
              <w14:schemeClr w14:val="tx1"/>
            </w14:solidFill>
          </w14:textFill>
        </w:rPr>
      </w:pPr>
      <w:r>
        <w:rPr>
          <w:color w:val="000000" w:themeColor="text1"/>
          <w:lang w:eastAsia="en-GB"/>
          <w14:textFill>
            <w14:solidFill>
              <w14:schemeClr w14:val="tx1"/>
            </w14:solidFill>
          </w14:textFill>
        </w:rPr>
        <w:t>Table 6.4A.1.4.3-1b:</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 eMTC NTN Ephemeris Information for NGSO (LEO-600) satellites (maximum positive Doppler)</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bCs/>
                <w:color w:val="000000" w:themeColor="text1"/>
                <w:sz w:val="20"/>
                <w:lang w:eastAsia="en-GB"/>
                <w14:textFill>
                  <w14:solidFill>
                    <w14:schemeClr w14:val="tx1"/>
                  </w14:solidFill>
                </w14:textFill>
              </w:rPr>
            </w:pPr>
            <w:r>
              <w:rPr>
                <w:b w:val="0"/>
                <w:bCs/>
                <w:color w:val="000000" w:themeColor="text1"/>
                <w:lang w:eastAsia="en-GB"/>
                <w14:textFill>
                  <w14:solidFill>
                    <w14:schemeClr w14:val="tx1"/>
                  </w14:solidFill>
                </w14:textFill>
              </w:rPr>
              <w:t>Derivation Path: TS 36.508 Table FFS</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14:textFill>
                  <w14:solidFill>
                    <w14:schemeClr w14:val="tx1"/>
                  </w14:solidFill>
                </w14:textFill>
              </w:rPr>
              <w:t>-2717617</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4550419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852799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6164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-19424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124281</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eastAsia="en-GB"/>
                <w14:textFill>
                  <w14:solidFill>
                    <w14:schemeClr w14:val="tx1"/>
                  </w14:solidFill>
                </w14:textFill>
              </w:rPr>
            </w:pPr>
            <w:r>
              <w:rPr>
                <w:color w:val="000000" w:themeColor="text1"/>
                <w14:textFill>
                  <w14:solidFill>
                    <w14:schemeClr w14:val="tx1"/>
                  </w14:solidFill>
                </w14:textFill>
              </w:rPr>
              <w:t>NOTE 1: Satellite-UE elevation angle equal to 10 degrees, one-way delay equal to 6.44 ms and Doppler equal to 22.65 ppm.</w:t>
            </w:r>
          </w:p>
        </w:tc>
      </w:tr>
    </w:tbl>
    <w:p>
      <w:pPr>
        <w:rPr>
          <w:color w:val="000000" w:themeColor="text1"/>
          <w14:textFill>
            <w14:solidFill>
              <w14:schemeClr w14:val="tx1"/>
            </w14:solidFill>
          </w14:textFill>
        </w:rPr>
      </w:pPr>
    </w:p>
    <w:p>
      <w:pPr>
        <w:pStyle w:val="113"/>
        <w:rPr>
          <w:color w:val="000000" w:themeColor="text1"/>
          <w:lang w:val="en-US"/>
          <w14:textFill>
            <w14:solidFill>
              <w14:schemeClr w14:val="tx1"/>
            </w14:solidFill>
          </w14:textFill>
        </w:rPr>
      </w:pPr>
      <w:r>
        <w:rPr>
          <w:color w:val="000000" w:themeColor="text1"/>
          <w:lang w:eastAsia="en-GB"/>
          <w14:textFill>
            <w14:solidFill>
              <w14:schemeClr w14:val="tx1"/>
            </w14:solidFill>
          </w14:textFill>
        </w:rPr>
        <w:t>Table 6.4A.1.4.3-2a:</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SystemInformationBlockType31-eMTC NTN Ephemeris Information for GSO satellites (maximum negative Doppler)</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bCs/>
                <w:color w:val="000000" w:themeColor="text1"/>
                <w:sz w:val="20"/>
                <w:lang w:eastAsia="en-GB"/>
                <w14:textFill>
                  <w14:solidFill>
                    <w14:schemeClr w14:val="tx1"/>
                  </w14:solidFill>
                </w14:textFill>
              </w:rPr>
            </w:pPr>
            <w:r>
              <w:rPr>
                <w:b w:val="0"/>
                <w:bCs/>
                <w:color w:val="000000" w:themeColor="text1"/>
                <w:lang w:eastAsia="en-GB"/>
                <w14:textFill>
                  <w14:solidFill>
                    <w14:schemeClr w14:val="tx1"/>
                  </w14:solidFill>
                </w14:textFill>
              </w:rPr>
              <w:t>Derivation Path: TS 36.508 Table FFS</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lang w:eastAsia="fr-FR"/>
                <w14:textFill>
                  <w14:solidFill>
                    <w14:schemeClr w14:val="tx1"/>
                  </w14:solidFill>
                </w14:textFill>
              </w:rPr>
              <w:t>-17061001</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lang w:eastAsia="fr-FR"/>
                <w14:textFill>
                  <w14:solidFill>
                    <w14:schemeClr w14:val="tx1"/>
                  </w14:solidFill>
                </w14:textFill>
              </w:rPr>
              <w:t>27582763</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-276165</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361</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160</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-6335</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14:textFill>
                  <w14:solidFill>
                    <w14:schemeClr w14:val="tx1"/>
                  </w14:solidFill>
                </w14:textFill>
              </w:rPr>
            </w:pPr>
            <w:r>
              <w:rPr>
                <w:color w:val="000000" w:themeColor="text1"/>
                <w14:textFill>
                  <w14:solidFill>
                    <w14:schemeClr w14:val="tx1"/>
                  </w14:solidFill>
                </w14:textFill>
              </w:rPr>
              <w:t>NOTE 1: Satellite-UE elevation angle equal to 26.78 degrees, one-way delay equal to 129.74 ms and Doppler equal to -0.17 ppm.</w:t>
            </w:r>
          </w:p>
        </w:tc>
      </w:tr>
    </w:tbl>
    <w:p>
      <w:pPr>
        <w:rPr>
          <w:color w:val="000000" w:themeColor="text1"/>
          <w14:textFill>
            <w14:solidFill>
              <w14:schemeClr w14:val="tx1"/>
            </w14:solidFill>
          </w14:textFill>
        </w:rPr>
      </w:pPr>
    </w:p>
    <w:p>
      <w:pPr>
        <w:pStyle w:val="113"/>
        <w:rPr>
          <w:color w:val="000000" w:themeColor="text1"/>
          <w:lang w:val="en-US"/>
          <w14:textFill>
            <w14:solidFill>
              <w14:schemeClr w14:val="tx1"/>
            </w14:solidFill>
          </w14:textFill>
        </w:rPr>
      </w:pPr>
      <w:r>
        <w:rPr>
          <w:color w:val="000000" w:themeColor="text1"/>
          <w:lang w:eastAsia="en-GB"/>
          <w14:textFill>
            <w14:solidFill>
              <w14:schemeClr w14:val="tx1"/>
            </w14:solidFill>
          </w14:textFill>
        </w:rPr>
        <w:t>Table 6.4A.1.4.3-2b:</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SystemInformationBlockType31-eMTC NTN Ephemeris Information for NGSO (LEO-600) satellites (maximum negative Doppler)</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color w:val="000000" w:themeColor="text1"/>
                <w:szCs w:val="18"/>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FFS </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sz w:val="20"/>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14:textFill>
                  <w14:solidFill>
                    <w14:schemeClr w14:val="tx1"/>
                  </w14:solidFill>
                </w14:textFill>
              </w:rPr>
              <w:t>-2199272</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3404229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3535794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35394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-74414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94682</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14:textFill>
                  <w14:solidFill>
                    <w14:schemeClr w14:val="tx1"/>
                  </w14:solidFill>
                </w14:textFill>
              </w:rPr>
            </w:pPr>
            <w:r>
              <w:rPr>
                <w:color w:val="000000" w:themeColor="text1"/>
                <w14:textFill>
                  <w14:solidFill>
                    <w14:schemeClr w14:val="tx1"/>
                  </w14:solidFill>
                </w14:textFill>
              </w:rPr>
              <w:t>NOTE 1: Satellite-UE elevation angle equal to 169.97 degrees, one-way delay equal to 6.60 ms and Doppler equal to -22.62 ppm.</w:t>
            </w:r>
          </w:p>
        </w:tc>
      </w:tr>
    </w:tbl>
    <w:p>
      <w:pPr>
        <w:rPr>
          <w:color w:val="000000" w:themeColor="text1"/>
          <w14:textFill>
            <w14:solidFill>
              <w14:schemeClr w14:val="tx1"/>
            </w14:solidFill>
          </w14:textFill>
        </w:rPr>
      </w:pPr>
    </w:p>
    <w:p>
      <w:pPr>
        <w:pStyle w:val="113"/>
        <w:rPr>
          <w:color w:val="000000" w:themeColor="text1"/>
          <w:lang w:val="en-US"/>
          <w14:textFill>
            <w14:solidFill>
              <w14:schemeClr w14:val="tx1"/>
            </w14:solidFill>
          </w14:textFill>
        </w:rPr>
      </w:pPr>
      <w:r>
        <w:rPr>
          <w:color w:val="000000" w:themeColor="text1"/>
          <w:lang w:eastAsia="en-GB"/>
          <w14:textFill>
            <w14:solidFill>
              <w14:schemeClr w14:val="tx1"/>
            </w14:solidFill>
          </w14:textFill>
        </w:rPr>
        <w:t>Table 6.4A.1.4.3-3a:</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SystemInformationBlockType31-eMTC NTN Ephemeris Information for GSO  satellites (maximum positive Doppler/2)</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color w:val="000000" w:themeColor="text1"/>
                <w:szCs w:val="18"/>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FFS </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sz w:val="20"/>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14:textFill>
                  <w14:solidFill>
                    <w14:schemeClr w14:val="tx1"/>
                  </w14:solidFill>
                </w14:textFill>
              </w:rPr>
              <w:t>-17062164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27354696</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-3544856</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-360</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164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2993</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14:textFill>
                  <w14:solidFill>
                    <w14:schemeClr w14:val="tx1"/>
                  </w14:solidFill>
                </w14:textFill>
              </w:rPr>
            </w:pPr>
            <w:r>
              <w:rPr>
                <w:color w:val="000000" w:themeColor="text1"/>
                <w14:textFill>
                  <w14:solidFill>
                    <w14:schemeClr w14:val="tx1"/>
                  </w14:solidFill>
                </w14:textFill>
              </w:rPr>
              <w:t>NOTE 1: Satellite-UE elevation angle equal to 20.61 degrees, one-way delay equal to 131.70 ms and Doppler equal to -0.085 ppm.</w:t>
            </w:r>
          </w:p>
        </w:tc>
      </w:tr>
    </w:tbl>
    <w:p>
      <w:pPr>
        <w:rPr>
          <w:color w:val="000000" w:themeColor="text1"/>
          <w:lang w:val="en-US"/>
          <w14:textFill>
            <w14:solidFill>
              <w14:schemeClr w14:val="tx1"/>
            </w14:solidFill>
          </w14:textFill>
        </w:rPr>
      </w:pPr>
    </w:p>
    <w:p>
      <w:pPr>
        <w:pStyle w:val="113"/>
        <w:rPr>
          <w:color w:val="000000" w:themeColor="text1"/>
          <w:lang w:val="en-US"/>
          <w14:textFill>
            <w14:solidFill>
              <w14:schemeClr w14:val="tx1"/>
            </w14:solidFill>
          </w14:textFill>
        </w:rPr>
      </w:pPr>
      <w:r>
        <w:rPr>
          <w:color w:val="000000" w:themeColor="text1"/>
          <w:lang w:eastAsia="en-GB"/>
          <w14:textFill>
            <w14:solidFill>
              <w14:schemeClr w14:val="tx1"/>
            </w14:solidFill>
          </w14:textFill>
        </w:rPr>
        <w:t>Table 6.4A.1.4.3-3b:</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 – eMTC NTN Ephemeris Information for NGSO (LEO-600)  satellites (maximum positive Doppler/2)</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color w:val="000000" w:themeColor="text1"/>
                <w:szCs w:val="18"/>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FFS </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sz w:val="20"/>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14:textFill>
                  <w14:solidFill>
                    <w14:schemeClr w14:val="tx1"/>
                  </w14:solidFill>
                </w14:textFill>
              </w:rPr>
              <w:t>-2592823</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4245650</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2024520</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19359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-43278</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116553</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14:textFill>
                  <w14:solidFill>
                    <w14:schemeClr w14:val="tx1"/>
                  </w14:solidFill>
                </w14:textFill>
              </w:rPr>
            </w:pPr>
            <w:r>
              <w:rPr>
                <w:color w:val="000000" w:themeColor="text1"/>
                <w14:textFill>
                  <w14:solidFill>
                    <w14:schemeClr w14:val="tx1"/>
                  </w14:solidFill>
                </w14:textFill>
              </w:rPr>
              <w:t>NOTE 1: Satellite-UE elevation angle equal to 60.25 degrees, one-way delay equal to 2.30 ms and Doppler equal to 11.29 ppm</w:t>
            </w:r>
          </w:p>
        </w:tc>
      </w:tr>
    </w:tbl>
    <w:p>
      <w:pPr>
        <w:rPr>
          <w:color w:val="000000" w:themeColor="text1"/>
          <w14:textFill>
            <w14:solidFill>
              <w14:schemeClr w14:val="tx1"/>
            </w14:solidFill>
          </w14:textFill>
        </w:rPr>
      </w:pPr>
    </w:p>
    <w:p>
      <w:pPr>
        <w:pStyle w:val="9"/>
        <w:rPr>
          <w:color w:val="000000" w:themeColor="text1"/>
          <w14:textFill>
            <w14:solidFill>
              <w14:schemeClr w14:val="tx1"/>
            </w14:solidFill>
          </w14:textFill>
        </w:rPr>
      </w:pPr>
      <w:r>
        <w:rPr>
          <w:color w:val="000000" w:themeColor="text1"/>
          <w14:textFill>
            <w14:solidFill>
              <w14:schemeClr w14:val="tx1"/>
            </w14:solidFill>
          </w14:textFill>
        </w:rPr>
        <w:t>6.4A.1.5</w:t>
      </w:r>
      <w:r>
        <w:rPr>
          <w:color w:val="000000" w:themeColor="text1"/>
          <w14:textFill>
            <w14:solidFill>
              <w14:schemeClr w14:val="tx1"/>
            </w14:solidFill>
          </w14:textFill>
        </w:rPr>
        <w:tab/>
      </w:r>
      <w:r>
        <w:rPr>
          <w:color w:val="000000" w:themeColor="text1"/>
          <w14:textFill>
            <w14:solidFill>
              <w14:schemeClr w14:val="tx1"/>
            </w14:solidFill>
          </w14:textFill>
        </w:rPr>
        <w:t>Test requirement</w:t>
      </w:r>
    </w:p>
    <w:p>
      <w:r>
        <w:t>The 20 frequency error Δf results must fulfil the test requirement:</w:t>
      </w:r>
    </w:p>
    <w:p>
      <w:pPr>
        <w:pStyle w:val="95"/>
        <w:jc w:val="center"/>
      </w:pPr>
      <w:r>
        <w:t>|Δf| ≤ (0.1 PPM + 15 Hz) (Carrier frequency &gt;1 GHz)</w:t>
      </w:r>
    </w:p>
    <w:p>
      <w:pPr>
        <w:pStyle w:val="95"/>
        <w:jc w:val="center"/>
      </w:pPr>
      <w:r>
        <w:t>|Δf| ≤ (0.2 PPM + 15 Hz) (Carrier frequency ≤1 GHz)</w:t>
      </w:r>
    </w:p>
    <w:p/>
    <w:p>
      <w:pPr>
        <w:pStyle w:val="5"/>
      </w:pPr>
      <w:bookmarkStart w:id="687" w:name="_Toc31432"/>
      <w:bookmarkStart w:id="688" w:name="_Toc121162840"/>
      <w:bookmarkStart w:id="689" w:name="_Toc13371"/>
      <w:bookmarkStart w:id="690" w:name="_Toc29817"/>
      <w:bookmarkStart w:id="691" w:name="_Toc22805"/>
      <w:bookmarkStart w:id="692" w:name="_Toc4244"/>
      <w:bookmarkStart w:id="693" w:name="_Toc10800"/>
      <w:bookmarkStart w:id="694" w:name="_Toc23310"/>
      <w:r>
        <w:t>6.4A.2</w:t>
      </w:r>
      <w:r>
        <w:tab/>
      </w:r>
      <w:r>
        <w:t>Transmit modulation quality for category M1</w:t>
      </w:r>
      <w:bookmarkEnd w:id="682"/>
      <w:bookmarkEnd w:id="687"/>
      <w:bookmarkEnd w:id="688"/>
      <w:bookmarkEnd w:id="689"/>
      <w:bookmarkEnd w:id="690"/>
      <w:bookmarkEnd w:id="691"/>
      <w:bookmarkEnd w:id="692"/>
      <w:bookmarkEnd w:id="693"/>
      <w:bookmarkEnd w:id="694"/>
    </w:p>
    <w:p>
      <w:pPr>
        <w:pStyle w:val="6"/>
        <w:rPr>
          <w:lang w:val="en-US"/>
        </w:rPr>
      </w:pPr>
      <w:bookmarkStart w:id="695" w:name="_Toc28155"/>
      <w:bookmarkStart w:id="696" w:name="_Toc30768"/>
      <w:bookmarkStart w:id="697" w:name="_Toc30118"/>
      <w:bookmarkStart w:id="698" w:name="_Toc13367"/>
      <w:bookmarkStart w:id="699" w:name="_Toc16911"/>
      <w:r>
        <w:t>6.4A.2.1</w:t>
      </w:r>
      <w:r>
        <w:tab/>
      </w:r>
      <w:r>
        <w:t>Error Vector Magnitude (EVM) for category M1</w:t>
      </w:r>
      <w:bookmarkEnd w:id="695"/>
      <w:bookmarkEnd w:id="696"/>
      <w:bookmarkEnd w:id="697"/>
      <w:bookmarkEnd w:id="698"/>
      <w:bookmarkEnd w:id="699"/>
    </w:p>
    <w:p>
      <w:pPr>
        <w:pStyle w:val="112"/>
        <w:rPr>
          <w:lang w:val="en-US"/>
        </w:rPr>
      </w:pPr>
      <w:r>
        <w:t>Editor’s Note: Addition to applicability spec is pending.</w:t>
      </w:r>
    </w:p>
    <w:p>
      <w:pPr>
        <w:pStyle w:val="9"/>
      </w:pPr>
      <w:r>
        <w:t>6.4A.2.1.1</w:t>
      </w:r>
      <w:r>
        <w:tab/>
      </w:r>
      <w:r>
        <w:t>Test purpose</w:t>
      </w:r>
    </w:p>
    <w:p>
      <w:r>
        <w:t>Same test purpose as in TS 36.521-1[14] clause 6.5.2.1EA.1.1</w:t>
      </w:r>
    </w:p>
    <w:p>
      <w:pPr>
        <w:pStyle w:val="9"/>
      </w:pPr>
      <w:r>
        <w:t>6.4A.2.1.2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6.4A.2.1.3</w:t>
      </w:r>
      <w:r>
        <w:tab/>
      </w:r>
      <w:r>
        <w:t>Minimum conformance requirements</w:t>
      </w:r>
    </w:p>
    <w:p>
      <w:pPr>
        <w:rPr>
          <w:rFonts w:eastAsia="Osaka"/>
        </w:rPr>
      </w:pPr>
      <w:r>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Pr>
          <w:rFonts w:eastAsia="Osaka"/>
        </w:rPr>
        <w:t xml:space="preserve">6.4.2.1.3-1 </w:t>
      </w:r>
      <w:r>
        <w:t xml:space="preserve">for the parameters defined in Table </w:t>
      </w:r>
      <w:r>
        <w:rPr>
          <w:rFonts w:eastAsia="Osaka"/>
        </w:rPr>
        <w:t>6.4.2.1.3-2. For EVM evaluation purposes, all PRACH preamble formats 0-4 and all PUCCH formats 1, 1a, 1b, 2, 2a and 2b are considered to have the same EVM requirement as QPSK modulated.</w:t>
      </w:r>
    </w:p>
    <w:p>
      <w:pPr>
        <w:pStyle w:val="113"/>
      </w:pPr>
      <w:r>
        <w:t>Table 6.4.2.1.3-1: Minimum requirements for Error Vector Magnitude</w:t>
      </w:r>
    </w:p>
    <w:tbl>
      <w:tblPr>
        <w:tblStyle w:val="89"/>
        <w:tblW w:w="92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1135"/>
        <w:gridCol w:w="2406"/>
        <w:gridCol w:w="2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4"/>
            </w:pPr>
            <w:r>
              <w:rPr>
                <w:rFonts w:cs="v5.0.0"/>
              </w:rPr>
              <w:br w:type="page"/>
            </w:r>
            <w:r>
              <w:rPr>
                <w:rFonts w:cs="v5.0.0"/>
              </w:rPr>
              <w:t>Parameter</w:t>
            </w:r>
          </w:p>
        </w:tc>
        <w:tc>
          <w:tcPr>
            <w:tcW w:w="1135" w:type="dxa"/>
          </w:tcPr>
          <w:p>
            <w:pPr>
              <w:pStyle w:val="104"/>
            </w:pPr>
            <w:r>
              <w:rPr>
                <w:rFonts w:cs="v5.0.0"/>
              </w:rPr>
              <w:t>Unit</w:t>
            </w:r>
          </w:p>
        </w:tc>
        <w:tc>
          <w:tcPr>
            <w:tcW w:w="2406" w:type="dxa"/>
          </w:tcPr>
          <w:p>
            <w:pPr>
              <w:pStyle w:val="104"/>
            </w:pPr>
            <w:r>
              <w:rPr>
                <w:rFonts w:cs="v5.0.0"/>
              </w:rPr>
              <w:t>Average EVM Level</w:t>
            </w:r>
          </w:p>
        </w:tc>
        <w:tc>
          <w:tcPr>
            <w:tcW w:w="2406" w:type="dxa"/>
          </w:tcPr>
          <w:p>
            <w:pPr>
              <w:pStyle w:val="104"/>
            </w:pPr>
            <w:r>
              <w:rPr>
                <w:rFonts w:cs="v5.0.0"/>
              </w:rPr>
              <w:t>Reference Signal EVM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3"/>
            </w:pPr>
            <w:r>
              <w:rPr>
                <w:rFonts w:cs="v5.0.0"/>
              </w:rPr>
              <w:t>QPSK or BPSK</w:t>
            </w:r>
          </w:p>
        </w:tc>
        <w:tc>
          <w:tcPr>
            <w:tcW w:w="1135" w:type="dxa"/>
          </w:tcPr>
          <w:p>
            <w:pPr>
              <w:pStyle w:val="105"/>
            </w:pPr>
            <w:r>
              <w:rPr>
                <w:rFonts w:cs="v5.0.0"/>
              </w:rPr>
              <w:t>%</w:t>
            </w:r>
          </w:p>
        </w:tc>
        <w:tc>
          <w:tcPr>
            <w:tcW w:w="2406" w:type="dxa"/>
          </w:tcPr>
          <w:p>
            <w:pPr>
              <w:pStyle w:val="105"/>
            </w:pPr>
            <w:r>
              <w:rPr>
                <w:rFonts w:cs="v5.0.0"/>
              </w:rPr>
              <w:t>17.5</w:t>
            </w:r>
          </w:p>
        </w:tc>
        <w:tc>
          <w:tcPr>
            <w:tcW w:w="2406" w:type="dxa"/>
          </w:tcPr>
          <w:p>
            <w:pPr>
              <w:pStyle w:val="105"/>
            </w:pPr>
            <w:r>
              <w:rPr>
                <w:rFonts w:cs="v5.0.0"/>
              </w:rPr>
              <w:t>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3"/>
            </w:pPr>
            <w:r>
              <w:rPr>
                <w:rFonts w:cs="v5.0.0"/>
              </w:rPr>
              <w:t>16QAM</w:t>
            </w:r>
          </w:p>
        </w:tc>
        <w:tc>
          <w:tcPr>
            <w:tcW w:w="1135" w:type="dxa"/>
          </w:tcPr>
          <w:p>
            <w:pPr>
              <w:pStyle w:val="105"/>
            </w:pPr>
            <w:r>
              <w:rPr>
                <w:rFonts w:cs="v5.0.0"/>
              </w:rPr>
              <w:t>%</w:t>
            </w:r>
          </w:p>
        </w:tc>
        <w:tc>
          <w:tcPr>
            <w:tcW w:w="2406" w:type="dxa"/>
          </w:tcPr>
          <w:p>
            <w:pPr>
              <w:pStyle w:val="105"/>
            </w:pPr>
            <w:r>
              <w:rPr>
                <w:rFonts w:cs="v5.0.0"/>
              </w:rPr>
              <w:t>12.5</w:t>
            </w:r>
          </w:p>
        </w:tc>
        <w:tc>
          <w:tcPr>
            <w:tcW w:w="2406" w:type="dxa"/>
          </w:tcPr>
          <w:p>
            <w:pPr>
              <w:pStyle w:val="105"/>
            </w:pPr>
            <w:r>
              <w:rPr>
                <w:rFonts w:cs="v5.0.0"/>
              </w:rPr>
              <w:t>12.5</w:t>
            </w:r>
          </w:p>
        </w:tc>
      </w:tr>
    </w:tbl>
    <w:p/>
    <w:p>
      <w:pPr>
        <w:pStyle w:val="113"/>
      </w:pPr>
      <w:r>
        <w:t>Table 6.4.2.1.3-2: Parameters for Error Vector Magnitude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66"/>
        <w:gridCol w:w="1135"/>
        <w:gridCol w:w="2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4"/>
            </w:pPr>
            <w:r>
              <w:br w:type="page"/>
            </w:r>
            <w:r>
              <w:t>Parameter</w:t>
            </w:r>
          </w:p>
        </w:tc>
        <w:tc>
          <w:tcPr>
            <w:tcW w:w="1135" w:type="dxa"/>
          </w:tcPr>
          <w:p>
            <w:pPr>
              <w:pStyle w:val="104"/>
            </w:pPr>
            <w:r>
              <w:t>Unit</w:t>
            </w:r>
          </w:p>
        </w:tc>
        <w:tc>
          <w:tcPr>
            <w:tcW w:w="2630" w:type="dxa"/>
          </w:tcPr>
          <w:p>
            <w:pPr>
              <w:pStyle w:val="104"/>
            </w:pPr>
            <w:r>
              <w:t>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3"/>
            </w:pPr>
            <w:r>
              <w:rPr>
                <w:rFonts w:cs="v5.0.0"/>
              </w:rPr>
              <w:t>UE Output Power</w:t>
            </w:r>
          </w:p>
        </w:tc>
        <w:tc>
          <w:tcPr>
            <w:tcW w:w="1135" w:type="dxa"/>
          </w:tcPr>
          <w:p>
            <w:pPr>
              <w:pStyle w:val="105"/>
            </w:pPr>
            <w:r>
              <w:t>dBm</w:t>
            </w:r>
          </w:p>
        </w:tc>
        <w:tc>
          <w:tcPr>
            <w:tcW w:w="2630" w:type="dxa"/>
          </w:tcPr>
          <w:p>
            <w:pPr>
              <w:pStyle w:val="105"/>
            </w:pPr>
            <w:r>
              <w:rPr/>
              <w:sym w:font="Symbol" w:char="F0B3"/>
            </w:r>
            <w:r>
              <w:t xml:space="preserve"> -40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3"/>
            </w:pPr>
            <w:r>
              <w:rPr>
                <w:rFonts w:cs="v5.0.0"/>
              </w:rPr>
              <w:t>Operating conditions</w:t>
            </w:r>
          </w:p>
        </w:tc>
        <w:tc>
          <w:tcPr>
            <w:tcW w:w="1135" w:type="dxa"/>
          </w:tcPr>
          <w:p>
            <w:pPr>
              <w:pStyle w:val="105"/>
            </w:pPr>
          </w:p>
        </w:tc>
        <w:tc>
          <w:tcPr>
            <w:tcW w:w="2630" w:type="dxa"/>
          </w:tcPr>
          <w:p>
            <w:pPr>
              <w:pStyle w:val="105"/>
            </w:pPr>
            <w:r>
              <w:t>Normal conditions</w:t>
            </w:r>
          </w:p>
        </w:tc>
      </w:tr>
    </w:tbl>
    <w:p>
      <w:pPr>
        <w:rPr>
          <w:rFonts w:eastAsia="PMingLiU"/>
          <w:lang w:eastAsia="zh-TW"/>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6.4A.2.</w:t>
      </w:r>
    </w:p>
    <w:p>
      <w:pPr>
        <w:pStyle w:val="9"/>
      </w:pPr>
      <w:r>
        <w:t>6.4A.2.1.4</w:t>
      </w:r>
      <w:r>
        <w:tab/>
      </w:r>
      <w:r>
        <w:t>Test description</w:t>
      </w:r>
    </w:p>
    <w:p>
      <w:pPr>
        <w:pStyle w:val="9"/>
      </w:pPr>
      <w:r>
        <w:t>6.4A.2.1.4.1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pPr>
        <w:pStyle w:val="113"/>
      </w:pPr>
      <w:r>
        <w:t>Table 6.4A.2.1.4.1-1: Test Configuration Table for PUSCH</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3495"/>
        <w:gridCol w:w="1165"/>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4"/>
            <w:shd w:val="clear" w:color="auto" w:fill="FFFFFF"/>
          </w:tcPr>
          <w:p>
            <w:pPr>
              <w:pStyle w:val="104"/>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gridSpan w:val="2"/>
            <w:shd w:val="clear" w:color="auto" w:fill="FFFFFF"/>
          </w:tcPr>
          <w:p>
            <w:pPr>
              <w:pStyle w:val="105"/>
            </w:pPr>
            <w:r>
              <w:rPr>
                <w:rFonts w:cs="v5.0.0"/>
              </w:rPr>
              <w:t>Test Environment</w:t>
            </w:r>
          </w:p>
          <w:p>
            <w:pPr>
              <w:pStyle w:val="104"/>
            </w:pPr>
            <w:r>
              <w:rPr>
                <w:rFonts w:cs="v5.0.0"/>
                <w:b w:val="0"/>
              </w:rPr>
              <w:t>(as specified in TS 36.508 [12] subclause 4.1)</w:t>
            </w:r>
          </w:p>
        </w:tc>
        <w:tc>
          <w:tcPr>
            <w:tcW w:w="3495" w:type="dxa"/>
            <w:gridSpan w:val="2"/>
            <w:shd w:val="clear" w:color="auto" w:fill="FFFFFF"/>
            <w:vAlign w:val="center"/>
          </w:tcPr>
          <w:p>
            <w:pPr>
              <w:pStyle w:val="104"/>
            </w:pPr>
            <w: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gridSpan w:val="2"/>
            <w:shd w:val="clear" w:color="auto" w:fill="FFFFFF"/>
          </w:tcPr>
          <w:p>
            <w:pPr>
              <w:pStyle w:val="104"/>
            </w:pPr>
            <w:r>
              <w:rPr>
                <w:rFonts w:cs="v5.0.0"/>
                <w:b w:val="0"/>
              </w:rPr>
              <w:t>Test Frequencies</w:t>
            </w:r>
          </w:p>
          <w:p>
            <w:pPr>
              <w:pStyle w:val="104"/>
            </w:pPr>
            <w:r>
              <w:t>(as specified in TS36.508 [12] subclause 4.3.1)</w:t>
            </w:r>
          </w:p>
        </w:tc>
        <w:tc>
          <w:tcPr>
            <w:tcW w:w="3495" w:type="dxa"/>
            <w:gridSpan w:val="2"/>
            <w:shd w:val="clear" w:color="auto" w:fill="FFFFFF"/>
            <w:vAlign w:val="center"/>
          </w:tcPr>
          <w:p>
            <w:pPr>
              <w:pStyle w:val="104"/>
            </w:pPr>
            <w:r>
              <w:rPr>
                <w:b w:val="0"/>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gridSpan w:val="2"/>
            <w:shd w:val="clear" w:color="auto" w:fill="FFFFFF"/>
          </w:tcPr>
          <w:p>
            <w:pPr>
              <w:pStyle w:val="104"/>
            </w:pPr>
            <w:r>
              <w:rPr>
                <w:rFonts w:cs="v5.0.0"/>
                <w:b w:val="0"/>
              </w:rPr>
              <w:t>Test Channel Bandwidths</w:t>
            </w:r>
          </w:p>
          <w:p>
            <w:pPr>
              <w:pStyle w:val="104"/>
            </w:pPr>
            <w:r>
              <w:t>(as specified in TS 36.508 [12] subclause 4.3.1)</w:t>
            </w:r>
          </w:p>
        </w:tc>
        <w:tc>
          <w:tcPr>
            <w:tcW w:w="3495" w:type="dxa"/>
            <w:gridSpan w:val="2"/>
            <w:shd w:val="clear" w:color="auto" w:fill="FFFFFF"/>
            <w:vAlign w:val="center"/>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4"/>
            <w:shd w:val="clear" w:color="auto" w:fill="FFFFFF"/>
          </w:tcPr>
          <w:p>
            <w:pPr>
              <w:pStyle w:val="104"/>
            </w:pPr>
            <w: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shd w:val="clear" w:color="auto" w:fill="FFFFFF"/>
          </w:tcPr>
          <w:p>
            <w:pPr>
              <w:pStyle w:val="104"/>
            </w:pPr>
          </w:p>
        </w:tc>
        <w:tc>
          <w:tcPr>
            <w:tcW w:w="3495" w:type="dxa"/>
            <w:shd w:val="clear" w:color="auto" w:fill="FFFFFF"/>
          </w:tcPr>
          <w:p>
            <w:pPr>
              <w:pStyle w:val="104"/>
            </w:pPr>
            <w:r>
              <w:t>Downlink Configuration</w:t>
            </w:r>
          </w:p>
        </w:tc>
        <w:tc>
          <w:tcPr>
            <w:tcW w:w="3495" w:type="dxa"/>
            <w:gridSpan w:val="2"/>
            <w:shd w:val="clear" w:color="auto" w:fill="FFFFFF"/>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shd w:val="clear" w:color="auto" w:fill="FFFFFF"/>
          </w:tcPr>
          <w:p>
            <w:pPr>
              <w:pStyle w:val="105"/>
            </w:pPr>
            <w:r>
              <w:rPr>
                <w:rFonts w:cs="v5.0.0"/>
              </w:rPr>
              <w:t>Ch BW</w:t>
            </w:r>
          </w:p>
        </w:tc>
        <w:tc>
          <w:tcPr>
            <w:tcW w:w="3495" w:type="dxa"/>
            <w:vMerge w:val="restart"/>
            <w:shd w:val="clear" w:color="auto" w:fill="FFFFFF"/>
          </w:tcPr>
          <w:p>
            <w:pPr>
              <w:pStyle w:val="105"/>
            </w:pPr>
            <w:r>
              <w:rPr>
                <w:rFonts w:cs="Arial"/>
              </w:rPr>
              <w:t>N/A for PUSCH EVM testing</w:t>
            </w:r>
          </w:p>
        </w:tc>
        <w:tc>
          <w:tcPr>
            <w:tcW w:w="1165" w:type="dxa"/>
            <w:shd w:val="clear" w:color="auto" w:fill="FFFFFF"/>
          </w:tcPr>
          <w:p>
            <w:pPr>
              <w:pStyle w:val="105"/>
            </w:pPr>
            <w:r>
              <w:rPr>
                <w:rFonts w:cs="v5.0.0"/>
              </w:rPr>
              <w:t>Modulation</w:t>
            </w:r>
          </w:p>
        </w:tc>
        <w:tc>
          <w:tcPr>
            <w:tcW w:w="2330" w:type="dxa"/>
            <w:shd w:val="clear" w:color="auto" w:fill="FFFFFF"/>
          </w:tcPr>
          <w:p>
            <w:pPr>
              <w:pStyle w:val="105"/>
            </w:pPr>
            <w:r>
              <w:rPr>
                <w:rFonts w:cs="v5.0.0"/>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shd w:val="clear" w:color="auto" w:fill="FFFFFF"/>
          </w:tcPr>
          <w:p>
            <w:pPr>
              <w:pStyle w:val="104"/>
            </w:pPr>
          </w:p>
        </w:tc>
        <w:tc>
          <w:tcPr>
            <w:tcW w:w="3495" w:type="dxa"/>
            <w:vMerge w:val="continue"/>
            <w:shd w:val="clear" w:color="auto" w:fill="FFFFFF"/>
          </w:tcPr>
          <w:p/>
        </w:tc>
        <w:tc>
          <w:tcPr>
            <w:tcW w:w="1165" w:type="dxa"/>
            <w:shd w:val="clear" w:color="auto" w:fill="FFFFFF"/>
          </w:tcPr>
          <w:p>
            <w:pPr>
              <w:pStyle w:val="104"/>
            </w:pPr>
          </w:p>
        </w:tc>
        <w:tc>
          <w:tcPr>
            <w:tcW w:w="2330" w:type="dxa"/>
            <w:shd w:val="clear" w:color="auto" w:fill="FFFFFF"/>
          </w:tcPr>
          <w:p>
            <w:pPr>
              <w:pStyle w:val="105"/>
            </w:pPr>
            <w:r>
              <w:rPr>
                <w:rFonts w:cs="v5.0.0"/>
              </w:rPr>
              <w:t>FDD</w:t>
            </w:r>
            <w:r>
              <w:t xml:space="preserve">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shd w:val="clear" w:color="auto" w:fill="FFFFFF"/>
          </w:tcPr>
          <w:p>
            <w:pPr>
              <w:pStyle w:val="105"/>
            </w:pPr>
            <w:r>
              <w:t>1.4MHz</w:t>
            </w:r>
          </w:p>
        </w:tc>
        <w:tc>
          <w:tcPr>
            <w:tcW w:w="3495" w:type="dxa"/>
            <w:vMerge w:val="continue"/>
            <w:shd w:val="clear" w:color="auto" w:fill="FFFFFF"/>
          </w:tcPr>
          <w:p>
            <w:pPr>
              <w:rPr>
                <w:rFonts w:cs="v5.0.0"/>
              </w:rPr>
            </w:pPr>
          </w:p>
        </w:tc>
        <w:tc>
          <w:tcPr>
            <w:tcW w:w="1165" w:type="dxa"/>
            <w:shd w:val="clear" w:color="auto" w:fill="FFFFFF"/>
          </w:tcPr>
          <w:p>
            <w:pPr>
              <w:pStyle w:val="105"/>
            </w:pPr>
            <w:r>
              <w:t>QPSK</w:t>
            </w:r>
          </w:p>
        </w:tc>
        <w:tc>
          <w:tcPr>
            <w:tcW w:w="2330" w:type="dxa"/>
            <w:shd w:val="clear" w:color="auto" w:fill="FFFFFF"/>
          </w:tcPr>
          <w:p>
            <w:pPr>
              <w:pStyle w:val="105"/>
            </w:pPr>
            <w:r>
              <w:rPr>
                <w:rFonts w:cs="v5.0.0"/>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left w:val="single" w:color="auto" w:sz="4" w:space="0"/>
            </w:tcBorders>
            <w:shd w:val="clear" w:color="auto" w:fill="FFFFFF"/>
          </w:tcPr>
          <w:p>
            <w:pPr>
              <w:pStyle w:val="105"/>
            </w:pPr>
            <w:r>
              <w:t>1.4MHz</w:t>
            </w:r>
          </w:p>
        </w:tc>
        <w:tc>
          <w:tcPr>
            <w:tcW w:w="3495" w:type="dxa"/>
            <w:vMerge w:val="continue"/>
            <w:shd w:val="clear" w:color="auto" w:fill="FFFFFF"/>
          </w:tcPr>
          <w:p>
            <w:pPr>
              <w:rPr>
                <w:rFonts w:cs="v5.0.0"/>
              </w:rPr>
            </w:pPr>
          </w:p>
        </w:tc>
        <w:tc>
          <w:tcPr>
            <w:tcW w:w="1165" w:type="dxa"/>
            <w:shd w:val="clear" w:color="auto" w:fill="FFFFFF"/>
          </w:tcPr>
          <w:p>
            <w:pPr>
              <w:pStyle w:val="105"/>
            </w:pPr>
            <w:r>
              <w:t>QPSK</w:t>
            </w:r>
          </w:p>
        </w:tc>
        <w:tc>
          <w:tcPr>
            <w:tcW w:w="2330" w:type="dxa"/>
            <w:shd w:val="clear" w:color="auto" w:fill="FFFFFF"/>
          </w:tcPr>
          <w:p>
            <w:pPr>
              <w:pStyle w:val="105"/>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left w:val="single" w:color="auto" w:sz="4" w:space="0"/>
            </w:tcBorders>
            <w:shd w:val="clear" w:color="auto" w:fill="FFFFFF"/>
          </w:tcPr>
          <w:p>
            <w:pPr>
              <w:pStyle w:val="105"/>
            </w:pPr>
            <w:r>
              <w:t>1.4MHz</w:t>
            </w:r>
          </w:p>
        </w:tc>
        <w:tc>
          <w:tcPr>
            <w:tcW w:w="3495" w:type="dxa"/>
            <w:vMerge w:val="continue"/>
            <w:shd w:val="clear" w:color="auto" w:fill="FFFFFF"/>
          </w:tcPr>
          <w:p>
            <w:pPr>
              <w:rPr>
                <w:rFonts w:cs="v5.0.0"/>
              </w:rPr>
            </w:pPr>
          </w:p>
        </w:tc>
        <w:tc>
          <w:tcPr>
            <w:tcW w:w="1165" w:type="dxa"/>
            <w:shd w:val="clear" w:color="auto" w:fill="FFFFFF"/>
          </w:tcPr>
          <w:p>
            <w:pPr>
              <w:pStyle w:val="105"/>
            </w:pPr>
            <w:r>
              <w:t>16QAM</w:t>
            </w:r>
          </w:p>
        </w:tc>
        <w:tc>
          <w:tcPr>
            <w:tcW w:w="2330" w:type="dxa"/>
            <w:shd w:val="clear" w:color="auto" w:fill="FFFFFF"/>
          </w:tcPr>
          <w:p>
            <w:pPr>
              <w:pStyle w:val="105"/>
            </w:pPr>
            <w:r>
              <w:rPr>
                <w:rFonts w:cs="v5.0.0"/>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left w:val="single" w:color="auto" w:sz="4" w:space="0"/>
            </w:tcBorders>
            <w:shd w:val="clear" w:color="auto" w:fill="FFFFFF"/>
          </w:tcPr>
          <w:p>
            <w:pPr>
              <w:pStyle w:val="105"/>
            </w:pPr>
            <w:r>
              <w:t>1.4MHz</w:t>
            </w:r>
          </w:p>
        </w:tc>
        <w:tc>
          <w:tcPr>
            <w:tcW w:w="3495" w:type="dxa"/>
            <w:vMerge w:val="continue"/>
            <w:shd w:val="clear" w:color="auto" w:fill="FFFFFF"/>
          </w:tcPr>
          <w:p>
            <w:pPr>
              <w:rPr>
                <w:rFonts w:cs="v5.0.0"/>
              </w:rPr>
            </w:pPr>
          </w:p>
        </w:tc>
        <w:tc>
          <w:tcPr>
            <w:tcW w:w="1165" w:type="dxa"/>
            <w:shd w:val="clear" w:color="auto" w:fill="FFFFFF"/>
          </w:tcPr>
          <w:p>
            <w:pPr>
              <w:pStyle w:val="105"/>
            </w:pPr>
            <w:r>
              <w:t>16QAM</w:t>
            </w:r>
          </w:p>
        </w:tc>
        <w:tc>
          <w:tcPr>
            <w:tcW w:w="2330" w:type="dxa"/>
            <w:shd w:val="clear" w:color="auto" w:fill="FFFFFF"/>
          </w:tcPr>
          <w:p>
            <w:pPr>
              <w:pStyle w:val="105"/>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4"/>
            <w:shd w:val="clear" w:color="auto" w:fill="FFFFFF"/>
          </w:tcPr>
          <w:p>
            <w:pPr>
              <w:pStyle w:val="118"/>
            </w:pPr>
            <w:r>
              <w:t>Note 1:</w:t>
            </w:r>
            <w:r>
              <w:tab/>
            </w:r>
            <w:r>
              <w:t>For partial RB allocation, the RB</w:t>
            </w:r>
            <w:r>
              <w:rPr>
                <w:vertAlign w:val="subscript"/>
              </w:rPr>
              <w:t>start</w:t>
            </w:r>
            <w:r>
              <w:t xml:space="preserve"> shall be RB #0 and RB# (max+1 - RB allocation) of the channel bandwidth.</w:t>
            </w:r>
          </w:p>
        </w:tc>
      </w:tr>
    </w:tbl>
    <w:p/>
    <w:p>
      <w:pPr>
        <w:pStyle w:val="113"/>
      </w:pPr>
      <w:r>
        <w:t>Table 6.4A.2.1.4.1-2: Test Configuration Table for PUCCH</w:t>
      </w:r>
    </w:p>
    <w:tbl>
      <w:tblPr>
        <w:tblStyle w:val="89"/>
        <w:tblW w:w="82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165"/>
        <w:gridCol w:w="1165"/>
        <w:gridCol w:w="2330"/>
        <w:gridCol w:w="2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35" w:type="dxa"/>
            <w:gridSpan w:val="5"/>
            <w:tcBorders>
              <w:top w:val="single" w:color="auto" w:sz="4" w:space="0"/>
              <w:left w:val="single" w:color="auto" w:sz="4" w:space="0"/>
              <w:bottom w:val="single" w:color="auto" w:sz="4" w:space="0"/>
              <w:right w:val="single" w:color="auto" w:sz="4" w:space="0"/>
            </w:tcBorders>
          </w:tcPr>
          <w:p>
            <w:pPr>
              <w:pStyle w:val="104"/>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Borders>
              <w:top w:val="single" w:color="auto" w:sz="4" w:space="0"/>
              <w:left w:val="single" w:color="auto" w:sz="4" w:space="0"/>
              <w:bottom w:val="single" w:color="auto" w:sz="4" w:space="0"/>
              <w:right w:val="single" w:color="auto" w:sz="4" w:space="0"/>
            </w:tcBorders>
          </w:tcPr>
          <w:p>
            <w:pPr>
              <w:pStyle w:val="105"/>
            </w:pPr>
            <w:r>
              <w:rPr>
                <w:rFonts w:cs="v5.0.0"/>
              </w:rPr>
              <w:t>Test Environment as specified in</w:t>
            </w:r>
          </w:p>
          <w:p>
            <w:pPr>
              <w:pStyle w:val="105"/>
            </w:pPr>
            <w:r>
              <w:t>TS 36.508[12] subclause 4.1</w:t>
            </w:r>
          </w:p>
        </w:tc>
        <w:tc>
          <w:tcPr>
            <w:tcW w:w="4740" w:type="dxa"/>
            <w:gridSpan w:val="2"/>
            <w:tcBorders>
              <w:top w:val="single" w:color="auto" w:sz="4" w:space="0"/>
              <w:left w:val="single" w:color="auto" w:sz="4" w:space="0"/>
              <w:bottom w:val="single" w:color="auto" w:sz="4" w:space="0"/>
              <w:right w:val="single" w:color="auto" w:sz="4" w:space="0"/>
            </w:tcBorders>
          </w:tcPr>
          <w:p>
            <w:pPr>
              <w:pStyle w:val="104"/>
            </w:pPr>
            <w:r>
              <w:rPr>
                <w:rFonts w:cs="v5.0.0"/>
                <w:b w:val="0"/>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Borders>
              <w:top w:val="single" w:color="auto" w:sz="4" w:space="0"/>
              <w:left w:val="single" w:color="auto" w:sz="4" w:space="0"/>
              <w:bottom w:val="single" w:color="auto" w:sz="4" w:space="0"/>
              <w:right w:val="single" w:color="auto" w:sz="4" w:space="0"/>
            </w:tcBorders>
          </w:tcPr>
          <w:p>
            <w:pPr>
              <w:pStyle w:val="104"/>
            </w:pPr>
            <w:r>
              <w:rPr>
                <w:rFonts w:cs="v5.0.0"/>
                <w:b w:val="0"/>
              </w:rPr>
              <w:t>Test Frequencies as specified in</w:t>
            </w:r>
          </w:p>
          <w:p>
            <w:pPr>
              <w:pStyle w:val="104"/>
              <w:rPr>
                <w:b w:val="0"/>
              </w:rPr>
            </w:pPr>
            <w:r>
              <w:t>TS36.508 [12] subclause 4.3.1</w:t>
            </w:r>
          </w:p>
        </w:tc>
        <w:tc>
          <w:tcPr>
            <w:tcW w:w="4740" w:type="dxa"/>
            <w:gridSpan w:val="2"/>
            <w:tcBorders>
              <w:top w:val="single" w:color="auto" w:sz="4" w:space="0"/>
              <w:left w:val="single" w:color="auto" w:sz="4" w:space="0"/>
              <w:bottom w:val="single" w:color="auto" w:sz="4" w:space="0"/>
              <w:right w:val="single" w:color="auto" w:sz="4" w:space="0"/>
            </w:tcBorders>
          </w:tcPr>
          <w:p>
            <w:pPr>
              <w:pStyle w:val="104"/>
            </w:pPr>
            <w:r>
              <w:rPr>
                <w:b w:val="0"/>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Borders>
              <w:top w:val="single" w:color="auto" w:sz="4" w:space="0"/>
              <w:left w:val="single" w:color="auto" w:sz="4" w:space="0"/>
              <w:bottom w:val="single" w:color="auto" w:sz="4" w:space="0"/>
              <w:right w:val="single" w:color="auto" w:sz="4" w:space="0"/>
            </w:tcBorders>
          </w:tcPr>
          <w:p>
            <w:pPr>
              <w:pStyle w:val="104"/>
            </w:pPr>
            <w:r>
              <w:rPr>
                <w:rFonts w:cs="v5.0.0"/>
                <w:b w:val="0"/>
              </w:rPr>
              <w:t>Test Channel Bandwidths</w:t>
            </w:r>
            <w:r>
              <w:rPr>
                <w:rFonts w:cs="v5.0.0"/>
              </w:rPr>
              <w:t xml:space="preserve"> </w:t>
            </w:r>
            <w:r>
              <w:rPr>
                <w:rFonts w:cs="v5.0.0"/>
                <w:b w:val="0"/>
              </w:rPr>
              <w:t>as specified in</w:t>
            </w:r>
          </w:p>
          <w:p>
            <w:pPr>
              <w:pStyle w:val="104"/>
              <w:rPr>
                <w:b w:val="0"/>
              </w:rPr>
            </w:pPr>
            <w:r>
              <w:t>TS 36.508 [12] subclause 4.3.1</w:t>
            </w:r>
          </w:p>
        </w:tc>
        <w:tc>
          <w:tcPr>
            <w:tcW w:w="4740" w:type="dxa"/>
            <w:gridSpan w:val="2"/>
            <w:tcBorders>
              <w:top w:val="single" w:color="auto" w:sz="4" w:space="0"/>
              <w:left w:val="single" w:color="auto" w:sz="4" w:space="0"/>
              <w:bottom w:val="single" w:color="auto" w:sz="4" w:space="0"/>
              <w:right w:val="single" w:color="auto" w:sz="4" w:space="0"/>
            </w:tcBorders>
          </w:tcPr>
          <w:p>
            <w:pPr>
              <w:pStyle w:val="104"/>
            </w:pPr>
            <w:r>
              <w:rPr>
                <w:b w:val="0"/>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35" w:type="dxa"/>
            <w:gridSpan w:val="5"/>
            <w:tcBorders>
              <w:top w:val="single" w:color="auto" w:sz="4" w:space="0"/>
              <w:left w:val="single" w:color="auto" w:sz="4" w:space="0"/>
              <w:bottom w:val="single" w:color="auto" w:sz="4" w:space="0"/>
              <w:right w:val="single" w:color="auto" w:sz="4" w:space="0"/>
            </w:tcBorders>
          </w:tcPr>
          <w:p>
            <w:pPr>
              <w:pStyle w:val="104"/>
            </w:pPr>
            <w: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p>
        </w:tc>
        <w:tc>
          <w:tcPr>
            <w:tcW w:w="4660" w:type="dxa"/>
            <w:gridSpan w:val="3"/>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2410" w:type="dxa"/>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rPr>
                <w:rFonts w:cs="v5.0.0"/>
              </w:rPr>
              <w:t>Ch BW</w:t>
            </w:r>
          </w:p>
        </w:tc>
        <w:tc>
          <w:tcPr>
            <w:tcW w:w="1165" w:type="dxa"/>
            <w:tcBorders>
              <w:top w:val="single" w:color="auto" w:sz="4" w:space="0"/>
              <w:left w:val="single" w:color="auto" w:sz="4" w:space="0"/>
              <w:bottom w:val="single" w:color="auto" w:sz="4" w:space="0"/>
              <w:right w:val="single" w:color="auto" w:sz="4" w:space="0"/>
            </w:tcBorders>
          </w:tcPr>
          <w:p>
            <w:pPr>
              <w:pStyle w:val="105"/>
            </w:pPr>
            <w:r>
              <w:rPr>
                <w:rFonts w:cs="v5.0.0"/>
              </w:rPr>
              <w:t>Mod'n</w:t>
            </w:r>
          </w:p>
        </w:tc>
        <w:tc>
          <w:tcPr>
            <w:tcW w:w="3495" w:type="dxa"/>
            <w:gridSpan w:val="2"/>
            <w:tcBorders>
              <w:top w:val="single" w:color="auto" w:sz="4" w:space="0"/>
              <w:left w:val="single" w:color="auto" w:sz="4" w:space="0"/>
              <w:bottom w:val="single" w:color="auto" w:sz="4" w:space="0"/>
              <w:right w:val="single" w:color="auto" w:sz="4" w:space="0"/>
            </w:tcBorders>
          </w:tcPr>
          <w:p>
            <w:pPr>
              <w:pStyle w:val="103"/>
              <w:jc w:val="center"/>
            </w:pPr>
            <w:r>
              <w:rPr>
                <w:rFonts w:cs="v5.0.0"/>
              </w:rPr>
              <w:t>RB allocation</w:t>
            </w:r>
          </w:p>
        </w:tc>
        <w:tc>
          <w:tcPr>
            <w:tcW w:w="2410" w:type="dxa"/>
            <w:vMerge w:val="restart"/>
            <w:tcBorders>
              <w:top w:val="single" w:color="auto" w:sz="4" w:space="0"/>
              <w:left w:val="single" w:color="auto" w:sz="4" w:space="0"/>
              <w:bottom w:val="single" w:color="auto" w:sz="4" w:space="0"/>
              <w:right w:val="single" w:color="auto" w:sz="4" w:space="0"/>
            </w:tcBorders>
          </w:tcPr>
          <w:p>
            <w:pPr>
              <w:pStyle w:val="105"/>
            </w:pPr>
            <w:r>
              <w:rPr>
                <w:bCs/>
              </w:rPr>
              <w:t xml:space="preserve">FDD and HD-FDD: PUCCH format = </w:t>
            </w:r>
            <w:r>
              <w:t>Format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p>
        </w:tc>
        <w:tc>
          <w:tcPr>
            <w:tcW w:w="1165" w:type="dxa"/>
            <w:tcBorders>
              <w:top w:val="single" w:color="auto" w:sz="4" w:space="0"/>
              <w:left w:val="single" w:color="auto" w:sz="4" w:space="0"/>
              <w:bottom w:val="single" w:color="auto" w:sz="4" w:space="0"/>
              <w:right w:val="single" w:color="auto" w:sz="4" w:space="0"/>
            </w:tcBorders>
          </w:tcPr>
          <w:p>
            <w:pPr>
              <w:pStyle w:val="105"/>
            </w:pPr>
          </w:p>
        </w:tc>
        <w:tc>
          <w:tcPr>
            <w:tcW w:w="3495" w:type="dxa"/>
            <w:gridSpan w:val="2"/>
            <w:tcBorders>
              <w:top w:val="single" w:color="auto" w:sz="4" w:space="0"/>
              <w:left w:val="single" w:color="auto" w:sz="4" w:space="0"/>
              <w:bottom w:val="single" w:color="auto" w:sz="4" w:space="0"/>
              <w:right w:val="single" w:color="auto" w:sz="4" w:space="0"/>
            </w:tcBorders>
          </w:tcPr>
          <w:p>
            <w:pPr>
              <w:pStyle w:val="105"/>
            </w:pPr>
            <w:r>
              <w:t>FDD</w:t>
            </w:r>
          </w:p>
        </w:tc>
        <w:tc>
          <w:tcPr>
            <w:tcW w:w="241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1.4MHz</w:t>
            </w:r>
          </w:p>
        </w:tc>
        <w:tc>
          <w:tcPr>
            <w:tcW w:w="1165" w:type="dxa"/>
            <w:tcBorders>
              <w:top w:val="single" w:color="auto" w:sz="4" w:space="0"/>
              <w:left w:val="single" w:color="auto" w:sz="4" w:space="0"/>
              <w:bottom w:val="single" w:color="auto" w:sz="4" w:space="0"/>
              <w:right w:val="single" w:color="auto" w:sz="4" w:space="0"/>
            </w:tcBorders>
          </w:tcPr>
          <w:p>
            <w:pPr>
              <w:pStyle w:val="105"/>
            </w:pPr>
            <w:r>
              <w:t>QPSK</w:t>
            </w:r>
          </w:p>
        </w:tc>
        <w:tc>
          <w:tcPr>
            <w:tcW w:w="3495" w:type="dxa"/>
            <w:gridSpan w:val="2"/>
            <w:tcBorders>
              <w:top w:val="single" w:color="auto" w:sz="4" w:space="0"/>
              <w:left w:val="single" w:color="auto" w:sz="4" w:space="0"/>
              <w:bottom w:val="single" w:color="auto" w:sz="4" w:space="0"/>
              <w:right w:val="single" w:color="auto" w:sz="4" w:space="0"/>
            </w:tcBorders>
          </w:tcPr>
          <w:p>
            <w:pPr>
              <w:pStyle w:val="105"/>
            </w:pPr>
            <w:r>
              <w:t>3</w:t>
            </w:r>
          </w:p>
        </w:tc>
        <w:tc>
          <w:tcPr>
            <w:tcW w:w="241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35" w:type="dxa"/>
            <w:gridSpan w:val="5"/>
            <w:tcBorders>
              <w:top w:val="single" w:color="auto" w:sz="4" w:space="0"/>
              <w:left w:val="single" w:color="auto" w:sz="4" w:space="0"/>
              <w:bottom w:val="single" w:color="auto" w:sz="4" w:space="0"/>
              <w:right w:val="single" w:color="auto" w:sz="4" w:space="0"/>
            </w:tcBorders>
          </w:tcPr>
          <w:p>
            <w:pPr>
              <w:pStyle w:val="118"/>
            </w:pPr>
            <w:r>
              <w:t>Note 1:</w:t>
            </w:r>
            <w:r>
              <w:tab/>
            </w:r>
            <w:r>
              <w:t>The RB</w:t>
            </w:r>
            <w:r>
              <w:rPr>
                <w:vertAlign w:val="subscript"/>
              </w:rPr>
              <w:t>start</w:t>
            </w:r>
            <w:r>
              <w:t xml:space="preserve"> of partial RB allocation can be either RB#0 or RB# (6 - RB allocation) of the narrowband.</w:t>
            </w:r>
          </w:p>
        </w:tc>
      </w:tr>
    </w:tbl>
    <w:p/>
    <w:p>
      <w:pPr>
        <w:pStyle w:val="113"/>
      </w:pPr>
      <w:r>
        <w:t>Table 6.4A.2.1.4.1-3: Test Configuration for PRACH</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2"/>
          </w:tcPr>
          <w:p>
            <w:pPr>
              <w:pStyle w:val="104"/>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Test Environment</w:t>
            </w:r>
          </w:p>
          <w:p>
            <w:pPr>
              <w:pStyle w:val="103"/>
              <w:rPr>
                <w:bCs/>
              </w:rPr>
            </w:pPr>
            <w:r>
              <w:t>(as specified in TS 36.508 [12] subclause 4.1)</w:t>
            </w:r>
          </w:p>
        </w:tc>
        <w:tc>
          <w:tcPr>
            <w:tcW w:w="3495" w:type="dxa"/>
            <w:vAlign w:val="center"/>
          </w:tcPr>
          <w:p>
            <w:pPr>
              <w:pStyle w:val="105"/>
            </w:pPr>
            <w: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Frequencies</w:t>
            </w:r>
          </w:p>
          <w:p>
            <w:pPr>
              <w:pStyle w:val="103"/>
            </w:pPr>
            <w:r>
              <w:t>(as specified in TS36.508 [12] subclause 4.3.1)</w:t>
            </w:r>
          </w:p>
        </w:tc>
        <w:tc>
          <w:tcPr>
            <w:tcW w:w="3495" w:type="dxa"/>
            <w:vAlign w:val="center"/>
          </w:tcPr>
          <w:p>
            <w:pPr>
              <w:pStyle w:val="105"/>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Channel Bandwidths</w:t>
            </w:r>
          </w:p>
          <w:p>
            <w:pPr>
              <w:pStyle w:val="103"/>
            </w:pPr>
            <w:r>
              <w:t>(as specified in TS 36.508 [12] subclause 4.3.1)</w:t>
            </w:r>
          </w:p>
        </w:tc>
        <w:tc>
          <w:tcPr>
            <w:tcW w:w="3495" w:type="dxa"/>
            <w:vAlign w:val="center"/>
          </w:tcPr>
          <w:p>
            <w:pPr>
              <w:pStyle w:val="105"/>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PRACH preamble format</w:t>
            </w:r>
          </w:p>
        </w:tc>
        <w:tc>
          <w:tcPr>
            <w:tcW w:w="3495" w:type="dxa"/>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p>
        </w:tc>
        <w:tc>
          <w:tcPr>
            <w:tcW w:w="3495" w:type="dxa"/>
            <w:vAlign w:val="center"/>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PRACH Configuration Index</w:t>
            </w:r>
          </w:p>
        </w:tc>
        <w:tc>
          <w:tcPr>
            <w:tcW w:w="3495" w:type="dxa"/>
            <w:vAlign w:val="center"/>
          </w:tcPr>
          <w:p>
            <w:pPr>
              <w:pStyle w:val="105"/>
            </w:pPr>
            <w: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RS EPRE setting for test point 1 (dBm/15kHz)</w:t>
            </w:r>
          </w:p>
        </w:tc>
        <w:tc>
          <w:tcPr>
            <w:tcW w:w="3495" w:type="dxa"/>
            <w:vAlign w:val="center"/>
          </w:tcPr>
          <w:p>
            <w:pPr>
              <w:pStyle w:val="105"/>
            </w:pPr>
            <w:r>
              <w:t>-71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RS EPRE setting for test point 2 (dBm/15kHz)</w:t>
            </w:r>
          </w:p>
        </w:tc>
        <w:tc>
          <w:tcPr>
            <w:tcW w:w="3495" w:type="dxa"/>
            <w:vAlign w:val="center"/>
          </w:tcPr>
          <w:p>
            <w:pPr>
              <w:pStyle w:val="105"/>
            </w:pPr>
            <w:r>
              <w:t>-86</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6.4A.2.4.1-1.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7</w:t>
      </w:r>
      <w:r>
        <w:rPr>
          <w:lang w:eastAsia="en-GB"/>
        </w:rPr>
        <w:t>.</w:t>
      </w:r>
      <w:r>
        <w:rPr>
          <w:lang w:eastAsia="en-GB"/>
        </w:rPr>
        <w:tab/>
      </w:r>
      <w:r>
        <w:t>Test equipment shall emul</w:t>
      </w:r>
      <w:r>
        <w:rPr>
          <w:color w:val="000000" w:themeColor="text1"/>
          <w14:textFill>
            <w14:solidFill>
              <w14:schemeClr w14:val="tx1"/>
            </w14:solidFill>
          </w14:textFill>
        </w:rPr>
        <w:t xml:space="preserve">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duration</w:t>
      </w:r>
      <w:r>
        <w:t xml:space="preserve"> of the test as define in TS 36.508[12] clause 5.6.3.1</w:t>
      </w:r>
    </w:p>
    <w:p>
      <w:pPr>
        <w:pStyle w:val="111"/>
        <w:overflowPunct w:val="0"/>
        <w:autoSpaceDE w:val="0"/>
        <w:autoSpaceDN w:val="0"/>
        <w:adjustRightInd w:val="0"/>
        <w:contextualSpacing w:val="0"/>
        <w:textAlignment w:val="baseline"/>
        <w:rPr>
          <w:lang w:eastAsia="en-GB"/>
        </w:rPr>
      </w:pPr>
      <w:r>
        <w:rPr>
          <w:rFonts w:hint="eastAsia"/>
        </w:rPr>
        <w:t>8</w:t>
      </w:r>
      <w:r>
        <w:t>.</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6.4A.2.1.4.3.</w:t>
      </w:r>
    </w:p>
    <w:p>
      <w:pPr>
        <w:pStyle w:val="9"/>
      </w:pPr>
      <w:r>
        <w:t>6.4A.2.1.4.2</w:t>
      </w:r>
      <w:r>
        <w:tab/>
      </w:r>
      <w:r>
        <w:t>Test procedure</w:t>
      </w:r>
    </w:p>
    <w:p>
      <w:r>
        <w:t>Test procedure for PUSCH:</w:t>
      </w:r>
    </w:p>
    <w:p>
      <w:pPr>
        <w:pStyle w:val="11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r>
      <w:r>
        <w:rPr>
          <w:rFonts w:hint="eastAsia"/>
          <w:lang w:eastAsia="en-GB"/>
        </w:rPr>
        <w:t>SS sends uplink scheduling information for each UL HARQ process via MPDCCH DCI format 6-0A for C_RNTI to schedule the UL RMC according to Table 6.4A.2.4.1-1.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r>
      <w:r>
        <w:rPr>
          <w:rFonts w:hint="eastAsia"/>
          <w:lang w:eastAsia="en-GB"/>
        </w:rPr>
        <w:t>Send continuously uplink power control "up" commands in the uplink scheduling information to the UE until the UE transmits at PUMAX level.</w:t>
      </w:r>
    </w:p>
    <w:p>
      <w:pPr>
        <w:pStyle w:val="11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r>
      <w:r>
        <w:rPr>
          <w:rFonts w:hint="eastAsia"/>
          <w:lang w:eastAsia="en-GB"/>
        </w:rPr>
        <w:t xml:space="preserve">Measure the EVM and </w:t>
      </w:r>
      <w:r>
        <w:rPr>
          <w:rFonts w:hint="eastAsia"/>
          <w:lang w:eastAsia="en-GB"/>
        </w:rPr>
        <w:object>
          <v:shape id="_x0000_i1033"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33" DrawAspect="Content" ObjectID="_1468075733" r:id="rId35">
            <o:LockedField>false</o:LockedField>
          </o:OLEObject>
        </w:object>
      </w:r>
      <w:r>
        <w:rPr>
          <w:rFonts w:hint="eastAsia"/>
          <w:lang w:eastAsia="en-GB"/>
        </w:rPr>
        <w:t xml:space="preserve">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r>
      <w:r>
        <w:rPr>
          <w:rFonts w:hint="eastAsia"/>
          <w:lang w:eastAsia="en-GB"/>
        </w:rPr>
        <w:t>Send the appropriate TPC commands in the uplink scheduling information to the UE until UE output power is –36.8dBm ±3.2dB for carrier frequency f ≤ 3.0GHz or -36.5dBm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1.5</w:t>
      </w:r>
      <w:r>
        <w:rPr>
          <w:rFonts w:hint="eastAsia"/>
          <w:lang w:eastAsia="en-GB"/>
        </w:rPr>
        <w:tab/>
      </w:r>
      <w:r>
        <w:rPr>
          <w:rFonts w:hint="eastAsia"/>
          <w:lang w:eastAsia="en-GB"/>
        </w:rPr>
        <w:t xml:space="preserve">Measure the EVM and </w:t>
      </w:r>
      <w:r>
        <w:rPr>
          <w:rFonts w:hint="eastAsia"/>
          <w:lang w:eastAsia="en-GB"/>
        </w:rPr>
        <w:object>
          <v:shape id="_x0000_i1034"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34" DrawAspect="Content" ObjectID="_1468075734" r:id="rId37">
            <o:LockedField>false</o:LockedField>
          </o:OLEObject>
        </w:object>
      </w:r>
      <w:r>
        <w:rPr>
          <w:rFonts w:hint="eastAsia"/>
          <w:lang w:eastAsia="en-GB"/>
        </w:rPr>
        <w:t xml:space="preserve"> using Global In-Channel Tx-Test (Annex E) according to the UE’s declaration on the position of carrier centre frequency.</w:t>
      </w:r>
    </w:p>
    <w:p>
      <w:r>
        <w:t>Test procedure for PUCCH:</w:t>
      </w:r>
    </w:p>
    <w:p>
      <w:pPr>
        <w:pStyle w:val="11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r>
      <w:r>
        <w:rPr>
          <w:rFonts w:hint="eastAsia"/>
          <w:lang w:eastAsia="en-GB"/>
        </w:rPr>
        <w:t>PUCCH are set according to Table 6.4A.2.4.1-2.</w:t>
      </w:r>
    </w:p>
    <w:p>
      <w:pPr>
        <w:pStyle w:val="11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r>
      <w:r>
        <w:rPr>
          <w:rFonts w:hint="eastAsia"/>
          <w:lang w:eastAsia="en-GB"/>
        </w:rPr>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pPr>
        <w:pStyle w:val="11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r>
      <w:r>
        <w:rPr>
          <w:rFonts w:hint="eastAsia"/>
          <w:lang w:eastAsia="en-GB"/>
        </w:rPr>
        <w:t>SS send appropriate TPC commands for PUCCH to the UE until the UE transmit PUCCH at PUMAX level.</w:t>
      </w:r>
    </w:p>
    <w:p>
      <w:pPr>
        <w:pStyle w:val="11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r>
      <w:r>
        <w:rPr>
          <w:rFonts w:hint="eastAsia"/>
          <w:lang w:eastAsia="en-GB"/>
        </w:rPr>
        <w:t>Measure PUCCH EVM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r>
      <w:r>
        <w:rPr>
          <w:rFonts w:hint="eastAsia"/>
          <w:lang w:eastAsia="en-GB"/>
        </w:rPr>
        <w:t>Send the appropriate TPC commands for PUCCH to the UE until the UE transmits PUCCH at -36.8dBm ±3.2dB for carrier frequency f ≤ 3.0GHz or -36.5dBm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r>
      <w:r>
        <w:rPr>
          <w:rFonts w:hint="eastAsia"/>
          <w:lang w:eastAsia="en-GB"/>
        </w:rPr>
        <w:t>Measure PUCCH EVM using Global In-Channel Tx-Test (Annex E) according to the UE’s declaration on the position of carrier centre frequency.</w:t>
      </w:r>
    </w:p>
    <w:p>
      <w:r>
        <w:t>Test procedure for PRACH:</w:t>
      </w:r>
    </w:p>
    <w:p>
      <w:pPr>
        <w:pStyle w:val="111"/>
        <w:overflowPunct w:val="0"/>
        <w:autoSpaceDE w:val="0"/>
        <w:autoSpaceDN w:val="0"/>
        <w:adjustRightInd w:val="0"/>
        <w:contextualSpacing w:val="0"/>
        <w:textAlignment w:val="baseline"/>
        <w:rPr>
          <w:lang w:eastAsia="en-GB"/>
        </w:rPr>
      </w:pPr>
      <w:r>
        <w:rPr>
          <w:rFonts w:hint="eastAsia"/>
          <w:lang w:eastAsia="en-GB"/>
        </w:rPr>
        <w:t>3.1</w:t>
      </w:r>
      <w:r>
        <w:rPr>
          <w:rFonts w:hint="eastAsia"/>
          <w:lang w:eastAsia="en-GB"/>
        </w:rPr>
        <w:tab/>
      </w:r>
      <w:r>
        <w:rPr>
          <w:rFonts w:hint="eastAsia"/>
          <w:lang w:eastAsia="en-GB"/>
        </w:rPr>
        <w:t>The SS shall set RS EPRE according to Table 6.4A.2.4.1-3.</w:t>
      </w:r>
    </w:p>
    <w:p>
      <w:pPr>
        <w:pStyle w:val="111"/>
        <w:overflowPunct w:val="0"/>
        <w:autoSpaceDE w:val="0"/>
        <w:autoSpaceDN w:val="0"/>
        <w:adjustRightInd w:val="0"/>
        <w:contextualSpacing w:val="0"/>
        <w:textAlignment w:val="baseline"/>
        <w:rPr>
          <w:lang w:eastAsia="en-GB"/>
        </w:rPr>
      </w:pPr>
      <w:r>
        <w:rPr>
          <w:rFonts w:hint="eastAsia"/>
          <w:lang w:eastAsia="en-GB"/>
        </w:rPr>
        <w:t>3.2</w:t>
      </w:r>
      <w:r>
        <w:rPr>
          <w:rFonts w:hint="eastAsia"/>
          <w:lang w:eastAsia="en-GB"/>
        </w:rPr>
        <w:tab/>
      </w:r>
      <w:r>
        <w:rPr>
          <w:rFonts w:hint="eastAsia"/>
          <w:lang w:eastAsia="en-GB"/>
        </w:rPr>
        <w:t>PRACH is set according to Table 6.4A.2.4.1-3.</w:t>
      </w:r>
    </w:p>
    <w:p>
      <w:pPr>
        <w:pStyle w:val="111"/>
        <w:overflowPunct w:val="0"/>
        <w:autoSpaceDE w:val="0"/>
        <w:autoSpaceDN w:val="0"/>
        <w:adjustRightInd w:val="0"/>
        <w:contextualSpacing w:val="0"/>
        <w:textAlignment w:val="baseline"/>
        <w:rPr>
          <w:lang w:eastAsia="en-GB"/>
        </w:rPr>
      </w:pPr>
      <w:r>
        <w:rPr>
          <w:rFonts w:hint="eastAsia"/>
          <w:lang w:eastAsia="en-GB"/>
        </w:rPr>
        <w:t>3.3</w:t>
      </w:r>
      <w:r>
        <w:rPr>
          <w:rFonts w:hint="eastAsia"/>
          <w:lang w:eastAsia="en-GB"/>
        </w:rPr>
        <w:tab/>
      </w:r>
      <w:r>
        <w:rPr>
          <w:rFonts w:hint="eastAsia"/>
          <w:lang w:eastAsia="en-GB"/>
        </w:rPr>
        <w:t>The SS shall signal a Random Access Preamble ID via a MPDCCH order to the UE and initiate a Non-contention based Random Access procedure</w:t>
      </w:r>
    </w:p>
    <w:p>
      <w:pPr>
        <w:pStyle w:val="111"/>
        <w:overflowPunct w:val="0"/>
        <w:autoSpaceDE w:val="0"/>
        <w:autoSpaceDN w:val="0"/>
        <w:adjustRightInd w:val="0"/>
        <w:contextualSpacing w:val="0"/>
        <w:textAlignment w:val="baseline"/>
        <w:rPr>
          <w:lang w:eastAsia="en-GB"/>
        </w:rPr>
      </w:pPr>
      <w:r>
        <w:rPr>
          <w:rFonts w:hint="eastAsia"/>
          <w:lang w:eastAsia="en-GB"/>
        </w:rPr>
        <w:t>3.4</w:t>
      </w:r>
      <w:r>
        <w:rPr>
          <w:rFonts w:hint="eastAsia"/>
          <w:lang w:eastAsia="en-GB"/>
        </w:rPr>
        <w:tab/>
      </w:r>
      <w:r>
        <w:rPr>
          <w:rFonts w:hint="eastAsia"/>
          <w:lang w:eastAsia="en-GB"/>
        </w:rPr>
        <w:t>The UE shall send the signalled preamble to the SS.</w:t>
      </w:r>
    </w:p>
    <w:p>
      <w:pPr>
        <w:pStyle w:val="111"/>
        <w:overflowPunct w:val="0"/>
        <w:autoSpaceDE w:val="0"/>
        <w:autoSpaceDN w:val="0"/>
        <w:adjustRightInd w:val="0"/>
        <w:contextualSpacing w:val="0"/>
        <w:textAlignment w:val="baseline"/>
        <w:rPr>
          <w:lang w:eastAsia="en-GB"/>
        </w:rPr>
      </w:pPr>
      <w:r>
        <w:rPr>
          <w:rFonts w:hint="eastAsia"/>
          <w:lang w:eastAsia="en-GB"/>
        </w:rPr>
        <w:t>3.5</w:t>
      </w:r>
      <w:r>
        <w:rPr>
          <w:rFonts w:hint="eastAsia"/>
          <w:lang w:eastAsia="en-GB"/>
        </w:rPr>
        <w:tab/>
      </w:r>
      <w:r>
        <w:rPr>
          <w:rFonts w:hint="eastAsia"/>
          <w:lang w:eastAsia="en-GB"/>
        </w:rPr>
        <w:t>In response to the preamble, the SS shall transmit a random access response not corresponding to the transmitted random access preamble, or send no response.</w:t>
      </w:r>
    </w:p>
    <w:p>
      <w:pPr>
        <w:pStyle w:val="111"/>
        <w:overflowPunct w:val="0"/>
        <w:autoSpaceDE w:val="0"/>
        <w:autoSpaceDN w:val="0"/>
        <w:adjustRightInd w:val="0"/>
        <w:contextualSpacing w:val="0"/>
        <w:textAlignment w:val="baseline"/>
        <w:rPr>
          <w:lang w:eastAsia="en-GB"/>
        </w:rPr>
      </w:pPr>
      <w:r>
        <w:rPr>
          <w:rFonts w:hint="eastAsia"/>
          <w:lang w:eastAsia="en-GB"/>
        </w:rPr>
        <w:t>3.6</w:t>
      </w:r>
      <w:r>
        <w:rPr>
          <w:rFonts w:hint="eastAsia"/>
          <w:lang w:eastAsia="en-GB"/>
        </w:rPr>
        <w:tab/>
      </w:r>
      <w:r>
        <w:rPr>
          <w:rFonts w:hint="eastAsia"/>
          <w:lang w:eastAsia="en-GB"/>
        </w:rPr>
        <w:t>The UE shall consider the random access response reception not successful then re-transmit the preamble with the calculated PRACH transmission power.</w:t>
      </w:r>
    </w:p>
    <w:p>
      <w:pPr>
        <w:pStyle w:val="111"/>
        <w:overflowPunct w:val="0"/>
        <w:autoSpaceDE w:val="0"/>
        <w:autoSpaceDN w:val="0"/>
        <w:adjustRightInd w:val="0"/>
        <w:contextualSpacing w:val="0"/>
        <w:textAlignment w:val="baseline"/>
        <w:rPr>
          <w:lang w:eastAsia="en-GB"/>
        </w:rPr>
      </w:pPr>
      <w:r>
        <w:rPr>
          <w:rFonts w:hint="eastAsia"/>
          <w:lang w:eastAsia="en-GB"/>
        </w:rPr>
        <w:t>3.7</w:t>
      </w:r>
      <w:r>
        <w:rPr>
          <w:rFonts w:hint="eastAsia"/>
          <w:lang w:eastAsia="en-GB"/>
        </w:rPr>
        <w:tab/>
      </w:r>
      <w:r>
        <w:rPr>
          <w:rFonts w:hint="eastAsia"/>
          <w:lang w:eastAsia="en-GB"/>
        </w:rPr>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pPr>
        <w:pStyle w:val="9"/>
      </w:pPr>
      <w:r>
        <w:t>6.4A.2.1.4.3</w:t>
      </w:r>
      <w:r>
        <w:tab/>
      </w:r>
      <w:r>
        <w:t>Message contents</w:t>
      </w:r>
    </w:p>
    <w:p>
      <w:r>
        <w:t>Message contents are according to TS 36.508 [12] subclause 4.6 with the condition CEModeA and the following exceptions:</w:t>
      </w:r>
    </w:p>
    <w:p>
      <w:pPr>
        <w:pStyle w:val="113"/>
      </w:pPr>
      <w:r>
        <w:t xml:space="preserve">Table 6.4A.2.4.3-1: </w:t>
      </w:r>
      <w:r>
        <w:rPr>
          <w:i/>
        </w:rPr>
        <w:t>PRACH-Config-DEFAULT</w:t>
      </w:r>
      <w:r>
        <w:t>: PRACH EVM measurement for FDD</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Layout w:type="fixed"/>
        <w:tblCellMar>
          <w:top w:w="0" w:type="dxa"/>
          <w:left w:w="2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trPr>
        <w:tc>
          <w:tcPr>
            <w:tcW w:w="9527" w:type="dxa"/>
            <w:gridSpan w:val="4"/>
          </w:tcPr>
          <w:p>
            <w:pPr>
              <w:pStyle w:val="104"/>
            </w:pPr>
            <w:r>
              <w:t>Derivation Path: TS 36.508 [12] clause 4.6.3, Table 4.6.3-7 PRACH-Config-DEFAULT</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trPr>
        <w:tc>
          <w:tcPr>
            <w:tcW w:w="4427" w:type="dxa"/>
          </w:tcPr>
          <w:p>
            <w:pPr>
              <w:pStyle w:val="103"/>
            </w:pPr>
            <w:r>
              <w:t>Information Element</w:t>
            </w:r>
          </w:p>
        </w:tc>
        <w:tc>
          <w:tcPr>
            <w:tcW w:w="2267" w:type="dxa"/>
          </w:tcPr>
          <w:p>
            <w:pPr>
              <w:pStyle w:val="103"/>
            </w:pPr>
            <w:r>
              <w:t>Value/remark</w:t>
            </w:r>
          </w:p>
        </w:tc>
        <w:tc>
          <w:tcPr>
            <w:tcW w:w="1700" w:type="dxa"/>
          </w:tcPr>
          <w:p>
            <w:pPr>
              <w:pStyle w:val="103"/>
            </w:pPr>
            <w:r>
              <w:t>Comment</w:t>
            </w:r>
          </w:p>
        </w:tc>
        <w:tc>
          <w:tcPr>
            <w:tcW w:w="1133" w:type="dxa"/>
          </w:tcPr>
          <w:p>
            <w:pPr>
              <w:pStyle w:val="103"/>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trPr>
        <w:tc>
          <w:tcPr>
            <w:tcW w:w="4427" w:type="dxa"/>
          </w:tcPr>
          <w:p>
            <w:pPr>
              <w:pStyle w:val="103"/>
            </w:pPr>
            <w:r>
              <w:t>PRACH-ConfigInfo SEQUENCE {</w:t>
            </w:r>
          </w:p>
        </w:tc>
        <w:tc>
          <w:tcPr>
            <w:tcW w:w="2267" w:type="dxa"/>
          </w:tcPr>
          <w:p>
            <w:pPr>
              <w:pStyle w:val="103"/>
            </w:pPr>
          </w:p>
        </w:tc>
        <w:tc>
          <w:tcPr>
            <w:tcW w:w="1700" w:type="dxa"/>
          </w:tcPr>
          <w:p>
            <w:pPr>
              <w:pStyle w:val="103"/>
            </w:pPr>
          </w:p>
        </w:tc>
        <w:tc>
          <w:tcPr>
            <w:tcW w:w="1133"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trPr>
        <w:tc>
          <w:tcPr>
            <w:tcW w:w="4427" w:type="dxa"/>
          </w:tcPr>
          <w:p>
            <w:pPr>
              <w:pStyle w:val="103"/>
            </w:pPr>
            <w:r>
              <w:t xml:space="preserve">  prach-ConfigIndex</w:t>
            </w:r>
          </w:p>
        </w:tc>
        <w:tc>
          <w:tcPr>
            <w:tcW w:w="2267" w:type="dxa"/>
          </w:tcPr>
          <w:p>
            <w:pPr>
              <w:pStyle w:val="103"/>
            </w:pPr>
            <w:r>
              <w:t>4</w:t>
            </w:r>
          </w:p>
        </w:tc>
        <w:tc>
          <w:tcPr>
            <w:tcW w:w="1700" w:type="dxa"/>
          </w:tcPr>
          <w:p>
            <w:pPr>
              <w:pStyle w:val="103"/>
            </w:pPr>
          </w:p>
        </w:tc>
        <w:tc>
          <w:tcPr>
            <w:tcW w:w="1133" w:type="dxa"/>
          </w:tcPr>
          <w:p>
            <w:pPr>
              <w:pStyle w:val="103"/>
            </w:pPr>
          </w:p>
        </w:tc>
      </w:tr>
    </w:tbl>
    <w:p/>
    <w:p>
      <w:pPr>
        <w:pStyle w:val="113"/>
      </w:pPr>
      <w:r>
        <w:t xml:space="preserve">Table 6.4A.2.4.3-2: </w:t>
      </w:r>
      <w:r>
        <w:rPr>
          <w:i/>
        </w:rPr>
        <w:t>RACH-ConfigCommon-DEFAULT:</w:t>
      </w:r>
      <w:r>
        <w:t xml:space="preserve"> PRACH EVM measurement</w:t>
      </w:r>
    </w:p>
    <w:tbl>
      <w:tblPr>
        <w:tblStyle w:val="89"/>
        <w:tblW w:w="9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TS 36.508 [12] clause 4.6.3, Table 4.6.3-12 RACH-ConfigCommon-DEFAULT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RACH-ConfigCommon-DEFAULT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trHeight w:val="378" w:hRule="atLeast"/>
          <w:jc w:val="center"/>
        </w:trPr>
        <w:tc>
          <w:tcPr>
            <w:tcW w:w="4537" w:type="dxa"/>
            <w:shd w:val="clear" w:color="auto" w:fill="auto"/>
          </w:tcPr>
          <w:p>
            <w:pPr>
              <w:pStyle w:val="103"/>
            </w:pPr>
            <w:r>
              <w:t xml:space="preserve">  preambleInfo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numberOfRA-Preambles</w:t>
            </w:r>
          </w:p>
        </w:tc>
        <w:tc>
          <w:tcPr>
            <w:tcW w:w="2268" w:type="dxa"/>
            <w:shd w:val="clear" w:color="auto" w:fill="auto"/>
          </w:tcPr>
          <w:p>
            <w:pPr>
              <w:pStyle w:val="103"/>
            </w:pPr>
            <w:r>
              <w:t>n52</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preamblesGroupAConfig SEQUENCE {}</w:t>
            </w:r>
          </w:p>
        </w:tc>
        <w:tc>
          <w:tcPr>
            <w:tcW w:w="2268" w:type="dxa"/>
            <w:shd w:val="clear" w:color="auto" w:fill="auto"/>
          </w:tcPr>
          <w:p>
            <w:pPr>
              <w:pStyle w:val="103"/>
            </w:pPr>
            <w:r>
              <w:t>Not present</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powerRampingParameters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powerRampingStep</w:t>
            </w:r>
          </w:p>
        </w:tc>
        <w:tc>
          <w:tcPr>
            <w:tcW w:w="2268" w:type="dxa"/>
            <w:shd w:val="clear" w:color="auto" w:fill="auto"/>
          </w:tcPr>
          <w:p>
            <w:pPr>
              <w:pStyle w:val="103"/>
            </w:pPr>
            <w:r>
              <w:t>d</w:t>
            </w:r>
            <w:r>
              <w:rPr>
                <w:rFonts w:eastAsia="MS Mincho"/>
              </w:rPr>
              <w:t>B</w:t>
            </w:r>
            <w:r>
              <w:t>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preambleInitialReceivedTargetPower</w:t>
            </w:r>
          </w:p>
        </w:tc>
        <w:tc>
          <w:tcPr>
            <w:tcW w:w="2268" w:type="dxa"/>
            <w:shd w:val="clear" w:color="auto" w:fill="auto"/>
          </w:tcPr>
          <w:p>
            <w:pPr>
              <w:pStyle w:val="103"/>
            </w:pPr>
            <w:r>
              <w:t>dBm-120 Test point 1</w:t>
            </w:r>
          </w:p>
          <w:p>
            <w:pPr>
              <w:pStyle w:val="103"/>
            </w:pPr>
            <w:r>
              <w:t>dBm-90 Test point 2</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tcBorders>
              <w:bottom w:val="single" w:color="000000" w:sz="4" w:space="0"/>
            </w:tcBorders>
            <w:shd w:val="clear" w:color="auto" w:fill="auto"/>
          </w:tcPr>
          <w:p>
            <w:pPr>
              <w:pStyle w:val="103"/>
            </w:pPr>
            <w:r>
              <w:t xml:space="preserve">  ra-SupervisionInfo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tcBorders>
              <w:bottom w:val="nil"/>
            </w:tcBorders>
            <w:shd w:val="clear" w:color="auto" w:fill="auto"/>
          </w:tcPr>
          <w:p>
            <w:pPr>
              <w:pStyle w:val="103"/>
            </w:pPr>
            <w:r>
              <w:t xml:space="preserve">    preambleTransMax</w:t>
            </w:r>
          </w:p>
        </w:tc>
        <w:tc>
          <w:tcPr>
            <w:tcW w:w="2268" w:type="dxa"/>
            <w:shd w:val="clear" w:color="auto" w:fill="auto"/>
          </w:tcPr>
          <w:p>
            <w:pPr>
              <w:pStyle w:val="103"/>
            </w:pPr>
            <w:r>
              <w:t>n10</w:t>
            </w:r>
          </w:p>
        </w:tc>
        <w:tc>
          <w:tcPr>
            <w:tcW w:w="1701" w:type="dxa"/>
            <w:shd w:val="clear" w:color="auto" w:fill="auto"/>
          </w:tcPr>
          <w:p>
            <w:pPr>
              <w:pStyle w:val="103"/>
            </w:pPr>
          </w:p>
        </w:tc>
        <w:tc>
          <w:tcPr>
            <w:tcW w:w="1275" w:type="dxa"/>
            <w:shd w:val="clear" w:color="auto" w:fill="auto"/>
          </w:tcPr>
          <w:p>
            <w:pPr>
              <w:pStyle w:val="103"/>
            </w:pPr>
            <w:r>
              <w:t>FDD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tcBorders>
              <w:top w:val="nil"/>
            </w:tcBorders>
            <w:shd w:val="clear" w:color="auto" w:fill="auto"/>
          </w:tcPr>
          <w:p>
            <w:pPr>
              <w:pStyle w:val="103"/>
            </w:pPr>
          </w:p>
        </w:tc>
        <w:tc>
          <w:tcPr>
            <w:tcW w:w="2268" w:type="dxa"/>
            <w:shd w:val="clear" w:color="auto" w:fill="auto"/>
          </w:tcPr>
          <w:p>
            <w:pPr>
              <w:pStyle w:val="103"/>
            </w:pPr>
            <w:r>
              <w:t>n20</w:t>
            </w:r>
          </w:p>
        </w:tc>
        <w:tc>
          <w:tcPr>
            <w:tcW w:w="1701" w:type="dxa"/>
            <w:shd w:val="clear" w:color="auto" w:fill="auto"/>
          </w:tcPr>
          <w:p>
            <w:pPr>
              <w:pStyle w:val="103"/>
            </w:pPr>
          </w:p>
        </w:tc>
        <w:tc>
          <w:tcPr>
            <w:tcW w:w="1275" w:type="dxa"/>
            <w:shd w:val="clear" w:color="auto" w:fill="auto"/>
          </w:tcPr>
          <w:p>
            <w:pPr>
              <w:pStyle w:val="103"/>
            </w:pPr>
            <w:r>
              <w:t>TDD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ra-ResponseWindowSize</w:t>
            </w:r>
          </w:p>
        </w:tc>
        <w:tc>
          <w:tcPr>
            <w:tcW w:w="2268" w:type="dxa"/>
            <w:shd w:val="clear" w:color="auto" w:fill="auto"/>
          </w:tcPr>
          <w:p>
            <w:pPr>
              <w:pStyle w:val="103"/>
            </w:pPr>
            <w:r>
              <w:t>Sf10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mac-ContentionResolutionTimer</w:t>
            </w:r>
          </w:p>
        </w:tc>
        <w:tc>
          <w:tcPr>
            <w:tcW w:w="2268" w:type="dxa"/>
            <w:shd w:val="clear" w:color="auto" w:fill="auto"/>
          </w:tcPr>
          <w:p>
            <w:pPr>
              <w:pStyle w:val="103"/>
            </w:pPr>
            <w:r>
              <w:t>sf48</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ra-SupervisionInfo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bl>
    <w:p/>
    <w:p>
      <w:pPr>
        <w:pStyle w:val="9"/>
      </w:pPr>
      <w:r>
        <w:t>6.4A.2.1.5</w:t>
      </w:r>
      <w:r>
        <w:tab/>
      </w:r>
      <w:r>
        <w:t>Test requirement</w:t>
      </w:r>
    </w:p>
    <w:p>
      <w:r>
        <w:t>The PUSCH EVM derived in E.4.2 shall not exceed 17,5 % for QPSK and BPSK, 12,5% for 16 QAM.</w:t>
      </w:r>
    </w:p>
    <w:p>
      <w:r>
        <w:t>The PUSCH</w:t>
      </w:r>
      <w:r>
        <w:object>
          <v:shape id="_x0000_i1035"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35" DrawAspect="Content" ObjectID="_1468075735" r:id="rId38">
            <o:LockedField>false</o:LockedField>
          </o:OLEObject>
        </w:object>
      </w:r>
      <w:r>
        <w:t xml:space="preserve"> derived in E.4.6.2 shall not exceed [17,5 %] when embedded with data symbols of QPSK and BPSK, [12,5%] for 16 QAM.</w:t>
      </w:r>
    </w:p>
    <w:p>
      <w:r>
        <w:t>The PUCCH EVM and derived in E.5.9.2 shall not exceed 17,5 %.</w:t>
      </w:r>
    </w:p>
    <w:p>
      <w:r>
        <w:t>The PRACH EVM derived in FFS shall not exceed 17.5%.</w:t>
      </w:r>
    </w:p>
    <w:p>
      <w:pPr>
        <w:pStyle w:val="6"/>
        <w:rPr>
          <w:lang w:val="en-US"/>
        </w:rPr>
      </w:pPr>
      <w:bookmarkStart w:id="700" w:name="_Toc32433"/>
      <w:bookmarkStart w:id="701" w:name="_Toc29241"/>
      <w:bookmarkStart w:id="702" w:name="_Toc24152"/>
      <w:bookmarkStart w:id="703" w:name="_Toc25378"/>
      <w:bookmarkStart w:id="704" w:name="_Toc3780"/>
      <w:r>
        <w:t>6.4A.2.2</w:t>
      </w:r>
      <w:r>
        <w:tab/>
      </w:r>
      <w:r>
        <w:t>Carrier leakage for category M1</w:t>
      </w:r>
      <w:bookmarkEnd w:id="700"/>
      <w:bookmarkEnd w:id="701"/>
      <w:bookmarkEnd w:id="702"/>
      <w:bookmarkEnd w:id="703"/>
      <w:bookmarkEnd w:id="704"/>
    </w:p>
    <w:p>
      <w:pPr>
        <w:pStyle w:val="112"/>
        <w:rPr>
          <w:lang w:val="en-US"/>
        </w:rPr>
      </w:pPr>
      <w:r>
        <w:t>Editor’s Note: Addition to applicability spec is pending.</w:t>
      </w:r>
    </w:p>
    <w:p>
      <w:pPr>
        <w:pStyle w:val="9"/>
      </w:pPr>
      <w:r>
        <w:t>6.4A.2.2.1</w:t>
      </w:r>
      <w:r>
        <w:tab/>
      </w:r>
      <w:r>
        <w:t>Test purpose</w:t>
      </w:r>
    </w:p>
    <w:p>
      <w:r>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pPr>
        <w:rPr>
          <w:rFonts w:cs="v5.0.0"/>
        </w:rPr>
      </w:pPr>
      <w:r>
        <w:rPr>
          <w:rFonts w:cs="v5.0.0"/>
        </w:rPr>
        <w:t>The purpose of this test is to exercise the UE transmitter to verify its modulation quality in terms of carrier leakage.</w:t>
      </w:r>
    </w:p>
    <w:p/>
    <w:p>
      <w:pPr>
        <w:pStyle w:val="9"/>
      </w:pPr>
      <w:r>
        <w:t>6.4A.2.2.2</w:t>
      </w:r>
      <w:r>
        <w:tab/>
      </w:r>
      <w: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pPr>
      <w:r>
        <w:t>6.4A.2.2.3</w:t>
      </w:r>
      <w:r>
        <w:tab/>
      </w:r>
      <w:r>
        <w:t>Minimum conformance requirements</w:t>
      </w:r>
    </w:p>
    <w:p>
      <w:r>
        <w:t xml:space="preserve">The relative carrier leakage power is a power ratio of the additive sinusoid waveform and the modulated waveform. The relative carrier leakage power shall not exceed the values specified in </w:t>
      </w:r>
      <w:r>
        <w:rPr>
          <w:rFonts w:eastAsia="Osaka"/>
        </w:rPr>
        <w:t>Table 6.4A.2.2.3-1</w:t>
      </w:r>
      <w:r>
        <w:rPr>
          <w:rFonts w:cs="v5.0.0"/>
        </w:rPr>
        <w:t>.</w:t>
      </w:r>
    </w:p>
    <w:p>
      <w:pPr>
        <w:pStyle w:val="113"/>
      </w:pPr>
      <w:r>
        <w:rPr>
          <w:rFonts w:eastAsia="Osaka"/>
        </w:rPr>
        <w:t xml:space="preserve">Table 6.4A.2.2.3-1: </w:t>
      </w:r>
      <w:r>
        <w:rPr>
          <w:rFonts w:cs="Arial"/>
        </w:rPr>
        <w:t xml:space="preserve">Minimum requirements for </w:t>
      </w:r>
      <w:r>
        <w:rPr>
          <w:rFonts w:eastAsia="Osaka"/>
        </w:rPr>
        <w:t>Relative Carrier Leakage Power for UE supporting Rel.11 and higher</w:t>
      </w:r>
    </w:p>
    <w:tbl>
      <w:tblPr>
        <w:tblStyle w:val="89"/>
        <w:tblW w:w="79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8"/>
        <w:gridCol w:w="1843"/>
        <w:gridCol w:w="29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4"/>
              <w:rPr>
                <w:rFonts w:cs="Arial"/>
              </w:rPr>
            </w:pPr>
            <w:r>
              <w:rPr>
                <w:rFonts w:cs="Arial"/>
              </w:rPr>
              <w:t>Parameters</w:t>
            </w:r>
          </w:p>
        </w:tc>
        <w:tc>
          <w:tcPr>
            <w:tcW w:w="1843" w:type="dxa"/>
            <w:shd w:val="clear" w:color="auto" w:fill="auto"/>
          </w:tcPr>
          <w:p>
            <w:pPr>
              <w:pStyle w:val="104"/>
              <w:rPr>
                <w:rFonts w:cs="Arial"/>
              </w:rPr>
            </w:pPr>
            <w:r>
              <w:rPr>
                <w:rFonts w:cs="Arial"/>
              </w:rPr>
              <w:t>Relative limit (dBc)</w:t>
            </w:r>
          </w:p>
        </w:tc>
        <w:tc>
          <w:tcPr>
            <w:tcW w:w="2977" w:type="dxa"/>
            <w:shd w:val="clear" w:color="auto" w:fill="auto"/>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vMerge w:val="restart"/>
          </w:tcPr>
          <w:p>
            <w:pPr>
              <w:pStyle w:val="105"/>
              <w:rPr>
                <w:rFonts w:cs="Arial"/>
              </w:rPr>
            </w:pPr>
            <w:r>
              <w:rPr>
                <w:rFonts w:cs="Arial"/>
              </w:rPr>
              <w:t>Output power &gt;10 dBm</w:t>
            </w:r>
          </w:p>
        </w:tc>
        <w:tc>
          <w:tcPr>
            <w:tcW w:w="1843" w:type="dxa"/>
            <w:shd w:val="clear" w:color="auto" w:fill="auto"/>
          </w:tcPr>
          <w:p>
            <w:pPr>
              <w:pStyle w:val="105"/>
              <w:rPr>
                <w:rFonts w:cs="Arial"/>
              </w:rPr>
            </w:pPr>
            <w:r>
              <w:rPr>
                <w:rFonts w:cs="Arial"/>
              </w:rPr>
              <w:t>-28</w:t>
            </w:r>
          </w:p>
        </w:tc>
        <w:tc>
          <w:tcPr>
            <w:tcW w:w="2977" w:type="dxa"/>
            <w:shd w:val="clear" w:color="auto" w:fill="auto"/>
          </w:tcPr>
          <w:p>
            <w:pPr>
              <w:pStyle w:val="105"/>
              <w:rPr>
                <w:rFonts w:cs="Arial"/>
              </w:rPr>
            </w:pPr>
            <w:r>
              <w:rPr>
                <w:rFonts w:cs="Arial"/>
              </w:rPr>
              <w:t>Carrier centre frequency &lt; 1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vMerge w:val="continue"/>
          </w:tcPr>
          <w:p>
            <w:pPr>
              <w:pStyle w:val="105"/>
              <w:rPr>
                <w:rFonts w:cs="Arial"/>
              </w:rPr>
            </w:pPr>
          </w:p>
        </w:tc>
        <w:tc>
          <w:tcPr>
            <w:tcW w:w="1843" w:type="dxa"/>
            <w:shd w:val="clear" w:color="auto" w:fill="auto"/>
          </w:tcPr>
          <w:p>
            <w:pPr>
              <w:pStyle w:val="105"/>
              <w:rPr>
                <w:rFonts w:cs="Arial"/>
              </w:rPr>
            </w:pPr>
            <w:r>
              <w:rPr>
                <w:rFonts w:cs="Arial"/>
              </w:rPr>
              <w:t>-25</w:t>
            </w:r>
          </w:p>
        </w:tc>
        <w:tc>
          <w:tcPr>
            <w:tcW w:w="2977" w:type="dxa"/>
            <w:shd w:val="clear" w:color="auto" w:fill="auto"/>
          </w:tcPr>
          <w:p>
            <w:pPr>
              <w:pStyle w:val="105"/>
              <w:rPr>
                <w:rFonts w:cs="Arial"/>
              </w:rPr>
            </w:pPr>
            <w:r>
              <w:rPr>
                <w:rFonts w:cs="Arial"/>
              </w:rPr>
              <w:t>Carrier centre frequency ≥ 1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0 dBm ≤ Output power ≤10 dBm</w:t>
            </w:r>
          </w:p>
        </w:tc>
        <w:tc>
          <w:tcPr>
            <w:tcW w:w="1843" w:type="dxa"/>
            <w:shd w:val="clear" w:color="auto" w:fill="auto"/>
          </w:tcPr>
          <w:p>
            <w:pPr>
              <w:pStyle w:val="105"/>
              <w:rPr>
                <w:rFonts w:cs="Arial"/>
              </w:rPr>
            </w:pPr>
            <w:r>
              <w:rPr>
                <w:rFonts w:cs="Arial"/>
              </w:rPr>
              <w:t>-25</w:t>
            </w:r>
          </w:p>
        </w:tc>
        <w:tc>
          <w:tcPr>
            <w:tcW w:w="2977" w:type="dxa"/>
            <w:shd w:val="clear" w:color="auto" w:fill="auto"/>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-30 dBm ≤ Output power ≤0 dBm</w:t>
            </w:r>
          </w:p>
        </w:tc>
        <w:tc>
          <w:tcPr>
            <w:tcW w:w="1843" w:type="dxa"/>
            <w:shd w:val="clear" w:color="auto" w:fill="auto"/>
          </w:tcPr>
          <w:p>
            <w:pPr>
              <w:pStyle w:val="105"/>
              <w:rPr>
                <w:rFonts w:cs="Arial"/>
              </w:rPr>
            </w:pPr>
            <w:r>
              <w:rPr>
                <w:rFonts w:cs="Arial"/>
              </w:rPr>
              <w:t>-20</w:t>
            </w:r>
          </w:p>
        </w:tc>
        <w:tc>
          <w:tcPr>
            <w:tcW w:w="2977" w:type="dxa"/>
            <w:shd w:val="clear" w:color="auto" w:fill="auto"/>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 xml:space="preserve">-40 dBm </w:t>
            </w:r>
            <w:r>
              <w:rPr>
                <w:rFonts w:cs="Arial"/>
              </w:rPr>
              <w:sym w:font="Symbol" w:char="F0A3"/>
            </w:r>
            <w:r>
              <w:rPr>
                <w:rFonts w:cs="Arial"/>
              </w:rPr>
              <w:t xml:space="preserve"> Output power &lt; -30 dBm</w:t>
            </w:r>
          </w:p>
        </w:tc>
        <w:tc>
          <w:tcPr>
            <w:tcW w:w="1843" w:type="dxa"/>
            <w:shd w:val="clear" w:color="auto" w:fill="auto"/>
          </w:tcPr>
          <w:p>
            <w:pPr>
              <w:pStyle w:val="105"/>
              <w:rPr>
                <w:rFonts w:cs="Arial"/>
              </w:rPr>
            </w:pPr>
            <w:r>
              <w:rPr>
                <w:rFonts w:cs="Arial"/>
              </w:rPr>
              <w:t>-10</w:t>
            </w:r>
          </w:p>
        </w:tc>
        <w:tc>
          <w:tcPr>
            <w:tcW w:w="2977" w:type="dxa"/>
            <w:shd w:val="clear" w:color="auto" w:fill="auto"/>
          </w:tcPr>
          <w:p>
            <w:pPr>
              <w:pStyle w:val="105"/>
              <w:rPr>
                <w:rFonts w:cs="Arial"/>
              </w:rPr>
            </w:pPr>
          </w:p>
        </w:tc>
      </w:tr>
    </w:tbl>
    <w:p>
      <w:pPr>
        <w:rPr>
          <w:rFonts w:eastAsia="PMingLiU"/>
          <w:lang w:eastAsia="zh-TW"/>
        </w:rPr>
      </w:pPr>
    </w:p>
    <w:p>
      <w:pPr>
        <w:rPr>
          <w:rFonts w:eastAsia="Times New Roman"/>
        </w:rPr>
      </w:pPr>
      <w:r>
        <w:rPr>
          <w:rFonts w:eastAsia="Times New Roman"/>
        </w:rPr>
        <w:t>The normative reference for this requirement is TS 36.102 [11] clause 6.4A.2.</w:t>
      </w:r>
    </w:p>
    <w:p>
      <w:pPr>
        <w:pStyle w:val="9"/>
      </w:pPr>
      <w:r>
        <w:t>6.4A.2.2.4</w:t>
      </w:r>
      <w:r>
        <w:tab/>
      </w:r>
      <w:r>
        <w:t>Test description</w:t>
      </w:r>
    </w:p>
    <w:p>
      <w:pPr>
        <w:pStyle w:val="9"/>
      </w:pPr>
      <w:r>
        <w:t>6.4A.2.2.4.1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pPr>
        <w:pStyle w:val="113"/>
      </w:pPr>
      <w:r>
        <w:t>Table 6.4A.2.2.4.1-1: Test Configuration Table</w:t>
      </w:r>
    </w:p>
    <w:tbl>
      <w:tblPr>
        <w:tblStyle w:val="89"/>
        <w:tblW w:w="89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3495"/>
        <w:gridCol w:w="1165"/>
        <w:gridCol w:w="31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64" w:type="dxa"/>
            <w:gridSpan w:val="4"/>
          </w:tcPr>
          <w:p>
            <w:pPr>
              <w:pStyle w:val="104"/>
              <w:rPr>
                <w:rFonts w:cs="v5.0.0"/>
              </w:rPr>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gridSpan w:val="2"/>
          </w:tcPr>
          <w:p>
            <w:pPr>
              <w:pStyle w:val="103"/>
            </w:pPr>
            <w:r>
              <w:t>Test Environment</w:t>
            </w:r>
          </w:p>
          <w:p>
            <w:pPr>
              <w:pStyle w:val="103"/>
              <w:rPr>
                <w:bCs/>
              </w:rPr>
            </w:pPr>
            <w:r>
              <w:t>(as specified in TS 36.508 [12] subclause 4.1)</w:t>
            </w:r>
          </w:p>
        </w:tc>
        <w:tc>
          <w:tcPr>
            <w:tcW w:w="4303" w:type="dxa"/>
            <w:gridSpan w:val="2"/>
            <w:vAlign w:val="center"/>
          </w:tcPr>
          <w:p>
            <w:pPr>
              <w:pStyle w:val="105"/>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gridSpan w:val="2"/>
          </w:tcPr>
          <w:p>
            <w:pPr>
              <w:pStyle w:val="103"/>
            </w:pPr>
            <w:r>
              <w:rPr>
                <w:bCs/>
              </w:rPr>
              <w:t>Test Frequencies</w:t>
            </w:r>
          </w:p>
          <w:p>
            <w:pPr>
              <w:pStyle w:val="103"/>
            </w:pPr>
            <w:r>
              <w:t>(as specified in TS36.508 [12] subclause 4.3.1)</w:t>
            </w:r>
          </w:p>
        </w:tc>
        <w:tc>
          <w:tcPr>
            <w:tcW w:w="4303" w:type="dxa"/>
            <w:gridSpan w:val="2"/>
            <w:vAlign w:val="center"/>
          </w:tcPr>
          <w:p>
            <w:pPr>
              <w:pStyle w:val="105"/>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gridSpan w:val="2"/>
          </w:tcPr>
          <w:p>
            <w:pPr>
              <w:pStyle w:val="103"/>
            </w:pPr>
            <w:r>
              <w:rPr>
                <w:bCs/>
              </w:rPr>
              <w:t>Test Channel Bandwidths</w:t>
            </w:r>
          </w:p>
          <w:p>
            <w:pPr>
              <w:pStyle w:val="103"/>
            </w:pPr>
            <w:r>
              <w:t>(as specified in TS 36.508 [12] subclause 4.3.1)</w:t>
            </w:r>
          </w:p>
        </w:tc>
        <w:tc>
          <w:tcPr>
            <w:tcW w:w="4303" w:type="dxa"/>
            <w:gridSpan w:val="2"/>
            <w:vAlign w:val="center"/>
          </w:tcPr>
          <w:p>
            <w:pPr>
              <w:pStyle w:val="105"/>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64" w:type="dxa"/>
            <w:gridSpan w:val="4"/>
          </w:tcPr>
          <w:p>
            <w:pPr>
              <w:pStyle w:val="104"/>
            </w:pPr>
            <w:r>
              <w:t xml:space="preserve">Test Parameters for Channel Bandwidths and Narrowband positions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4"/>
            </w:pPr>
          </w:p>
        </w:tc>
        <w:tc>
          <w:tcPr>
            <w:tcW w:w="3495" w:type="dxa"/>
          </w:tcPr>
          <w:p>
            <w:pPr>
              <w:pStyle w:val="104"/>
            </w:pPr>
            <w:r>
              <w:t>Downlink Configuration</w:t>
            </w:r>
          </w:p>
        </w:tc>
        <w:tc>
          <w:tcPr>
            <w:tcW w:w="4303" w:type="dxa"/>
            <w:gridSpan w:val="2"/>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5"/>
            </w:pPr>
            <w:r>
              <w:t>Ch BW</w:t>
            </w:r>
          </w:p>
        </w:tc>
        <w:tc>
          <w:tcPr>
            <w:tcW w:w="3495" w:type="dxa"/>
            <w:vMerge w:val="restart"/>
          </w:tcPr>
          <w:p>
            <w:pPr>
              <w:pStyle w:val="105"/>
            </w:pPr>
            <w:r>
              <w:t>N/A for carrier leakage testing</w:t>
            </w:r>
          </w:p>
        </w:tc>
        <w:tc>
          <w:tcPr>
            <w:tcW w:w="1165" w:type="dxa"/>
          </w:tcPr>
          <w:p>
            <w:pPr>
              <w:pStyle w:val="105"/>
            </w:pPr>
            <w:r>
              <w:t>Mod'n</w:t>
            </w:r>
          </w:p>
        </w:tc>
        <w:tc>
          <w:tcPr>
            <w:tcW w:w="3138" w:type="dxa"/>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5"/>
            </w:pPr>
          </w:p>
        </w:tc>
        <w:tc>
          <w:tcPr>
            <w:tcW w:w="3495" w:type="dxa"/>
            <w:vMerge w:val="continue"/>
          </w:tcPr>
          <w:p>
            <w:pPr>
              <w:pStyle w:val="105"/>
            </w:pPr>
          </w:p>
        </w:tc>
        <w:tc>
          <w:tcPr>
            <w:tcW w:w="1165" w:type="dxa"/>
          </w:tcPr>
          <w:p>
            <w:pPr>
              <w:pStyle w:val="105"/>
            </w:pPr>
          </w:p>
        </w:tc>
        <w:tc>
          <w:tcPr>
            <w:tcW w:w="3138" w:type="dxa"/>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left w:val="single" w:color="auto" w:sz="4" w:space="0"/>
            </w:tcBorders>
          </w:tcPr>
          <w:p>
            <w:pPr>
              <w:pStyle w:val="105"/>
            </w:pPr>
            <w:r>
              <w:t>1.4MHz</w:t>
            </w:r>
          </w:p>
        </w:tc>
        <w:tc>
          <w:tcPr>
            <w:tcW w:w="3495" w:type="dxa"/>
            <w:vMerge w:val="continue"/>
          </w:tcPr>
          <w:p>
            <w:pPr>
              <w:pStyle w:val="105"/>
            </w:pPr>
          </w:p>
        </w:tc>
        <w:tc>
          <w:tcPr>
            <w:tcW w:w="1165" w:type="dxa"/>
          </w:tcPr>
          <w:p>
            <w:pPr>
              <w:pStyle w:val="105"/>
            </w:pPr>
            <w:r>
              <w:t>QPSK</w:t>
            </w:r>
          </w:p>
        </w:tc>
        <w:tc>
          <w:tcPr>
            <w:tcW w:w="3138" w:type="dxa"/>
          </w:tcPr>
          <w:p>
            <w:pPr>
              <w:pStyle w:val="105"/>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64" w:type="dxa"/>
            <w:gridSpan w:val="4"/>
          </w:tcPr>
          <w:p>
            <w:pPr>
              <w:pStyle w:val="118"/>
            </w:pPr>
            <w:r>
              <w:t>Note 1:</w:t>
            </w:r>
            <w:r>
              <w:tab/>
            </w:r>
            <w:r>
              <w:t>For partial RB allocation, the RB</w:t>
            </w:r>
            <w:r>
              <w:rPr>
                <w:vertAlign w:val="subscript"/>
              </w:rPr>
              <w:t>start</w:t>
            </w:r>
            <w:r>
              <w:t xml:space="preserve"> shall be RB #0 and RB# (6 - RB allocation) of the channel bandwidth.</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6.4A.2.2.4.1-1.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color w:val="000000" w:themeColor="text1"/>
          <w:lang w:eastAsia="en-GB"/>
          <w14:textFill>
            <w14:solidFill>
              <w14:schemeClr w14:val="tx1"/>
            </w14:solidFill>
          </w14:textFill>
        </w:rPr>
      </w:pPr>
      <w:r>
        <w:rPr>
          <w:rFonts w:hint="eastAsia"/>
          <w:lang w:eastAsia="en-GB"/>
        </w:rPr>
        <w:t>6</w:t>
      </w:r>
      <w:r>
        <w:rPr>
          <w:lang w:eastAsia="en-GB"/>
        </w:rPr>
        <w:t>.</w:t>
      </w:r>
      <w:r>
        <w:rPr>
          <w:lang w:eastAsia="en-GB"/>
        </w:rPr>
        <w:tab/>
      </w:r>
      <w:r>
        <w:rPr>
          <w:rFonts w:hint="eastAsia"/>
          <w:lang w:eastAsia="en-GB"/>
        </w:rPr>
        <w:t xml:space="preserve">UE location according to </w:t>
      </w:r>
      <w:r>
        <w:rPr>
          <w:rFonts w:hint="eastAsia"/>
          <w:color w:val="000000" w:themeColor="text1"/>
          <w:lang w:eastAsia="en-GB"/>
          <w14:textFill>
            <w14:solidFill>
              <w14:schemeClr w14:val="tx1"/>
            </w14:solidFill>
          </w14:textFill>
        </w:rPr>
        <w:t xml:space="preserve">TS 36.508 [12] clause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.6.1 is provided to the UE through any preconfigured means.</w:t>
      </w:r>
    </w:p>
    <w:p>
      <w:pPr>
        <w:pStyle w:val="111"/>
        <w:overflowPunct w:val="0"/>
        <w:autoSpaceDE w:val="0"/>
        <w:autoSpaceDN w:val="0"/>
        <w:adjustRightInd w:val="0"/>
        <w:contextualSpacing w:val="0"/>
        <w:textAlignment w:val="baseline"/>
      </w:pPr>
      <w:r>
        <w:rPr>
          <w:rFonts w:hint="eastAsia"/>
          <w:color w:val="000000" w:themeColor="text1"/>
          <w:lang w:eastAsia="en-GB"/>
          <w14:textFill>
            <w14:solidFill>
              <w14:schemeClr w14:val="tx1"/>
            </w14:solidFill>
          </w14:textFill>
        </w:rPr>
        <w:t>7</w:t>
      </w:r>
      <w:r>
        <w:rPr>
          <w:color w:val="000000" w:themeColor="text1"/>
          <w:lang w:eastAsia="en-GB"/>
          <w14:textFill>
            <w14:solidFill>
              <w14:schemeClr w14:val="tx1"/>
            </w14:solidFill>
          </w14:textFill>
        </w:rPr>
        <w:t>.</w:t>
      </w:r>
      <w:r>
        <w:rPr>
          <w:color w:val="000000" w:themeColor="text1"/>
          <w:lang w:eastAsia="en-GB"/>
          <w14:textFill>
            <w14:solidFill>
              <w14:schemeClr w14:val="tx1"/>
            </w14:solidFill>
          </w14:textFill>
        </w:rPr>
        <w:tab/>
      </w:r>
      <w:r>
        <w:rPr>
          <w:color w:val="000000" w:themeColor="text1"/>
          <w14:textFill>
            <w14:solidFill>
              <w14:schemeClr w14:val="tx1"/>
            </w14:solidFill>
          </w14:textFill>
        </w:rPr>
        <w:t xml:space="preserve">Test equipment shall emulate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w:t>
      </w:r>
      <w:r>
        <w:t>n of the test as define in TS 36.508[12] clause 5.6.3.1</w:t>
      </w:r>
    </w:p>
    <w:p>
      <w:pPr>
        <w:pStyle w:val="111"/>
        <w:overflowPunct w:val="0"/>
        <w:autoSpaceDE w:val="0"/>
        <w:autoSpaceDN w:val="0"/>
        <w:adjustRightInd w:val="0"/>
        <w:contextualSpacing w:val="0"/>
        <w:textAlignment w:val="baseline"/>
        <w:rPr>
          <w:lang w:eastAsia="en-GB"/>
        </w:rPr>
      </w:pPr>
      <w:r>
        <w:rPr>
          <w:rFonts w:hint="eastAsia"/>
        </w:rPr>
        <w:t>8</w:t>
      </w:r>
      <w:r>
        <w:t>.</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6.4A.2.1.4.3.</w:t>
      </w:r>
    </w:p>
    <w:p>
      <w:pPr>
        <w:pStyle w:val="9"/>
      </w:pPr>
      <w:r>
        <w:t>6.4A.2.2.4.2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MPDCCH DCI format 6-0A for C_RNTI to schedule the UL RMC according to Table 6.4A.2.2.4.1-1.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Send the appropriate TPC commands in the uplink scheduling information to the UE until UE output power is 13.2 dBm ±3.2dB for carrier frequency f ≤ 3.0GHz or 13.5dBm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carrier leakage using Global In-Channel Tx-Test (Annex E) according to the UE’s declaration on the position of carrier centre frequency. For HD-FDD slots with transient periods are not under test. Half-duplex guard subframes are not under test.</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Send the appropriate TPC commands in the uplink scheduling information to the UE until UE output power is 3.2 dBm ±3.2dB for carrier frequency f ≤ 3.0GHz or 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Measure carrier leakage using Global In-Channel Tx-Test (Annex E) according to the UE’s declaration on the position of carrier centre frequency. For HD-FDD slots with transient periods are not under test. Half-duplex guard subframes are not under test.</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Send the appropriate TPC commands in the uplink scheduling information to the UE until UE output power is -26.8 dBm ±3.2dB for carrier frequency f ≤ 3.0GHz or -26.5dBm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Measure carrier leakage using Global In-Channel Tx-Test (Annex E) according to the UE’s declaration on the position of carrier centre frequency. For HD-FDD slots with transient periods are not under test. Half-duplex guard subframes are not under test.</w:t>
      </w:r>
    </w:p>
    <w:p>
      <w:pPr>
        <w:pStyle w:val="11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r>
      <w:r>
        <w:rPr>
          <w:rFonts w:hint="eastAsia"/>
          <w:lang w:eastAsia="en-GB"/>
        </w:rPr>
        <w:t>Send the appropriate TPC commands in the uplink scheduling information to the UE until UE output power is -36.8dBm ±3.2dB for carrier frequency f ≤ 3.0GHz or -36.5dBm ±3.5 dB for carrier frequency 3.0GHz &lt; f ≤ 4.2GHz.</w:t>
      </w:r>
    </w:p>
    <w:p>
      <w:pPr>
        <w:pStyle w:val="111"/>
        <w:overflowPunct w:val="0"/>
        <w:autoSpaceDE w:val="0"/>
        <w:autoSpaceDN w:val="0"/>
        <w:adjustRightInd w:val="0"/>
        <w:contextualSpacing w:val="0"/>
        <w:textAlignment w:val="baseline"/>
      </w:pPr>
      <w:r>
        <w:rPr>
          <w:rFonts w:hint="eastAsia"/>
          <w:lang w:eastAsia="en-GB"/>
        </w:rPr>
        <w:t>9.</w:t>
      </w:r>
      <w:r>
        <w:rPr>
          <w:rFonts w:hint="eastAsia"/>
          <w:lang w:eastAsia="en-GB"/>
        </w:rPr>
        <w:tab/>
      </w:r>
      <w:r>
        <w:rPr>
          <w:rFonts w:hint="eastAsia"/>
          <w:lang w:eastAsia="en-GB"/>
        </w:rPr>
        <w:t xml:space="preserve">Measure carrier leakage using Global In-Channel Tx-Test (Annex E) according to the UE’s declaration on the position of carrier centre frequency. </w:t>
      </w:r>
    </w:p>
    <w:p>
      <w:pPr>
        <w:pStyle w:val="9"/>
      </w:pPr>
      <w:r>
        <w:t>6.4A.2.2.4.3</w:t>
      </w:r>
      <w:r>
        <w:tab/>
      </w:r>
      <w:r>
        <w:t>Message contents</w:t>
      </w:r>
    </w:p>
    <w:p>
      <w:r>
        <w:t>Message contents are according to TS 36.508 [12] subclause 4.6 with the condition CEModeA.</w:t>
      </w:r>
    </w:p>
    <w:p>
      <w:pPr>
        <w:pStyle w:val="9"/>
      </w:pPr>
      <w:r>
        <w:t>6.4A.2.2.5</w:t>
      </w:r>
      <w:r>
        <w:tab/>
      </w:r>
      <w:r>
        <w:t>Test requirement</w:t>
      </w:r>
    </w:p>
    <w:p>
      <w:pPr>
        <w:tabs>
          <w:tab w:val="left" w:pos="3450"/>
        </w:tabs>
      </w:pPr>
      <w:r>
        <w:t>Each of the 20 IQ offset results, derived in Annex E.3.1, shall not exceed the values in table 6.4A.2.5-1</w:t>
      </w:r>
    </w:p>
    <w:p>
      <w:pPr>
        <w:pStyle w:val="113"/>
      </w:pPr>
      <w:r>
        <w:rPr>
          <w:rFonts w:eastAsia="Osaka"/>
        </w:rPr>
        <w:t>Table 6.4A.2.2</w:t>
      </w:r>
      <w:r>
        <w:t>.5-1</w:t>
      </w:r>
      <w:r>
        <w:rPr>
          <w:rFonts w:eastAsia="Osaka"/>
        </w:rPr>
        <w:t xml:space="preserve">: </w:t>
      </w:r>
      <w:r>
        <w:rPr>
          <w:rFonts w:cs="Arial"/>
        </w:rPr>
        <w:t xml:space="preserve">Test requirements for </w:t>
      </w:r>
      <w:r>
        <w:rPr>
          <w:rFonts w:eastAsia="Osaka"/>
        </w:rPr>
        <w:t>Relative Carrier Leakage Power</w:t>
      </w:r>
    </w:p>
    <w:tbl>
      <w:tblPr>
        <w:tblStyle w:val="89"/>
        <w:tblW w:w="86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2849"/>
        <w:gridCol w:w="1687"/>
        <w:gridCol w:w="26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restart"/>
          </w:tcPr>
          <w:p>
            <w:pPr>
              <w:pStyle w:val="104"/>
              <w:rPr>
                <w:rFonts w:cs="Arial"/>
              </w:rPr>
            </w:pPr>
            <w:r>
              <w:t>LO Leakage</w:t>
            </w:r>
          </w:p>
        </w:tc>
        <w:tc>
          <w:tcPr>
            <w:tcW w:w="2849" w:type="dxa"/>
          </w:tcPr>
          <w:p>
            <w:pPr>
              <w:pStyle w:val="104"/>
              <w:rPr>
                <w:rFonts w:cs="Arial"/>
              </w:rPr>
            </w:pPr>
            <w:r>
              <w:rPr>
                <w:rFonts w:cs="Arial"/>
              </w:rPr>
              <w:t>Parameters</w:t>
            </w:r>
          </w:p>
        </w:tc>
        <w:tc>
          <w:tcPr>
            <w:tcW w:w="1687" w:type="dxa"/>
            <w:shd w:val="clear" w:color="auto" w:fill="auto"/>
          </w:tcPr>
          <w:p>
            <w:pPr>
              <w:pStyle w:val="104"/>
              <w:rPr>
                <w:rFonts w:cs="Arial"/>
              </w:rPr>
            </w:pPr>
            <w:r>
              <w:rPr>
                <w:rFonts w:cs="Arial"/>
              </w:rPr>
              <w:t>Relative limit (dBc)</w:t>
            </w:r>
          </w:p>
        </w:tc>
        <w:tc>
          <w:tcPr>
            <w:tcW w:w="2685" w:type="dxa"/>
            <w:shd w:val="clear" w:color="auto" w:fill="auto"/>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1417" w:type="dxa"/>
            <w:vMerge w:val="continue"/>
          </w:tcPr>
          <w:p>
            <w:pPr>
              <w:pStyle w:val="105"/>
            </w:pPr>
          </w:p>
        </w:tc>
        <w:tc>
          <w:tcPr>
            <w:tcW w:w="2849" w:type="dxa"/>
            <w:vMerge w:val="restart"/>
          </w:tcPr>
          <w:p>
            <w:pPr>
              <w:pStyle w:val="105"/>
            </w:pPr>
            <w:r>
              <w:t xml:space="preserve">f </w:t>
            </w:r>
            <w:r>
              <w:rPr>
                <w:rFonts w:cs="Arial"/>
              </w:rPr>
              <w:t>≤</w:t>
            </w:r>
            <w:r>
              <w:t xml:space="preserve"> 3.0GHz: 13.2 dBm </w:t>
            </w:r>
            <w:r>
              <w:rPr>
                <w:rFonts w:cs="Arial"/>
              </w:rPr>
              <w:t>±</w:t>
            </w:r>
            <w:r>
              <w:t>3.2dB</w:t>
            </w:r>
          </w:p>
          <w:p>
            <w:pPr>
              <w:pStyle w:val="105"/>
              <w:rPr>
                <w:rFonts w:cs="Arial"/>
              </w:rPr>
            </w:pPr>
            <w:r>
              <w:t xml:space="preserve">3.0GHz &lt; f </w:t>
            </w:r>
            <w:r>
              <w:rPr>
                <w:rFonts w:cs="Arial"/>
              </w:rPr>
              <w:t>≤</w:t>
            </w:r>
            <w:r>
              <w:t xml:space="preserve"> 4.2GHz: 13.5 dBm </w:t>
            </w:r>
            <w:r>
              <w:rPr>
                <w:rFonts w:cs="Arial"/>
              </w:rPr>
              <w:t>±</w:t>
            </w:r>
            <w:r>
              <w:t>3.5dB</w:t>
            </w:r>
          </w:p>
        </w:tc>
        <w:tc>
          <w:tcPr>
            <w:tcW w:w="1687" w:type="dxa"/>
            <w:shd w:val="clear" w:color="auto" w:fill="auto"/>
          </w:tcPr>
          <w:p>
            <w:pPr>
              <w:pStyle w:val="105"/>
              <w:rPr>
                <w:rFonts w:cs="Arial"/>
              </w:rPr>
            </w:pPr>
            <w:r>
              <w:rPr>
                <w:rFonts w:cs="Arial"/>
              </w:rPr>
              <w:t>-27.2</w:t>
            </w:r>
          </w:p>
        </w:tc>
        <w:tc>
          <w:tcPr>
            <w:tcW w:w="2685" w:type="dxa"/>
            <w:shd w:val="clear" w:color="auto" w:fill="auto"/>
          </w:tcPr>
          <w:p>
            <w:pPr>
              <w:pStyle w:val="105"/>
              <w:rPr>
                <w:rFonts w:cs="Arial"/>
              </w:rPr>
            </w:pPr>
            <w:r>
              <w:rPr>
                <w:rFonts w:cs="Arial"/>
              </w:rPr>
              <w:t>Carrier centre frequency &lt; 1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1417" w:type="dxa"/>
            <w:vMerge w:val="continue"/>
          </w:tcPr>
          <w:p>
            <w:pPr>
              <w:pStyle w:val="105"/>
              <w:rPr>
                <w:rFonts w:cs="Arial"/>
              </w:rPr>
            </w:pPr>
          </w:p>
        </w:tc>
        <w:tc>
          <w:tcPr>
            <w:tcW w:w="2849" w:type="dxa"/>
            <w:vMerge w:val="continue"/>
          </w:tcPr>
          <w:p>
            <w:pPr>
              <w:pStyle w:val="105"/>
              <w:rPr>
                <w:rFonts w:cs="Arial"/>
              </w:rPr>
            </w:pPr>
          </w:p>
        </w:tc>
        <w:tc>
          <w:tcPr>
            <w:tcW w:w="1687" w:type="dxa"/>
            <w:shd w:val="clear" w:color="auto" w:fill="auto"/>
          </w:tcPr>
          <w:p>
            <w:pPr>
              <w:pStyle w:val="105"/>
              <w:rPr>
                <w:rFonts w:cs="Arial"/>
              </w:rPr>
            </w:pPr>
            <w:r>
              <w:t>-24.2</w:t>
            </w:r>
          </w:p>
        </w:tc>
        <w:tc>
          <w:tcPr>
            <w:tcW w:w="2685" w:type="dxa"/>
            <w:shd w:val="clear" w:color="auto" w:fill="auto"/>
          </w:tcPr>
          <w:p>
            <w:pPr>
              <w:pStyle w:val="105"/>
              <w:rPr>
                <w:rFonts w:cs="Arial"/>
              </w:rPr>
            </w:pPr>
            <w:r>
              <w:rPr>
                <w:rFonts w:cs="Arial"/>
              </w:rPr>
              <w:t>Carrier centre frequency ≥ 1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tcPr>
          <w:p>
            <w:pPr>
              <w:pStyle w:val="105"/>
            </w:pPr>
          </w:p>
        </w:tc>
        <w:tc>
          <w:tcPr>
            <w:tcW w:w="2849" w:type="dxa"/>
          </w:tcPr>
          <w:p>
            <w:pPr>
              <w:pStyle w:val="105"/>
            </w:pPr>
            <w:r>
              <w:t xml:space="preserve">f </w:t>
            </w:r>
            <w:r>
              <w:rPr>
                <w:rFonts w:cs="Arial"/>
              </w:rPr>
              <w:t>≤</w:t>
            </w:r>
            <w:r>
              <w:t xml:space="preserve"> 3.0GHz: 3.2 dBm </w:t>
            </w:r>
            <w:r>
              <w:rPr>
                <w:rFonts w:cs="Arial"/>
              </w:rPr>
              <w:t>±</w:t>
            </w:r>
            <w:r>
              <w:t>3.2dB</w:t>
            </w:r>
          </w:p>
          <w:p>
            <w:pPr>
              <w:pStyle w:val="105"/>
              <w:rPr>
                <w:rFonts w:cs="Arial"/>
              </w:rPr>
            </w:pPr>
            <w:r>
              <w:t xml:space="preserve">3.0GHz &lt; f </w:t>
            </w:r>
            <w:r>
              <w:rPr>
                <w:rFonts w:cs="Arial"/>
              </w:rPr>
              <w:t>≤</w:t>
            </w:r>
            <w:r>
              <w:t xml:space="preserve"> 4.2GHz: 3.5 dBm </w:t>
            </w:r>
            <w:r>
              <w:rPr>
                <w:rFonts w:cs="Arial"/>
              </w:rPr>
              <w:t>±</w:t>
            </w:r>
            <w:r>
              <w:t>3.5dB</w:t>
            </w:r>
          </w:p>
        </w:tc>
        <w:tc>
          <w:tcPr>
            <w:tcW w:w="1687" w:type="dxa"/>
            <w:shd w:val="clear" w:color="auto" w:fill="auto"/>
          </w:tcPr>
          <w:p>
            <w:pPr>
              <w:pStyle w:val="105"/>
              <w:rPr>
                <w:rFonts w:cs="Arial"/>
              </w:rPr>
            </w:pPr>
            <w:r>
              <w:t>-24.2</w:t>
            </w:r>
          </w:p>
        </w:tc>
        <w:tc>
          <w:tcPr>
            <w:tcW w:w="2685" w:type="dxa"/>
            <w:shd w:val="clear" w:color="auto" w:fill="auto"/>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tcPr>
          <w:p>
            <w:pPr>
              <w:pStyle w:val="105"/>
            </w:pPr>
          </w:p>
        </w:tc>
        <w:tc>
          <w:tcPr>
            <w:tcW w:w="2849" w:type="dxa"/>
          </w:tcPr>
          <w:p>
            <w:pPr>
              <w:pStyle w:val="105"/>
            </w:pPr>
            <w:r>
              <w:t xml:space="preserve">f </w:t>
            </w:r>
            <w:r>
              <w:rPr>
                <w:rFonts w:cs="Arial"/>
              </w:rPr>
              <w:t>≤</w:t>
            </w:r>
            <w:r>
              <w:t xml:space="preserve"> 3.0GHz: -26.8 dBm </w:t>
            </w:r>
            <w:r>
              <w:rPr>
                <w:rFonts w:cs="Arial"/>
              </w:rPr>
              <w:t>±</w:t>
            </w:r>
            <w:r>
              <w:t>3.2dB</w:t>
            </w:r>
          </w:p>
          <w:p>
            <w:pPr>
              <w:pStyle w:val="105"/>
              <w:rPr>
                <w:rFonts w:cs="Arial"/>
              </w:rPr>
            </w:pPr>
            <w:r>
              <w:t xml:space="preserve">3.0GHz &lt; f </w:t>
            </w:r>
            <w:r>
              <w:rPr>
                <w:rFonts w:cs="Arial"/>
              </w:rPr>
              <w:t>≤</w:t>
            </w:r>
            <w:r>
              <w:t xml:space="preserve"> 4.2GHz: -26.5 dBm </w:t>
            </w:r>
            <w:r>
              <w:rPr>
                <w:rFonts w:cs="Arial"/>
              </w:rPr>
              <w:t>±</w:t>
            </w:r>
            <w:r>
              <w:t>3.5dB</w:t>
            </w:r>
          </w:p>
        </w:tc>
        <w:tc>
          <w:tcPr>
            <w:tcW w:w="1687" w:type="dxa"/>
            <w:shd w:val="clear" w:color="auto" w:fill="auto"/>
          </w:tcPr>
          <w:p>
            <w:pPr>
              <w:pStyle w:val="105"/>
              <w:rPr>
                <w:rFonts w:cs="Arial"/>
              </w:rPr>
            </w:pPr>
            <w:r>
              <w:t>-19.2</w:t>
            </w:r>
          </w:p>
        </w:tc>
        <w:tc>
          <w:tcPr>
            <w:tcW w:w="2685" w:type="dxa"/>
            <w:shd w:val="clear" w:color="auto" w:fill="auto"/>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tcPr>
          <w:p>
            <w:pPr>
              <w:pStyle w:val="105"/>
            </w:pPr>
          </w:p>
        </w:tc>
        <w:tc>
          <w:tcPr>
            <w:tcW w:w="2849" w:type="dxa"/>
          </w:tcPr>
          <w:p>
            <w:pPr>
              <w:pStyle w:val="105"/>
            </w:pPr>
            <w:r>
              <w:t xml:space="preserve">f </w:t>
            </w:r>
            <w:r>
              <w:rPr>
                <w:rFonts w:cs="Arial"/>
              </w:rPr>
              <w:t>≤</w:t>
            </w:r>
            <w:r>
              <w:t xml:space="preserve"> 3.0GHz: -36.8dBm</w:t>
            </w:r>
            <w:r>
              <w:rPr>
                <w:rFonts w:cs="Arial"/>
              </w:rPr>
              <w:t>±</w:t>
            </w:r>
            <w:r>
              <w:t>3.2dB</w:t>
            </w:r>
          </w:p>
          <w:p>
            <w:pPr>
              <w:pStyle w:val="105"/>
              <w:rPr>
                <w:rFonts w:cs="Arial"/>
              </w:rPr>
            </w:pPr>
            <w:r>
              <w:t xml:space="preserve">3.0GHz &lt; f </w:t>
            </w:r>
            <w:r>
              <w:rPr>
                <w:rFonts w:cs="Arial"/>
              </w:rPr>
              <w:t>≤</w:t>
            </w:r>
            <w:r>
              <w:t xml:space="preserve"> 4.2GHz: -36.5 dBm </w:t>
            </w:r>
            <w:r>
              <w:rPr>
                <w:rFonts w:cs="Arial"/>
              </w:rPr>
              <w:t>±</w:t>
            </w:r>
            <w:r>
              <w:t>3.5dB</w:t>
            </w:r>
          </w:p>
        </w:tc>
        <w:tc>
          <w:tcPr>
            <w:tcW w:w="1687" w:type="dxa"/>
            <w:shd w:val="clear" w:color="auto" w:fill="auto"/>
          </w:tcPr>
          <w:p>
            <w:pPr>
              <w:pStyle w:val="105"/>
              <w:rPr>
                <w:rFonts w:cs="Arial"/>
              </w:rPr>
            </w:pPr>
            <w:r>
              <w:t>-9.2</w:t>
            </w:r>
          </w:p>
        </w:tc>
        <w:tc>
          <w:tcPr>
            <w:tcW w:w="2685" w:type="dxa"/>
            <w:shd w:val="clear" w:color="auto" w:fill="auto"/>
          </w:tcPr>
          <w:p>
            <w:pPr>
              <w:pStyle w:val="105"/>
              <w:rPr>
                <w:rFonts w:cs="Arial"/>
              </w:rPr>
            </w:pPr>
          </w:p>
        </w:tc>
      </w:tr>
    </w:tbl>
    <w:p/>
    <w:p>
      <w:pPr>
        <w:pStyle w:val="6"/>
      </w:pPr>
      <w:bookmarkStart w:id="705" w:name="_Toc15723"/>
      <w:bookmarkStart w:id="706" w:name="_Toc12749"/>
      <w:bookmarkStart w:id="707" w:name="_Toc20773"/>
      <w:bookmarkStart w:id="708" w:name="_Toc21746"/>
      <w:bookmarkStart w:id="709" w:name="_Toc21661"/>
      <w:r>
        <w:t>6.4A.2.3</w:t>
      </w:r>
      <w:r>
        <w:tab/>
      </w:r>
      <w:r>
        <w:t>In-band emissions for non allocated RB for category M1</w:t>
      </w:r>
      <w:bookmarkEnd w:id="705"/>
      <w:bookmarkEnd w:id="706"/>
      <w:bookmarkEnd w:id="707"/>
      <w:bookmarkEnd w:id="708"/>
      <w:bookmarkEnd w:id="709"/>
    </w:p>
    <w:p>
      <w:pPr>
        <w:pStyle w:val="112"/>
        <w:rPr>
          <w:lang w:val="en-US"/>
        </w:rPr>
      </w:pPr>
      <w:r>
        <w:t>Editor’s Note: Addition to applicability spec is pending.</w:t>
      </w:r>
    </w:p>
    <w:p>
      <w:pPr>
        <w:pStyle w:val="9"/>
      </w:pPr>
      <w:r>
        <w:t>6.4A.2.3.1</w:t>
      </w:r>
      <w:r>
        <w:tab/>
      </w:r>
      <w:r>
        <w:t>Test purpose</w:t>
      </w:r>
    </w:p>
    <w:p>
      <w:r>
        <w:t>The in-band emissions are a measure of the interference falling into the non-allocated resources blocks</w:t>
      </w:r>
    </w:p>
    <w:p>
      <w: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Pr>
          <w:rFonts w:eastAsia="MS Mincho"/>
        </w:rPr>
        <w:t xml:space="preserve"> When the PUSCH or PUCCH transmission slot is shortened due to multiplexing with SRS, the in-band emissions measurement interval is reduced by one </w:t>
      </w:r>
      <w:r>
        <w:t xml:space="preserve">SC-FDMA </w:t>
      </w:r>
      <w:r>
        <w:rPr>
          <w:rFonts w:eastAsia="MS Mincho"/>
        </w:rPr>
        <w:t>symbol, accordingly.</w:t>
      </w:r>
      <w:r>
        <w:t xml:space="preserve"> Likewise, when the PUSCH starting position is modified or when the second last symbol is the ending symbol of the PUSCH sub-frame for Frame Structure Type 3, the in-band emissions measurement interval is reduced accordingly.</w:t>
      </w:r>
    </w:p>
    <w:p/>
    <w:p>
      <w:pPr>
        <w:pStyle w:val="9"/>
      </w:pPr>
      <w:r>
        <w:t>6.4A.2.3.2</w:t>
      </w:r>
      <w:r>
        <w:tab/>
      </w:r>
      <w: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pPr>
      <w:r>
        <w:t>6.4A.2.3.3</w:t>
      </w:r>
      <w:r>
        <w:tab/>
      </w:r>
      <w:r>
        <w:t>Minimum conformance requirements</w:t>
      </w:r>
    </w:p>
    <w:p>
      <w:pPr>
        <w:pStyle w:val="113"/>
      </w:pPr>
      <w:r>
        <w:t>Table 6.4A.2.3.3-1: Minimum requirements for in-band emissions for UE supporting Rel-15 and higher</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tcBorders>
              <w:bottom w:val="single" w:color="auto" w:sz="4" w:space="0"/>
              <w:right w:val="single" w:color="auto" w:sz="4" w:space="0"/>
            </w:tcBorders>
            <w:shd w:val="clear" w:color="auto" w:fill="auto"/>
            <w:vAlign w:val="center"/>
          </w:tcPr>
          <w:p>
            <w:pPr>
              <w:pStyle w:val="104"/>
              <w:rPr>
                <w:rFonts w:cs="Arial"/>
                <w:i/>
                <w:iCs/>
              </w:rPr>
            </w:pPr>
            <w:r>
              <w:rPr>
                <w:rFonts w:cs="Arial"/>
              </w:rPr>
              <w:t>Parameter description</w:t>
            </w:r>
          </w:p>
        </w:tc>
        <w:tc>
          <w:tcPr>
            <w:tcW w:w="1293"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Unit</w:t>
            </w:r>
          </w:p>
        </w:tc>
        <w:tc>
          <w:tcPr>
            <w:tcW w:w="5420" w:type="dxa"/>
            <w:gridSpan w:val="2"/>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Limit (NOTE 1)</w:t>
            </w:r>
          </w:p>
        </w:tc>
        <w:tc>
          <w:tcPr>
            <w:tcW w:w="1682"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205" w:type="dxa"/>
            <w:tcBorders>
              <w:top w:val="single" w:color="auto" w:sz="4" w:space="0"/>
              <w:left w:val="single" w:color="auto" w:sz="4" w:space="0"/>
              <w:bottom w:val="nil"/>
              <w:right w:val="single" w:color="auto" w:sz="4" w:space="0"/>
            </w:tcBorders>
            <w:shd w:val="clear" w:color="auto" w:fill="auto"/>
            <w:vAlign w:val="bottom"/>
          </w:tcPr>
          <w:p>
            <w:pPr>
              <w:pStyle w:val="104"/>
              <w:rPr>
                <w:rFonts w:cs="Arial"/>
              </w:rPr>
            </w:pPr>
            <w:r>
              <w:rPr>
                <w:rFonts w:cs="Arial"/>
              </w:rPr>
              <w:t>General</w:t>
            </w:r>
          </w:p>
        </w:tc>
        <w:tc>
          <w:tcPr>
            <w:tcW w:w="1293" w:type="dxa"/>
            <w:tcBorders>
              <w:top w:val="single" w:color="auto" w:sz="4" w:space="0"/>
              <w:left w:val="single" w:color="auto" w:sz="4" w:space="0"/>
              <w:bottom w:val="nil"/>
              <w:right w:val="single" w:color="auto" w:sz="4" w:space="0"/>
            </w:tcBorders>
            <w:vAlign w:val="bottom"/>
          </w:tcPr>
          <w:p>
            <w:pPr>
              <w:pStyle w:val="105"/>
              <w:rPr>
                <w:rFonts w:cs="Arial"/>
              </w:rPr>
            </w:pPr>
            <w:r>
              <w:rPr>
                <w:rFonts w:cs="Arial"/>
              </w:rPr>
              <w:t>dB</w:t>
            </w:r>
          </w:p>
        </w:tc>
        <w:tc>
          <w:tcPr>
            <w:tcW w:w="542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m:oMathPara>
              <m:oMath>
                <m:r>
                  <m:rPr/>
                  <w:rPr>
                    <w:rFonts w:ascii="Cambria Math" w:hAnsi="Cambria Math" w:cs="Arial"/>
                    <w:lang w:eastAsia="ja-JP"/>
                  </w:rPr>
                  <m:t>−18−</m:t>
                </m:r>
                <m:d>
                  <m:dPr>
                    <m:begChr m:val="["/>
                    <m:endChr m:val="]"/>
                    <m:ctrlPr>
                      <w:rPr>
                        <w:rFonts w:ascii="Cambria Math" w:hAnsi="Cambria Math" w:cs="Arial"/>
                        <w:i/>
                        <w:lang w:eastAsia="ja-JP"/>
                      </w:rPr>
                    </m:ctrlPr>
                  </m:dPr>
                  <m:e>
                    <m:r>
                      <m:rPr/>
                      <w:rPr>
                        <w:rFonts w:ascii="Cambria Math" w:hAnsi="Cambria Math" w:cs="Arial"/>
                        <w:lang w:eastAsia="ja-JP"/>
                      </w:rPr>
                      <m:t>5</m:t>
                    </m:r>
                    <m:ctrlPr>
                      <w:rPr>
                        <w:rFonts w:ascii="Cambria Math" w:hAnsi="Cambria Math" w:cs="Arial"/>
                        <w:i/>
                        <w:lang w:eastAsia="ja-JP"/>
                      </w:rPr>
                    </m:ctrlPr>
                  </m:e>
                </m:d>
                <m:r>
                  <m:rP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ctrlPr>
                      <w:rPr>
                        <w:rFonts w:ascii="Cambria Math" w:hAnsi="Cambria Math" w:cs="Arial"/>
                        <w:i/>
                        <w:lang w:eastAsia="ja-JP"/>
                      </w:rPr>
                    </m:ctrlPr>
                  </m:e>
                </m:d>
                <m:r>
                  <m:rPr/>
                  <w:rPr>
                    <w:rFonts w:ascii="Cambria Math" w:hAnsi="Cambria Math" w:cs="Arial"/>
                    <w:lang w:eastAsia="ja-JP"/>
                  </w:rPr>
                  <m:t>−1)/</m:t>
                </m:r>
                <m:sSub>
                  <m:sSubPr>
                    <m:ctrlPr>
                      <w:rPr>
                        <w:rFonts w:ascii="Cambria Math" w:hAnsi="Cambria Math" w:cs="Arial"/>
                        <w:i/>
                        <w:lang w:eastAsia="ja-JP"/>
                      </w:rPr>
                    </m:ctrlPr>
                  </m:sSubPr>
                  <m:e>
                    <m:r>
                      <m:rPr/>
                      <w:rPr>
                        <w:rFonts w:ascii="Cambria Math" w:hAnsi="Cambria Math" w:cs="Arial"/>
                        <w:lang w:eastAsia="ja-JP"/>
                      </w:rPr>
                      <m:t>L</m:t>
                    </m:r>
                    <m:ctrlPr>
                      <w:rPr>
                        <w:rFonts w:ascii="Cambria Math" w:hAnsi="Cambria Math" w:cs="Arial"/>
                        <w:i/>
                        <w:lang w:eastAsia="ja-JP"/>
                      </w:rPr>
                    </m:ctrlPr>
                  </m:e>
                  <m:sub>
                    <m:r>
                      <m:rPr/>
                      <w:rPr>
                        <w:rFonts w:ascii="Cambria Math" w:hAnsi="Cambria Math" w:cs="Arial"/>
                        <w:lang w:eastAsia="ja-JP"/>
                      </w:rPr>
                      <m:t>SCG</m:t>
                    </m:r>
                    <m:ctrlPr>
                      <w:rPr>
                        <w:rFonts w:ascii="Cambria Math" w:hAnsi="Cambria Math" w:cs="Arial"/>
                        <w:i/>
                        <w:lang w:eastAsia="ja-JP"/>
                      </w:rPr>
                    </m:ctrlPr>
                  </m:sub>
                </m:sSub>
              </m:oMath>
            </m:oMathPara>
          </w:p>
        </w:tc>
        <w:tc>
          <w:tcPr>
            <w:tcW w:w="1682" w:type="dxa"/>
            <w:tcBorders>
              <w:top w:val="single" w:color="auto" w:sz="4" w:space="0"/>
              <w:left w:val="single" w:color="auto" w:sz="4" w:space="0"/>
              <w:bottom w:val="single" w:color="auto" w:sz="4" w:space="0"/>
              <w:right w:val="single" w:color="auto" w:sz="4" w:space="0"/>
            </w:tcBorders>
            <w:vAlign w:val="center"/>
          </w:tcPr>
          <w:p>
            <w:pPr>
              <w:pStyle w:val="105"/>
            </w:pPr>
            <w:r>
              <w:t>Any non-allocated Subcarrier Group within the subPRB allocation</w:t>
            </w:r>
          </w:p>
          <w:p>
            <w:pPr>
              <w:pStyle w:val="105"/>
              <w:rPr>
                <w:rFonts w:cs="Arial"/>
              </w:rPr>
            </w:pPr>
            <w:r>
              <w:t>(NOTE 11,12,13)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205" w:type="dxa"/>
            <w:tcBorders>
              <w:top w:val="nil"/>
              <w:left w:val="single" w:color="auto" w:sz="4" w:space="0"/>
              <w:bottom w:val="single" w:color="auto" w:sz="4" w:space="0"/>
              <w:right w:val="single" w:color="auto" w:sz="4" w:space="0"/>
            </w:tcBorders>
            <w:shd w:val="clear" w:color="auto" w:fill="auto"/>
          </w:tcPr>
          <w:p>
            <w:pPr>
              <w:pStyle w:val="104"/>
              <w:jc w:val="left"/>
              <w:rPr>
                <w:rFonts w:cs="Arial"/>
              </w:rPr>
            </w:pPr>
          </w:p>
        </w:tc>
        <w:tc>
          <w:tcPr>
            <w:tcW w:w="1293" w:type="dxa"/>
            <w:tcBorders>
              <w:top w:val="nil"/>
              <w:left w:val="single" w:color="auto" w:sz="4" w:space="0"/>
              <w:bottom w:val="single" w:color="auto" w:sz="4" w:space="0"/>
              <w:right w:val="single" w:color="auto" w:sz="4" w:space="0"/>
            </w:tcBorders>
          </w:tcPr>
          <w:p>
            <w:pPr>
              <w:pStyle w:val="105"/>
              <w:rPr>
                <w:rFonts w:cs="Arial"/>
              </w:rPr>
            </w:pPr>
          </w:p>
        </w:tc>
        <w:tc>
          <w:tcPr>
            <w:tcW w:w="5420" w:type="dxa"/>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position w:val="-50"/>
              </w:rPr>
              <w:object>
                <v:shape id="_x0000_i1036" o:spt="75" type="#_x0000_t75" style="height:46.8pt;width:178.2pt;" o:ole="t" filled="f" o:preferrelative="t" stroked="f" coordsize="21600,21600">
                  <v:path/>
                  <v:fill on="f" focussize="0,0"/>
                  <v:stroke on="f" joinstyle="miter"/>
                  <v:imagedata r:id="rId40" o:title=""/>
                  <o:lock v:ext="edit" aspectratio="t"/>
                  <w10:wrap type="none"/>
                  <w10:anchorlock/>
                </v:shape>
                <o:OLEObject Type="Embed" ProgID="Equation.3" ShapeID="_x0000_i1036" DrawAspect="Content" ObjectID="_1468075736" r:id="rId39">
                  <o:LockedField>false</o:LockedField>
                </o:OLEObject>
              </w:object>
            </w:r>
          </w:p>
        </w:tc>
        <w:tc>
          <w:tcPr>
            <w:tcW w:w="168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IQ Image</w:t>
            </w:r>
          </w:p>
        </w:tc>
        <w:tc>
          <w:tcPr>
            <w:tcW w:w="1293"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w:t>
            </w: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-28</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&lt; 1 GHz and Output power &gt; 10 dBm</w:t>
            </w:r>
          </w:p>
        </w:tc>
        <w:tc>
          <w:tcPr>
            <w:tcW w:w="1682"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continue"/>
            <w:tcBorders>
              <w:right w:val="single" w:color="auto" w:sz="4" w:space="0"/>
            </w:tcBorders>
            <w:shd w:val="clear" w:color="auto" w:fill="auto"/>
            <w:vAlign w:val="center"/>
          </w:tcPr>
          <w:p>
            <w:pPr>
              <w:pStyle w:val="104"/>
              <w:rPr>
                <w:rFonts w:cs="Arial"/>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&lt; 1 GHz and Output power ≤ 10 dBm</w:t>
            </w:r>
          </w:p>
        </w:tc>
        <w:tc>
          <w:tcPr>
            <w:tcW w:w="1682"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continue"/>
            <w:tcBorders>
              <w:right w:val="single" w:color="auto" w:sz="4" w:space="0"/>
            </w:tcBorders>
            <w:shd w:val="clear" w:color="auto" w:fill="auto"/>
            <w:vAlign w:val="center"/>
          </w:tcPr>
          <w:p>
            <w:pPr>
              <w:pStyle w:val="104"/>
              <w:rPr>
                <w:rFonts w:cs="Arial"/>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 1 GHz</w:t>
            </w:r>
          </w:p>
        </w:tc>
        <w:tc>
          <w:tcPr>
            <w:tcW w:w="1682"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Carrier leakage</w:t>
            </w:r>
          </w:p>
        </w:tc>
        <w:tc>
          <w:tcPr>
            <w:tcW w:w="1293"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dBc</w:t>
            </w: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-28</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Output power &gt; 10 dBm and carrier centre frequency &lt; 1 GHz</w:t>
            </w:r>
          </w:p>
        </w:tc>
        <w:tc>
          <w:tcPr>
            <w:tcW w:w="1682"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Carrier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continue"/>
            <w:tcBorders>
              <w:top w:val="single" w:color="auto" w:sz="4" w:space="0"/>
              <w:right w:val="single" w:color="auto" w:sz="4" w:space="0"/>
            </w:tcBorders>
            <w:shd w:val="clear" w:color="auto" w:fill="auto"/>
            <w:vAlign w:val="center"/>
          </w:tcPr>
          <w:p>
            <w:pPr>
              <w:pStyle w:val="104"/>
              <w:rPr>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Output power &gt; 10 dBm and carrier centre frequency ≥ 1 GHz</w:t>
            </w:r>
          </w:p>
        </w:tc>
        <w:tc>
          <w:tcPr>
            <w:tcW w:w="1682" w:type="dxa"/>
            <w:vMerge w:val="continue"/>
            <w:tcBorders>
              <w:top w:val="single" w:color="auto" w:sz="4" w:space="0"/>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continue"/>
            <w:tcBorders>
              <w:top w:val="single" w:color="auto" w:sz="4" w:space="0"/>
              <w:right w:val="single" w:color="auto" w:sz="4" w:space="0"/>
            </w:tcBorders>
            <w:shd w:val="clear" w:color="auto" w:fill="auto"/>
            <w:vAlign w:val="center"/>
          </w:tcPr>
          <w:p>
            <w:pPr>
              <w:pStyle w:val="104"/>
              <w:rPr>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0 dBm ≤ Output power ≤10 dBm</w:t>
            </w:r>
          </w:p>
        </w:tc>
        <w:tc>
          <w:tcPr>
            <w:tcW w:w="1682" w:type="dxa"/>
            <w:vMerge w:val="continue"/>
            <w:tcBorders>
              <w:top w:val="single" w:color="auto" w:sz="4" w:space="0"/>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205" w:type="dxa"/>
            <w:vMerge w:val="continue"/>
            <w:tcBorders>
              <w:right w:val="single" w:color="auto" w:sz="4" w:space="0"/>
            </w:tcBorders>
            <w:shd w:val="clear" w:color="auto" w:fill="auto"/>
            <w:vAlign w:val="center"/>
          </w:tcPr>
          <w:p>
            <w:pPr>
              <w:spacing w:after="0"/>
              <w:rPr>
                <w:b/>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-20</w:t>
            </w:r>
          </w:p>
        </w:tc>
        <w:tc>
          <w:tcPr>
            <w:tcW w:w="4155" w:type="dxa"/>
            <w:tcBorders>
              <w:left w:val="single" w:color="auto" w:sz="4" w:space="0"/>
              <w:right w:val="single" w:color="auto" w:sz="4" w:space="0"/>
            </w:tcBorders>
            <w:shd w:val="clear" w:color="auto" w:fill="auto"/>
            <w:vAlign w:val="center"/>
          </w:tcPr>
          <w:p>
            <w:pPr>
              <w:pStyle w:val="103"/>
              <w:rPr>
                <w:rFonts w:cs="Arial"/>
              </w:rPr>
            </w:pPr>
            <w:r>
              <w:rPr>
                <w:rFonts w:cs="Arial"/>
              </w:rPr>
              <w:t>-30 dBm ≤ Output power ≤ 0 dBm</w:t>
            </w:r>
          </w:p>
        </w:tc>
        <w:tc>
          <w:tcPr>
            <w:tcW w:w="1682" w:type="dxa"/>
            <w:vMerge w:val="continue"/>
            <w:tcBorders>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205" w:type="dxa"/>
            <w:vMerge w:val="continue"/>
            <w:tcBorders>
              <w:right w:val="single" w:color="auto" w:sz="4" w:space="0"/>
            </w:tcBorders>
            <w:shd w:val="clear" w:color="auto" w:fill="auto"/>
            <w:vAlign w:val="center"/>
          </w:tcPr>
          <w:p>
            <w:pPr>
              <w:spacing w:after="0"/>
              <w:rPr>
                <w:b/>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-10</w:t>
            </w:r>
          </w:p>
        </w:tc>
        <w:tc>
          <w:tcPr>
            <w:tcW w:w="4155" w:type="dxa"/>
            <w:tcBorders>
              <w:left w:val="single" w:color="auto" w:sz="4" w:space="0"/>
              <w:right w:val="single" w:color="auto" w:sz="4" w:space="0"/>
            </w:tcBorders>
            <w:shd w:val="clear" w:color="auto" w:fill="auto"/>
            <w:vAlign w:val="center"/>
          </w:tcPr>
          <w:p>
            <w:pPr>
              <w:pStyle w:val="103"/>
              <w:rPr>
                <w:rFonts w:cs="Arial"/>
              </w:rPr>
            </w:pPr>
            <w:r>
              <w:rPr>
                <w:rFonts w:cs="Arial"/>
              </w:rPr>
              <w:t xml:space="preserve">-40 dBm </w:t>
            </w:r>
            <w:r>
              <w:rPr>
                <w:rFonts w:cs="Arial"/>
              </w:rPr>
              <w:sym w:font="Symbol" w:char="F0A3"/>
            </w:r>
            <w:r>
              <w:rPr>
                <w:rFonts w:cs="Arial"/>
              </w:rPr>
              <w:t xml:space="preserve"> Output power &lt; -30 dBm</w:t>
            </w:r>
          </w:p>
        </w:tc>
        <w:tc>
          <w:tcPr>
            <w:tcW w:w="1682" w:type="dxa"/>
            <w:vMerge w:val="continue"/>
            <w:tcBorders>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5"/>
            <w:tcBorders>
              <w:right w:val="single" w:color="auto" w:sz="4" w:space="0"/>
            </w:tcBorders>
            <w:shd w:val="clear" w:color="auto" w:fill="auto"/>
            <w:vAlign w:val="center"/>
          </w:tcPr>
          <w:p>
            <w:pPr>
              <w:pStyle w:val="118"/>
              <w:rPr>
                <w:rFonts w:cs="Arial"/>
              </w:rPr>
            </w:pPr>
            <w:r>
              <w:rPr>
                <w:rFonts w:cs="Arial"/>
              </w:rPr>
              <w:t>NOTE 1:</w:t>
            </w:r>
            <w:r>
              <w:rPr>
                <w:rFonts w:cs="Arial"/>
              </w:rPr>
              <w:tab/>
            </w:r>
            <w:r>
              <w:rPr>
                <w:rFonts w:cs="Arial"/>
              </w:rPr>
              <w:t xml:space="preserve">An in-band emissions combined limit is evaluated in each non-allocated RB. For each such RB, the minimum requirement is calculated as the higher of </w:t>
            </w:r>
            <w:r>
              <w:rPr>
                <w:rFonts w:cs="Arial"/>
                <w:i/>
              </w:rPr>
              <w:t>P</w:t>
            </w:r>
            <w:r>
              <w:rPr>
                <w:rFonts w:cs="Arial"/>
                <w:i/>
                <w:vertAlign w:val="subscript"/>
              </w:rPr>
              <w:t xml:space="preserve">RB </w:t>
            </w:r>
            <w:r>
              <w:rPr>
                <w:rFonts w:cs="Arial"/>
              </w:rPr>
              <w:t xml:space="preserve">- 30 dB and the power sum of all limit values (General, IQ Image or Carrier leakage) that apply. </w:t>
            </w:r>
            <w:r>
              <w:rPr>
                <w:rFonts w:cs="Arial"/>
                <w:i/>
              </w:rPr>
              <w:t>P</w:t>
            </w:r>
            <w:r>
              <w:rPr>
                <w:rFonts w:cs="Arial"/>
                <w:i/>
                <w:vertAlign w:val="subscript"/>
              </w:rPr>
              <w:t>RB</w:t>
            </w:r>
            <w:r>
              <w:rPr>
                <w:rFonts w:cs="Arial"/>
                <w:i/>
              </w:rPr>
              <w:t xml:space="preserve"> </w:t>
            </w:r>
            <w:r>
              <w:rPr>
                <w:rFonts w:cs="Arial"/>
              </w:rPr>
              <w:t>is defined in NOTE 10.</w:t>
            </w:r>
          </w:p>
          <w:p>
            <w:pPr>
              <w:pStyle w:val="118"/>
              <w:rPr>
                <w:rFonts w:cs="Arial"/>
              </w:rPr>
            </w:pPr>
            <w:r>
              <w:rPr>
                <w:rFonts w:cs="Arial"/>
              </w:rPr>
              <w:t>NOTE 2:</w:t>
            </w:r>
            <w:r>
              <w:rPr>
                <w:rFonts w:cs="Arial"/>
              </w:rPr>
              <w:tab/>
            </w:r>
            <w:r>
              <w:rPr>
                <w:rFonts w:cs="Arial"/>
              </w:rPr>
              <w:t>The measurement bandwidth is 1 RB and the limit is expressed as a ratio of measured power in one non-allocated RB to the measured average power per allocated RB, where the averaging is done across all allocated RBs.</w:t>
            </w:r>
          </w:p>
          <w:p>
            <w:pPr>
              <w:pStyle w:val="118"/>
              <w:rPr>
                <w:rFonts w:cs="Arial"/>
              </w:rPr>
            </w:pPr>
            <w:r>
              <w:rPr>
                <w:rFonts w:cs="Arial"/>
              </w:rPr>
              <w:t>NOTE 3:</w:t>
            </w:r>
            <w:r>
              <w:rPr>
                <w:rFonts w:cs="Arial"/>
              </w:rPr>
              <w:tab/>
            </w:r>
            <w:r>
              <w:rPr>
                <w:rFonts w:cs="Arial"/>
              </w:rPr>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pPr>
              <w:pStyle w:val="118"/>
              <w:rPr>
                <w:rFonts w:cs="Arial"/>
              </w:rPr>
            </w:pPr>
            <w:r>
              <w:rPr>
                <w:rFonts w:cs="Arial"/>
              </w:rPr>
              <w:t>NOTE 4:</w:t>
            </w:r>
            <w:r>
              <w:rPr>
                <w:rFonts w:cs="Arial"/>
              </w:rPr>
              <w:tab/>
            </w:r>
            <w:r>
              <w:rPr>
                <w:rFonts w:cs="Arial"/>
              </w:rPr>
              <w:t>The measurement bandwidth is 1 RB and the limit is expressed as a ratio of measured power in one non-allocated RB to the measured total power in all allocated RBs.</w:t>
            </w:r>
          </w:p>
          <w:p>
            <w:pPr>
              <w:pStyle w:val="118"/>
              <w:rPr>
                <w:rFonts w:cs="Arial"/>
              </w:rPr>
            </w:pPr>
            <w:r>
              <w:rPr>
                <w:rFonts w:cs="Arial"/>
              </w:rPr>
              <w:t>NOTE 5:</w:t>
            </w:r>
            <w:r>
              <w:rPr>
                <w:rFonts w:cs="Arial"/>
              </w:rPr>
              <w:tab/>
            </w:r>
            <w:r>
              <w:rPr>
                <w:rFonts w:cs="Arial"/>
              </w:rPr>
              <w:t xml:space="preserve">The applicable frequencies for this limit are those that are enclosed in the RBs containing the DC frequency if </w:t>
            </w:r>
            <w:r>
              <w:rPr>
                <w:rFonts w:cs="Arial"/>
                <w:position w:val="0"/>
              </w:rPr>
              <w:object>
                <v:shape id="_x0000_i1037" o:spt="75" type="#_x0000_t75" style="height:16.8pt;width:22.2pt;" o:ole="t" filled="f" o:preferrelative="t" stroked="f" coordsize="21600,21600">
                  <v:path/>
                  <v:fill on="f" focussize="0,0"/>
                  <v:stroke on="f" joinstyle="miter"/>
                  <v:imagedata r:id="rId42" o:title=""/>
                  <o:lock v:ext="edit" aspectratio="t"/>
                  <w10:wrap type="none"/>
                  <w10:anchorlock/>
                </v:shape>
                <o:OLEObject Type="Embed" ProgID="Equation.3" ShapeID="_x0000_i1037" DrawAspect="Content" ObjectID="_1468075737" r:id="rId41">
                  <o:LockedField>false</o:LockedField>
                </o:OLEObject>
              </w:object>
            </w:r>
            <w:r>
              <w:rPr>
                <w:rFonts w:cs="Arial"/>
              </w:rPr>
              <w:t xml:space="preserve"> is odd, or in the two RBs immediately adjacent to the DC frequency if </w:t>
            </w:r>
            <w:r>
              <w:rPr>
                <w:rFonts w:cs="Arial"/>
                <w:position w:val="0"/>
              </w:rPr>
              <w:object>
                <v:shape id="_x0000_i1038" o:spt="75" type="#_x0000_t75" style="height:16.8pt;width:22.2pt;" o:ole="t" filled="f" o:preferrelative="t" stroked="f" coordsize="21600,21600">
                  <v:path/>
                  <v:fill on="f" focussize="0,0"/>
                  <v:stroke on="f" joinstyle="miter"/>
                  <v:imagedata r:id="rId44" o:title=""/>
                  <o:lock v:ext="edit" aspectratio="t"/>
                  <w10:wrap type="none"/>
                  <w10:anchorlock/>
                </v:shape>
                <o:OLEObject Type="Embed" ProgID="Equation.3" ShapeID="_x0000_i1038" DrawAspect="Content" ObjectID="_1468075738" r:id="rId43">
                  <o:LockedField>false</o:LockedField>
                </o:OLEObject>
              </w:object>
            </w:r>
            <w:r>
              <w:rPr>
                <w:rFonts w:cs="Arial"/>
              </w:rPr>
              <w:t xml:space="preserve"> is even, but excluding any allocated RB. For UE of UL Category M1, the applicable frequencies shall alternatively be the centre frequency of the supported 6RBs additionally.</w:t>
            </w:r>
          </w:p>
          <w:p>
            <w:pPr>
              <w:pStyle w:val="118"/>
              <w:rPr>
                <w:rFonts w:cs="Arial"/>
              </w:rPr>
            </w:pPr>
            <w:r>
              <w:rPr>
                <w:rFonts w:cs="Arial"/>
              </w:rPr>
              <w:t>NOTE 6:</w:t>
            </w:r>
            <w:r>
              <w:rPr>
                <w:rFonts w:cs="Arial"/>
              </w:rPr>
              <w:tab/>
            </w:r>
            <w:r>
              <w:rPr>
                <w:rFonts w:cs="Arial"/>
                <w:position w:val="0"/>
              </w:rPr>
              <w:object>
                <v:shape id="_x0000_i1039" o:spt="75" type="#_x0000_t75" style="height:19.2pt;width:24.6pt;" o:ole="t" filled="f" o:preferrelative="t" stroked="f" coordsize="21600,21600">
                  <v:path/>
                  <v:fill on="f" focussize="0,0"/>
                  <v:stroke on="f" joinstyle="miter"/>
                  <v:imagedata r:id="rId46" o:title=""/>
                  <o:lock v:ext="edit" aspectratio="t"/>
                  <w10:wrap type="none"/>
                  <w10:anchorlock/>
                </v:shape>
                <o:OLEObject Type="Embed" ProgID="Equation.3" ShapeID="_x0000_i1039" DrawAspect="Content" ObjectID="_1468075739" r:id="rId45">
                  <o:LockedField>false</o:LockedField>
                </o:OLEObject>
              </w:object>
            </w:r>
            <w:r>
              <w:rPr>
                <w:rFonts w:cs="Arial"/>
              </w:rPr>
              <w:t xml:space="preserve"> is the Transmission Bandwidth (see Figure 5.6-1).</w:t>
            </w:r>
          </w:p>
          <w:p>
            <w:pPr>
              <w:pStyle w:val="118"/>
              <w:rPr>
                <w:rFonts w:cs="Arial"/>
              </w:rPr>
            </w:pPr>
            <w:r>
              <w:rPr>
                <w:rFonts w:cs="Arial"/>
              </w:rPr>
              <w:t>NOTE 7:</w:t>
            </w:r>
            <w:r>
              <w:rPr>
                <w:rFonts w:cs="Arial"/>
              </w:rPr>
              <w:tab/>
            </w:r>
            <w:r>
              <w:rPr>
                <w:rFonts w:cs="Arial"/>
                <w:position w:val="0"/>
              </w:rPr>
              <w:object>
                <v:shape id="_x0000_i1040" o:spt="75" type="#_x0000_t75" style="height:16.8pt;width:22.2pt;" o:ole="t" filled="f" o:preferrelative="t" stroked="f" coordsize="21600,21600">
                  <v:path/>
                  <v:fill on="f" focussize="0,0"/>
                  <v:stroke on="f" joinstyle="miter"/>
                  <v:imagedata r:id="rId48" o:title=""/>
                  <o:lock v:ext="edit" aspectratio="t"/>
                  <w10:wrap type="none"/>
                  <w10:anchorlock/>
                </v:shape>
                <o:OLEObject Type="Embed" ProgID="Equation.3" ShapeID="_x0000_i1040" DrawAspect="Content" ObjectID="_1468075740" r:id="rId47">
                  <o:LockedField>false</o:LockedField>
                </o:OLEObject>
              </w:object>
            </w:r>
            <w:r>
              <w:rPr>
                <w:rFonts w:cs="Arial"/>
              </w:rPr>
              <w:t xml:space="preserve"> is the Transmission Bandwidth Configuration (see Figure 5.6-1).</w:t>
            </w:r>
          </w:p>
          <w:p>
            <w:pPr>
              <w:pStyle w:val="118"/>
              <w:rPr>
                <w:rFonts w:cs="Arial"/>
              </w:rPr>
            </w:pPr>
            <w:r>
              <w:rPr>
                <w:rFonts w:cs="Arial"/>
              </w:rPr>
              <w:t>NOTE 8:</w:t>
            </w:r>
            <w:r>
              <w:rPr>
                <w:rFonts w:cs="Arial"/>
              </w:rPr>
              <w:tab/>
            </w:r>
            <w:r>
              <w:rPr>
                <w:rFonts w:cs="Arial"/>
                <w:position w:val="0"/>
              </w:rPr>
              <w:object>
                <v:shape id="_x0000_i1041" o:spt="75" type="#_x0000_t75" style="height:14.4pt;width:31.8pt;" o:ole="t" filled="f" o:preferrelative="t" stroked="f" coordsize="21600,21600">
                  <v:path/>
                  <v:fill on="f" focussize="0,0"/>
                  <v:stroke on="f" joinstyle="miter"/>
                  <v:imagedata r:id="rId50" o:title=""/>
                  <o:lock v:ext="edit" aspectratio="t"/>
                  <w10:wrap type="none"/>
                  <w10:anchorlock/>
                </v:shape>
                <o:OLEObject Type="Embed" ProgID="Equation.3" ShapeID="_x0000_i1041" DrawAspect="Content" ObjectID="_1468075741" r:id="rId49">
                  <o:LockedField>false</o:LockedField>
                </o:OLEObject>
              </w:object>
            </w:r>
            <w:r>
              <w:rPr>
                <w:rFonts w:cs="Arial"/>
              </w:rPr>
              <w:t xml:space="preserve"> is the limit specified in Table 6.5.2.1.1-1 for the modulation format used in the allocated RBs.</w:t>
            </w:r>
          </w:p>
          <w:p>
            <w:pPr>
              <w:pStyle w:val="118"/>
              <w:rPr>
                <w:rFonts w:cs="Arial"/>
              </w:rPr>
            </w:pPr>
            <w:r>
              <w:rPr>
                <w:rFonts w:cs="Arial"/>
              </w:rPr>
              <w:t>NOTE 9:</w:t>
            </w:r>
            <w:r>
              <w:rPr>
                <w:rFonts w:cs="Arial"/>
              </w:rPr>
              <w:tab/>
            </w:r>
            <w:r>
              <w:rPr>
                <w:rFonts w:cs="Arial"/>
                <w:position w:val="0"/>
              </w:rPr>
              <w:object>
                <v:shape id="_x0000_i1042" o:spt="75" type="#_x0000_t75" style="height:15pt;width:20.4pt;" o:ole="t" filled="f" o:preferrelative="t" stroked="f" coordsize="21600,21600">
                  <v:path/>
                  <v:fill on="f" focussize="0,0"/>
                  <v:stroke on="f" joinstyle="miter"/>
                  <v:imagedata r:id="rId52" o:title=""/>
                  <o:lock v:ext="edit" aspectratio="t"/>
                  <w10:wrap type="none"/>
                  <w10:anchorlock/>
                </v:shape>
                <o:OLEObject Type="Embed" ProgID="Equation.3" ShapeID="_x0000_i1042" DrawAspect="Content" ObjectID="_1468075742" r:id="rId51">
                  <o:LockedField>false</o:LockedField>
                </o:OLEObject>
              </w:object>
            </w:r>
            <w:r>
              <w:rPr>
                <w:rFonts w:cs="Arial"/>
              </w:rPr>
              <w:t xml:space="preserve"> is the starting frequency offset between the allocated RB and the measured non-allocated RB (e.g. </w:t>
            </w:r>
            <w:r>
              <w:rPr>
                <w:rFonts w:cs="Arial"/>
                <w:position w:val="0"/>
              </w:rPr>
              <w:object>
                <v:shape id="_x0000_i1043" o:spt="75" type="#_x0000_t75" style="height:16.8pt;width:37.8pt;" o:ole="t" filled="f" o:preferrelative="t" stroked="f" coordsize="21600,21600">
                  <v:path/>
                  <v:fill on="f" focussize="0,0"/>
                  <v:stroke on="f" joinstyle="miter"/>
                  <v:imagedata r:id="rId54" o:title=""/>
                  <o:lock v:ext="edit" aspectratio="t"/>
                  <w10:wrap type="none"/>
                  <w10:anchorlock/>
                </v:shape>
                <o:OLEObject Type="Embed" ProgID="Equation.3" ShapeID="_x0000_i1043" DrawAspect="Content" ObjectID="_1468075743" r:id="rId53">
                  <o:LockedField>false</o:LockedField>
                </o:OLEObject>
              </w:object>
            </w:r>
            <w:r>
              <w:rPr>
                <w:rFonts w:cs="Arial"/>
              </w:rPr>
              <w:t xml:space="preserve"> or </w:t>
            </w:r>
            <w:r>
              <w:rPr>
                <w:rFonts w:cs="Arial"/>
                <w:position w:val="0"/>
              </w:rPr>
              <w:object>
                <v:shape id="_x0000_i1044" o:spt="75" type="#_x0000_t75" style="height:16.8pt;width:46.8pt;" o:ole="t" filled="f" o:preferrelative="t" stroked="f" coordsize="21600,21600">
                  <v:path/>
                  <v:fill on="f" focussize="0,0"/>
                  <v:stroke on="f" joinstyle="miter"/>
                  <v:imagedata r:id="rId56" o:title=""/>
                  <o:lock v:ext="edit" aspectratio="t"/>
                  <w10:wrap type="none"/>
                  <w10:anchorlock/>
                </v:shape>
                <o:OLEObject Type="Embed" ProgID="Equation.3" ShapeID="_x0000_i1044" DrawAspect="Content" ObjectID="_1468075744" r:id="rId55">
                  <o:LockedField>false</o:LockedField>
                </o:OLEObject>
              </w:object>
            </w:r>
            <w:r>
              <w:rPr>
                <w:rFonts w:cs="Arial"/>
              </w:rPr>
              <w:t xml:space="preserve"> for the first adjacent RB outside of the allocated bandwidth.</w:t>
            </w:r>
          </w:p>
          <w:p>
            <w:pPr>
              <w:pStyle w:val="118"/>
              <w:rPr>
                <w:rFonts w:cs="Arial"/>
              </w:rPr>
            </w:pPr>
            <w:r>
              <w:rPr>
                <w:rFonts w:cs="Arial"/>
              </w:rPr>
              <w:t>NOTE 10:</w:t>
            </w:r>
            <w:r>
              <w:rPr>
                <w:rFonts w:cs="Arial"/>
              </w:rPr>
              <w:tab/>
            </w:r>
            <w:r>
              <w:rPr>
                <w:rFonts w:cs="Arial"/>
                <w:position w:val="0"/>
              </w:rPr>
              <w:object>
                <v:shape id="_x0000_i1045" o:spt="75" type="#_x0000_t75" style="height:16.8pt;width:19.2pt;" o:ole="t" filled="f" o:preferrelative="t" stroked="f" coordsize="21600,21600">
                  <v:path/>
                  <v:fill on="f" focussize="0,0"/>
                  <v:stroke on="f" joinstyle="miter"/>
                  <v:imagedata r:id="rId58" o:title=""/>
                  <o:lock v:ext="edit" aspectratio="t"/>
                  <w10:wrap type="none"/>
                  <w10:anchorlock/>
                </v:shape>
                <o:OLEObject Type="Embed" ProgID="Equation.3" ShapeID="_x0000_i1045" DrawAspect="Content" ObjectID="_1468075745" r:id="rId57">
                  <o:LockedField>false</o:LockedField>
                </o:OLEObject>
              </w:object>
            </w:r>
            <w:r>
              <w:rPr>
                <w:rFonts w:cs="Arial"/>
              </w:rPr>
              <w:t xml:space="preserve"> is the transmitted power per 180 kHz in allocated RBs, measured in dBm.</w:t>
            </w:r>
          </w:p>
          <w:p>
            <w:pPr>
              <w:pStyle w:val="118"/>
              <w:keepNext/>
              <w:keepLines/>
              <w:spacing w:after="0"/>
              <w:ind w:left="851"/>
              <w:rPr>
                <w:rFonts w:cs="Arial"/>
              </w:rPr>
            </w:pPr>
            <w:r>
              <w:rPr>
                <w:rFonts w:cs="Arial"/>
              </w:rPr>
              <w:t>NOTE 11:</w:t>
            </w:r>
            <w:r>
              <w:rPr>
                <w:rFonts w:cs="Arial"/>
              </w:rPr>
              <w:tab/>
            </w:r>
            <w:r>
              <w:rPr>
                <w:rFonts w:cs="Arial"/>
              </w:rPr>
              <w:t>The measurement bandwidth is 1 subcarrier group ( [3] subcarrier per subcarrier group) and the limit is expressed as a ratio of measured power in one non-allocated subcarrier group to the measured total power in all allocated subcarrier.</w:t>
            </w:r>
          </w:p>
          <w:p>
            <w:pPr>
              <w:pStyle w:val="118"/>
              <w:keepNext/>
              <w:keepLines/>
              <w:spacing w:after="0"/>
              <w:ind w:left="851"/>
              <w:rPr>
                <w:rFonts w:cs="Arial"/>
              </w:rPr>
            </w:pPr>
            <w:r>
              <w:rPr>
                <w:rFonts w:cs="Arial"/>
              </w:rPr>
              <w:t>NOTE 12:</w:t>
            </w:r>
            <w:r>
              <w:rPr>
                <w:rFonts w:cs="Arial"/>
              </w:rPr>
              <w:tab/>
            </w:r>
            <m:oMath>
              <m:sSub>
                <m:sSubPr>
                  <m:ctrlPr>
                    <w:rPr>
                      <w:rFonts w:ascii="Cambria Math" w:hAnsi="Cambria Math" w:cs="Arial"/>
                    </w:rPr>
                  </m:ctrlPr>
                </m:sSubPr>
                <m:e>
                  <m:r>
                    <m:rPr>
                      <m:sty m:val="p"/>
                    </m:rPr>
                    <w:rPr>
                      <w:rFonts w:ascii="Cambria Math" w:hAnsi="Cambria Math" w:cs="Arial"/>
                      <w:lang w:eastAsia="ja-JP"/>
                    </w:rPr>
                    <m:t>∆</m:t>
                  </m:r>
                  <m:ctrlPr>
                    <w:rPr>
                      <w:rFonts w:ascii="Cambria Math" w:hAnsi="Cambria Math" w:cs="Arial"/>
                    </w:rPr>
                  </m:ctrlPr>
                </m:e>
                <m:sub>
                  <m:r>
                    <m:rPr/>
                    <w:rPr>
                      <w:rFonts w:ascii="Cambria Math" w:hAnsi="Cambria Math" w:cs="Arial"/>
                      <w:lang w:eastAsia="ja-JP"/>
                    </w:rPr>
                    <m:t>SubG</m:t>
                  </m:r>
                  <m:ctrlPr>
                    <w:rPr>
                      <w:rFonts w:ascii="Cambria Math" w:hAnsi="Cambria Math" w:cs="Arial"/>
                    </w:rPr>
                  </m:ctrlPr>
                </m:sub>
              </m:sSub>
            </m:oMath>
            <w:r>
              <w:rPr>
                <w:rFonts w:cs="Arial"/>
              </w:rPr>
              <w:t xml:space="preserve"> is the starting frequency offset between the allocated subcarrier group and the measured non-allocated subcarrier group (e.g. </w:t>
            </w:r>
            <m:oMath>
              <m:sSub>
                <m:sSubPr>
                  <m:ctrlPr>
                    <w:rPr>
                      <w:rFonts w:ascii="Cambria Math" w:hAnsi="Cambria Math" w:cs="Arial"/>
                    </w:rPr>
                  </m:ctrlPr>
                </m:sSubPr>
                <m:e>
                  <m:r>
                    <m:rPr>
                      <m:sty m:val="p"/>
                    </m:rPr>
                    <w:rPr>
                      <w:rFonts w:ascii="Cambria Math" w:hAnsi="Cambria Math" w:cs="Arial"/>
                      <w:lang w:eastAsia="ja-JP"/>
                    </w:rPr>
                    <m:t>∆</m:t>
                  </m:r>
                  <m:ctrlPr>
                    <w:rPr>
                      <w:rFonts w:ascii="Cambria Math" w:hAnsi="Cambria Math" w:cs="Arial"/>
                    </w:rPr>
                  </m:ctrlPr>
                </m:e>
                <m:sub>
                  <m:r>
                    <m:rPr/>
                    <w:rPr>
                      <w:rFonts w:ascii="Cambria Math" w:hAnsi="Cambria Math" w:cs="Arial"/>
                      <w:lang w:eastAsia="ja-JP"/>
                    </w:rPr>
                    <m:t>SubG</m:t>
                  </m:r>
                  <m:ctrlPr>
                    <w:rPr>
                      <w:rFonts w:ascii="Cambria Math" w:hAnsi="Cambria Math" w:cs="Arial"/>
                    </w:rPr>
                  </m:ctrlPr>
                </m:sub>
              </m:sSub>
              <m:r>
                <m:rPr>
                  <m:sty m:val="p"/>
                </m:rPr>
                <w:rPr>
                  <w:rFonts w:ascii="Cambria Math" w:hAnsi="Cambria Math" w:cs="Arial"/>
                  <w:lang w:eastAsia="ja-JP"/>
                </w:rPr>
                <m:t xml:space="preserve">=1 </m:t>
              </m:r>
              <m:r>
                <m:rPr/>
                <w:rPr>
                  <w:rFonts w:ascii="Cambria Math" w:hAnsi="Cambria Math" w:cs="Arial"/>
                  <w:lang w:eastAsia="ja-JP"/>
                </w:rPr>
                <m:t>or</m:t>
              </m:r>
              <m:r>
                <m:rPr>
                  <m:sty m:val="p"/>
                </m:rPr>
                <w:rPr>
                  <w:rFonts w:ascii="Cambria Math" w:hAnsi="Cambria Math" w:cs="Arial"/>
                  <w:lang w:eastAsia="ja-JP"/>
                </w:rPr>
                <m:t xml:space="preserve"> </m:t>
              </m:r>
              <m:sSub>
                <m:sSubPr>
                  <m:ctrlPr>
                    <w:rPr>
                      <w:rFonts w:ascii="Cambria Math" w:hAnsi="Cambria Math" w:cs="Arial"/>
                    </w:rPr>
                  </m:ctrlPr>
                </m:sSubPr>
                <m:e>
                  <m:r>
                    <m:rPr>
                      <m:sty m:val="p"/>
                    </m:rPr>
                    <w:rPr>
                      <w:rFonts w:ascii="Cambria Math" w:hAnsi="Cambria Math" w:cs="Arial"/>
                      <w:lang w:eastAsia="ja-JP"/>
                    </w:rPr>
                    <m:t>∆</m:t>
                  </m:r>
                  <m:ctrlPr>
                    <w:rPr>
                      <w:rFonts w:ascii="Cambria Math" w:hAnsi="Cambria Math" w:cs="Arial"/>
                    </w:rPr>
                  </m:ctrlPr>
                </m:e>
                <m:sub>
                  <m:r>
                    <m:rPr/>
                    <w:rPr>
                      <w:rFonts w:ascii="Cambria Math" w:hAnsi="Cambria Math" w:cs="Arial"/>
                      <w:lang w:eastAsia="ja-JP"/>
                    </w:rPr>
                    <m:t>SubG</m:t>
                  </m:r>
                  <m:ctrlPr>
                    <w:rPr>
                      <w:rFonts w:ascii="Cambria Math" w:hAnsi="Cambria Math" w:cs="Arial"/>
                    </w:rPr>
                  </m:ctrlPr>
                </m:sub>
              </m:sSub>
            </m:oMath>
            <w:r>
              <w:rPr>
                <w:rFonts w:cs="Arial"/>
              </w:rPr>
              <w:t xml:space="preserve"> =-1 for the first adjacent subcarrier group outside the allocated subcarrier group.)</w:t>
            </w:r>
          </w:p>
          <w:p>
            <w:pPr>
              <w:pStyle w:val="118"/>
              <w:rPr>
                <w:rFonts w:cs="Arial"/>
              </w:rPr>
            </w:pPr>
            <w:r>
              <w:rPr>
                <w:rFonts w:cs="Arial"/>
              </w:rPr>
              <w:t>NOTE 13:</w:t>
            </w:r>
            <w:r>
              <w:rPr>
                <w:rFonts w:cs="Arial"/>
              </w:rPr>
              <w:tab/>
            </w:r>
            <m:oMath>
              <m:sSub>
                <m:sSubPr>
                  <m:ctrlPr>
                    <w:rPr>
                      <w:rFonts w:ascii="Cambria Math" w:hAnsi="Cambria Math" w:cs="Arial"/>
                    </w:rPr>
                  </m:ctrlPr>
                </m:sSubPr>
                <m:e>
                  <m:r>
                    <m:rPr/>
                    <w:rPr>
                      <w:rFonts w:ascii="Cambria Math" w:hAnsi="Cambria Math" w:cs="Arial"/>
                      <w:lang w:eastAsia="en-US"/>
                    </w:rPr>
                    <m:t>L</m:t>
                  </m:r>
                  <m:ctrlPr>
                    <w:rPr>
                      <w:rFonts w:ascii="Cambria Math" w:hAnsi="Cambria Math" w:cs="Arial"/>
                    </w:rPr>
                  </m:ctrlPr>
                </m:e>
                <m:sub>
                  <m:r>
                    <m:rPr/>
                    <w:rPr>
                      <w:rFonts w:ascii="Cambria Math" w:hAnsi="Cambria Math" w:cs="Arial"/>
                      <w:lang w:eastAsia="en-US"/>
                    </w:rPr>
                    <m:t>SCG</m:t>
                  </m:r>
                  <m:ctrlPr>
                    <w:rPr>
                      <w:rFonts w:ascii="Cambria Math" w:hAnsi="Cambria Math" w:cs="Arial"/>
                    </w:rPr>
                  </m:ctrlPr>
                </m:sub>
              </m:sSub>
            </m:oMath>
            <w:r>
              <w:rPr>
                <w:rFonts w:cs="Arial"/>
              </w:rPr>
              <w:t xml:space="preserve"> is the Transmission bandwidth (number of subcarrier group).</w:t>
            </w:r>
          </w:p>
        </w:tc>
      </w:tr>
    </w:tbl>
    <w:p/>
    <w:p>
      <w: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pPr>
        <w:rPr>
          <w:rFonts w:cs="v5.0.0"/>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6.4A.2.</w:t>
      </w:r>
    </w:p>
    <w:p>
      <w:pPr>
        <w:pStyle w:val="9"/>
      </w:pPr>
      <w:r>
        <w:t>6.4A.2.3.4</w:t>
      </w:r>
      <w:r>
        <w:tab/>
      </w:r>
      <w:r>
        <w:t>Test description</w:t>
      </w:r>
    </w:p>
    <w:p>
      <w:pPr>
        <w:pStyle w:val="9"/>
      </w:pPr>
      <w:r>
        <w:t>6.4A.2.3.4.1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pPr>
        <w:pStyle w:val="113"/>
      </w:pPr>
      <w:r>
        <w:t>Table 6.4A.2.3.4.1-1: Test Configuration Table for PUSCH</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931"/>
        <w:gridCol w:w="1731"/>
        <w:gridCol w:w="34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4"/>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jc w:val="center"/>
            </w:pPr>
            <w:r>
              <w:t>Test Environment</w:t>
            </w:r>
          </w:p>
          <w:p>
            <w:pPr>
              <w:pStyle w:val="103"/>
              <w:jc w:val="center"/>
            </w:pPr>
            <w:r>
              <w:t>(as specified in TS 36.508 [12] subclause 4.1)</w:t>
            </w:r>
          </w:p>
        </w:tc>
        <w:tc>
          <w:tcPr>
            <w:tcW w:w="5230" w:type="dxa"/>
            <w:gridSpan w:val="2"/>
            <w:tcBorders>
              <w:top w:val="single" w:color="auto" w:sz="4" w:space="0"/>
              <w:left w:val="single" w:color="auto" w:sz="4" w:space="0"/>
              <w:bottom w:val="single" w:color="auto" w:sz="4" w:space="0"/>
              <w:right w:val="single" w:color="auto" w:sz="4" w:space="0"/>
            </w:tcBorders>
          </w:tcPr>
          <w:p>
            <w:pPr>
              <w:pStyle w:val="103"/>
              <w:jc w:val="center"/>
              <w:rPr>
                <w:bCs/>
              </w:rPr>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jc w:val="center"/>
            </w:pPr>
            <w:r>
              <w:rPr>
                <w:bCs/>
              </w:rPr>
              <w:t>Test Frequencies</w:t>
            </w:r>
          </w:p>
          <w:p>
            <w:pPr>
              <w:pStyle w:val="103"/>
              <w:jc w:val="center"/>
            </w:pPr>
            <w:r>
              <w:t>(as specified in TS36.508 [12] subclause 4.3.1)</w:t>
            </w:r>
          </w:p>
        </w:tc>
        <w:tc>
          <w:tcPr>
            <w:tcW w:w="5230" w:type="dxa"/>
            <w:gridSpan w:val="2"/>
            <w:tcBorders>
              <w:top w:val="single" w:color="auto" w:sz="4" w:space="0"/>
              <w:left w:val="single" w:color="auto" w:sz="4" w:space="0"/>
              <w:bottom w:val="single" w:color="auto" w:sz="4" w:space="0"/>
              <w:right w:val="single" w:color="auto" w:sz="4" w:space="0"/>
            </w:tcBorders>
          </w:tcPr>
          <w:p>
            <w:pPr>
              <w:pStyle w:val="103"/>
              <w:jc w:val="center"/>
              <w:rPr>
                <w:bCs/>
              </w:rPr>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jc w:val="center"/>
            </w:pPr>
            <w:r>
              <w:rPr>
                <w:bCs/>
              </w:rPr>
              <w:t>Test Channel Bandwidths</w:t>
            </w:r>
          </w:p>
          <w:p>
            <w:pPr>
              <w:pStyle w:val="103"/>
              <w:jc w:val="center"/>
            </w:pPr>
            <w:r>
              <w:t>(as specified in TS 36.508 [12] subclause 4.3.1)</w:t>
            </w:r>
          </w:p>
        </w:tc>
        <w:tc>
          <w:tcPr>
            <w:tcW w:w="5230" w:type="dxa"/>
            <w:gridSpan w:val="2"/>
            <w:tcBorders>
              <w:top w:val="single" w:color="auto" w:sz="4" w:space="0"/>
              <w:left w:val="single" w:color="auto" w:sz="4" w:space="0"/>
              <w:bottom w:val="single" w:color="auto" w:sz="4" w:space="0"/>
              <w:right w:val="single" w:color="auto" w:sz="4" w:space="0"/>
            </w:tcBorders>
            <w:vAlign w:val="center"/>
          </w:tcPr>
          <w:p>
            <w:pPr>
              <w:pStyle w:val="103"/>
              <w:jc w:val="center"/>
              <w:rPr>
                <w:bCs/>
              </w:rPr>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4"/>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3"/>
            </w:pPr>
          </w:p>
        </w:tc>
        <w:tc>
          <w:tcPr>
            <w:tcW w:w="2931" w:type="dxa"/>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30"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vMerge w:val="restart"/>
            <w:tcBorders>
              <w:top w:val="single" w:color="auto" w:sz="4" w:space="0"/>
              <w:left w:val="single" w:color="auto" w:sz="4" w:space="0"/>
              <w:right w:val="single" w:color="auto" w:sz="4" w:space="0"/>
            </w:tcBorders>
          </w:tcPr>
          <w:p>
            <w:pPr>
              <w:pStyle w:val="105"/>
            </w:pPr>
            <w:r>
              <w:rPr>
                <w:rFonts w:cs="v5.0.0"/>
              </w:rPr>
              <w:t>N/A for in-band emissions testing</w:t>
            </w:r>
          </w:p>
        </w:tc>
        <w:tc>
          <w:tcPr>
            <w:tcW w:w="1731" w:type="dxa"/>
            <w:tcBorders>
              <w:top w:val="single" w:color="auto" w:sz="4" w:space="0"/>
              <w:left w:val="single" w:color="auto" w:sz="4" w:space="0"/>
              <w:bottom w:val="single" w:color="auto" w:sz="4" w:space="0"/>
              <w:right w:val="single" w:color="auto" w:sz="4" w:space="0"/>
            </w:tcBorders>
          </w:tcPr>
          <w:p>
            <w:pPr>
              <w:pStyle w:val="105"/>
            </w:pPr>
            <w:r>
              <w:t>Mod'n</w:t>
            </w:r>
          </w:p>
        </w:tc>
        <w:tc>
          <w:tcPr>
            <w:tcW w:w="3499"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p>
        </w:tc>
        <w:tc>
          <w:tcPr>
            <w:tcW w:w="2931" w:type="dxa"/>
            <w:vMerge w:val="continue"/>
            <w:tcBorders>
              <w:left w:val="single" w:color="auto" w:sz="4" w:space="0"/>
              <w:right w:val="single" w:color="auto" w:sz="4" w:space="0"/>
            </w:tcBorders>
            <w:vAlign w:val="center"/>
          </w:tcPr>
          <w:p>
            <w:pPr>
              <w:spacing w:after="0"/>
              <w:rPr>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pPr>
          </w:p>
        </w:tc>
        <w:tc>
          <w:tcPr>
            <w:tcW w:w="3499"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vMerge w:val="continue"/>
            <w:tcBorders>
              <w:left w:val="single" w:color="auto" w:sz="4" w:space="0"/>
              <w:right w:val="single" w:color="auto" w:sz="4" w:space="0"/>
            </w:tcBorders>
          </w:tcPr>
          <w:p>
            <w:pPr>
              <w:spacing w:after="0"/>
              <w:rPr>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pPr>
            <w:r>
              <w:t>QPSK</w:t>
            </w:r>
          </w:p>
        </w:tc>
        <w:tc>
          <w:tcPr>
            <w:tcW w:w="3499" w:type="dxa"/>
            <w:tcBorders>
              <w:top w:val="single" w:color="auto" w:sz="4" w:space="0"/>
              <w:left w:val="single" w:color="auto" w:sz="4" w:space="0"/>
              <w:bottom w:val="single" w:color="auto" w:sz="4" w:space="0"/>
              <w:right w:val="single" w:color="auto" w:sz="4" w:space="0"/>
            </w:tcBorders>
          </w:tcPr>
          <w:p>
            <w:pPr>
              <w:pStyle w:val="105"/>
            </w:pPr>
            <w:r>
              <w:t>1</w:t>
            </w:r>
          </w:p>
        </w:tc>
      </w:tr>
    </w:tbl>
    <w:p/>
    <w:p>
      <w:pPr>
        <w:pStyle w:val="113"/>
      </w:pPr>
      <w:r>
        <w:t>Table 6.4A.2.3.4.1-2: Test Configuration Table for PUCCH</w:t>
      </w:r>
    </w:p>
    <w:tbl>
      <w:tblPr>
        <w:tblStyle w:val="89"/>
        <w:tblW w:w="82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165"/>
        <w:gridCol w:w="1165"/>
        <w:gridCol w:w="2330"/>
        <w:gridCol w:w="2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Pr>
          <w:p>
            <w:pPr>
              <w:pStyle w:val="104"/>
              <w:rPr>
                <w:rFonts w:cs="v5.0.0"/>
              </w:rPr>
            </w:pPr>
          </w:p>
        </w:tc>
        <w:tc>
          <w:tcPr>
            <w:tcW w:w="4740" w:type="dxa"/>
            <w:gridSpan w:val="2"/>
          </w:tcPr>
          <w:p>
            <w:pPr>
              <w:pStyle w:val="104"/>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Pr>
          <w:p>
            <w:pPr>
              <w:pStyle w:val="105"/>
            </w:pPr>
            <w:r>
              <w:rPr>
                <w:rFonts w:cs="v5.0.0"/>
              </w:rPr>
              <w:t>Test Environment as specified in</w:t>
            </w:r>
          </w:p>
          <w:p>
            <w:pPr>
              <w:pStyle w:val="105"/>
            </w:pPr>
            <w:r>
              <w:t>TS 36.508[12] subclause 4.1</w:t>
            </w:r>
          </w:p>
        </w:tc>
        <w:tc>
          <w:tcPr>
            <w:tcW w:w="4740" w:type="dxa"/>
            <w:gridSpan w:val="2"/>
          </w:tcPr>
          <w:p>
            <w:pPr>
              <w:pStyle w:val="104"/>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Pr>
          <w:p>
            <w:pPr>
              <w:pStyle w:val="104"/>
              <w:rPr>
                <w:b w:val="0"/>
              </w:rPr>
            </w:pPr>
            <w:r>
              <w:rPr>
                <w:rFonts w:cs="v5.0.0"/>
                <w:b w:val="0"/>
              </w:rPr>
              <w:t>Test Frequencies as specified in</w:t>
            </w:r>
          </w:p>
          <w:p>
            <w:pPr>
              <w:pStyle w:val="104"/>
              <w:rPr>
                <w:b w:val="0"/>
              </w:rPr>
            </w:pPr>
            <w:r>
              <w:rPr>
                <w:b w:val="0"/>
              </w:rPr>
              <w:t>TS36.508 [12] subclause 4.3.1</w:t>
            </w:r>
          </w:p>
        </w:tc>
        <w:tc>
          <w:tcPr>
            <w:tcW w:w="4740" w:type="dxa"/>
            <w:gridSpan w:val="2"/>
          </w:tcPr>
          <w:p>
            <w:pPr>
              <w:pStyle w:val="104"/>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Pr>
          <w:p>
            <w:pPr>
              <w:pStyle w:val="104"/>
              <w:rPr>
                <w:b w:val="0"/>
              </w:rPr>
            </w:pPr>
            <w:r>
              <w:rPr>
                <w:rFonts w:cs="v5.0.0"/>
                <w:b w:val="0"/>
              </w:rPr>
              <w:t>Test Channel Bandwidths as specified in</w:t>
            </w:r>
          </w:p>
          <w:p>
            <w:pPr>
              <w:pStyle w:val="104"/>
              <w:rPr>
                <w:b w:val="0"/>
              </w:rPr>
            </w:pPr>
            <w:r>
              <w:rPr>
                <w:b w:val="0"/>
              </w:rPr>
              <w:t>TS 36.508 [12] subclause 4.3.1</w:t>
            </w:r>
          </w:p>
        </w:tc>
        <w:tc>
          <w:tcPr>
            <w:tcW w:w="4740" w:type="dxa"/>
            <w:gridSpan w:val="2"/>
          </w:tcPr>
          <w:p>
            <w:pPr>
              <w:pStyle w:val="104"/>
            </w:pPr>
            <w:r>
              <w:rPr>
                <w:b w:val="0"/>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35" w:type="dxa"/>
            <w:gridSpan w:val="5"/>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4660" w:type="dxa"/>
            <w:gridSpan w:val="3"/>
          </w:tcPr>
          <w:p>
            <w:pPr>
              <w:pStyle w:val="104"/>
            </w:pPr>
            <w:r>
              <w:t>Downlink Configuration</w:t>
            </w:r>
          </w:p>
        </w:tc>
        <w:tc>
          <w:tcPr>
            <w:tcW w:w="2410" w:type="dxa"/>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Pr>
          <w:p>
            <w:pPr>
              <w:pStyle w:val="105"/>
            </w:pPr>
            <w:r>
              <w:rPr>
                <w:rFonts w:cs="v5.0.0"/>
              </w:rPr>
              <w:t>Ch BW</w:t>
            </w:r>
          </w:p>
        </w:tc>
        <w:tc>
          <w:tcPr>
            <w:tcW w:w="1165" w:type="dxa"/>
          </w:tcPr>
          <w:p>
            <w:pPr>
              <w:pStyle w:val="105"/>
            </w:pPr>
            <w:r>
              <w:rPr>
                <w:rFonts w:cs="v5.0.0"/>
              </w:rPr>
              <w:t>Mod'n</w:t>
            </w:r>
          </w:p>
        </w:tc>
        <w:tc>
          <w:tcPr>
            <w:tcW w:w="3495" w:type="dxa"/>
            <w:gridSpan w:val="2"/>
          </w:tcPr>
          <w:p>
            <w:pPr>
              <w:pStyle w:val="103"/>
              <w:jc w:val="center"/>
            </w:pPr>
            <w:r>
              <w:rPr>
                <w:rFonts w:cs="v5.0.0"/>
              </w:rPr>
              <w:t>RB allocation</w:t>
            </w:r>
          </w:p>
        </w:tc>
        <w:tc>
          <w:tcPr>
            <w:tcW w:w="2410" w:type="dxa"/>
            <w:vMerge w:val="restart"/>
          </w:tcPr>
          <w:p>
            <w:pPr>
              <w:pStyle w:val="103"/>
            </w:pPr>
            <w:r>
              <w:t>FDD: PUCCH format = Format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1165" w:type="dxa"/>
          </w:tcPr>
          <w:p>
            <w:pPr>
              <w:pStyle w:val="105"/>
            </w:pPr>
          </w:p>
        </w:tc>
        <w:tc>
          <w:tcPr>
            <w:tcW w:w="3495" w:type="dxa"/>
            <w:gridSpan w:val="2"/>
          </w:tcPr>
          <w:p>
            <w:pPr>
              <w:pStyle w:val="105"/>
            </w:pPr>
            <w:r>
              <w:t>FDD and HD-FDD</w:t>
            </w:r>
          </w:p>
        </w:tc>
        <w:tc>
          <w:tcPr>
            <w:tcW w:w="2410" w:type="dxa"/>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r>
              <w:t>1.4MHz</w:t>
            </w:r>
          </w:p>
        </w:tc>
        <w:tc>
          <w:tcPr>
            <w:tcW w:w="1165" w:type="dxa"/>
          </w:tcPr>
          <w:p>
            <w:pPr>
              <w:pStyle w:val="105"/>
            </w:pPr>
            <w:r>
              <w:t>QPSK</w:t>
            </w:r>
          </w:p>
        </w:tc>
        <w:tc>
          <w:tcPr>
            <w:tcW w:w="3495" w:type="dxa"/>
            <w:gridSpan w:val="2"/>
          </w:tcPr>
          <w:p>
            <w:pPr>
              <w:pStyle w:val="105"/>
            </w:pPr>
            <w:r>
              <w:t>3@0</w:t>
            </w:r>
          </w:p>
        </w:tc>
        <w:tc>
          <w:tcPr>
            <w:tcW w:w="2410" w:type="dxa"/>
            <w:vMerge w:val="continue"/>
          </w:tcPr>
          <w:p>
            <w:pPr>
              <w:pStyle w:val="105"/>
            </w:pP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and DL Reference Measurement channels are set according to in Table 6.4A.2.3.4.1-1 (PUSCH sub-test) and Table 6.4A.2.3.4.1-2 (PUCCH sub-test).</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7</w:t>
      </w:r>
      <w:r>
        <w:rPr>
          <w:lang w:eastAsia="en-GB"/>
        </w:rPr>
        <w:t>.</w:t>
      </w:r>
      <w:r>
        <w:rPr>
          <w:lang w:eastAsia="en-GB"/>
        </w:rPr>
        <w:tab/>
      </w:r>
      <w:r>
        <w:t>Test equipment shall emulat</w:t>
      </w:r>
      <w:r>
        <w:rPr>
          <w:color w:val="000000" w:themeColor="text1"/>
          <w14:textFill>
            <w14:solidFill>
              <w14:schemeClr w14:val="tx1"/>
            </w14:solidFill>
          </w14:textFill>
        </w:rPr>
        <w:t xml:space="preserve">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xml:space="preserve">. Test system shall send same SIB31 information during the duration </w:t>
      </w:r>
      <w:r>
        <w:t>of the test as define in TS 36.508[12] clause 5.6.3.1</w:t>
      </w:r>
    </w:p>
    <w:p>
      <w:pPr>
        <w:pStyle w:val="111"/>
        <w:overflowPunct w:val="0"/>
        <w:autoSpaceDE w:val="0"/>
        <w:autoSpaceDN w:val="0"/>
        <w:adjustRightInd w:val="0"/>
        <w:contextualSpacing w:val="0"/>
        <w:textAlignment w:val="baseline"/>
        <w:rPr>
          <w:lang w:eastAsia="en-GB"/>
        </w:rPr>
      </w:pPr>
      <w:r>
        <w:rPr>
          <w:rFonts w:hint="eastAsia"/>
        </w:rPr>
        <w:t>8</w:t>
      </w:r>
      <w:r>
        <w:t>.</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6.4A.2.3.4.3.</w:t>
      </w:r>
    </w:p>
    <w:p>
      <w:pPr>
        <w:pStyle w:val="9"/>
      </w:pPr>
      <w:r>
        <w:t>6.4A.2.3.4.2</w:t>
      </w:r>
      <w:r>
        <w:tab/>
      </w:r>
      <w:r>
        <w:t>Test procedure</w:t>
      </w:r>
    </w:p>
    <w:p>
      <w:r>
        <w:t>Test procedure for PUSCH:</w:t>
      </w:r>
    </w:p>
    <w:p>
      <w:pPr>
        <w:pStyle w:val="11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r>
      <w:r>
        <w:rPr>
          <w:rFonts w:hint="eastAsia"/>
          <w:lang w:eastAsia="en-GB"/>
        </w:rPr>
        <w:t>SS sends uplink scheduling information for each UL HARQ process via PDCCH DCI format 0 for C_RNTI to schedule the UL RMC according to Table 6.4A.2.3.4.1-1.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r>
      <w:r>
        <w:rPr>
          <w:rFonts w:hint="eastAsia"/>
          <w:lang w:eastAsia="en-GB"/>
        </w:rPr>
        <w:t>Send the appropriate TPC commands in the uplink scheduling information to the UE until UE output power is 13.2 dBm ±3.2dB for carrier frequency f ≤ 3.0GHz or 13.5dBm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r>
      <w:r>
        <w:rPr>
          <w:rFonts w:hint="eastAsia"/>
          <w:lang w:eastAsia="en-GB"/>
        </w:rPr>
        <w:t>Send the appropriate TPC commands in the uplink scheduling information to the UE until UE output power is 3.2 dBm ±3.2dB for carrier frequency f ≤ 3.0GHz or 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1.5</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1.6</w:t>
      </w:r>
      <w:r>
        <w:rPr>
          <w:rFonts w:hint="eastAsia"/>
          <w:lang w:eastAsia="en-GB"/>
        </w:rPr>
        <w:tab/>
      </w:r>
      <w:r>
        <w:rPr>
          <w:rFonts w:hint="eastAsia"/>
          <w:lang w:eastAsia="en-GB"/>
        </w:rPr>
        <w:t>Send the appropriate TPC commands in the uplink scheduling information to the UE until UE output power is -26.8 dBm ±3.2dB for carrier frequency f ≤ 3.0GHz or -36.5dBm ±2.5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1.7</w:t>
      </w:r>
      <w:r>
        <w:rPr>
          <w:rFonts w:hint="eastAsia"/>
          <w:lang w:eastAsia="en-GB"/>
        </w:rPr>
        <w:tab/>
      </w:r>
      <w:r>
        <w:rPr>
          <w:rFonts w:hint="eastAsia"/>
          <w:lang w:eastAsia="en-GB"/>
        </w:rPr>
        <w:t>Measure In-band emission using Global In-Channel Tx-Test (Annex E) according to the UE’s declaration on the position of carrier centre frequency. For HD-FDD slots with transient periods are not under test. Half-duplex guard subframes are not under test.</w:t>
      </w:r>
    </w:p>
    <w:p>
      <w:pPr>
        <w:pStyle w:val="111"/>
        <w:overflowPunct w:val="0"/>
        <w:autoSpaceDE w:val="0"/>
        <w:autoSpaceDN w:val="0"/>
        <w:adjustRightInd w:val="0"/>
        <w:contextualSpacing w:val="0"/>
        <w:textAlignment w:val="baseline"/>
        <w:rPr>
          <w:lang w:eastAsia="en-GB"/>
        </w:rPr>
      </w:pPr>
      <w:r>
        <w:rPr>
          <w:rFonts w:hint="eastAsia"/>
          <w:lang w:eastAsia="en-GB"/>
        </w:rPr>
        <w:t>1.8</w:t>
      </w:r>
      <w:r>
        <w:rPr>
          <w:rFonts w:hint="eastAsia"/>
          <w:lang w:eastAsia="en-GB"/>
        </w:rPr>
        <w:tab/>
      </w:r>
      <w:r>
        <w:rPr>
          <w:rFonts w:hint="eastAsia"/>
          <w:lang w:eastAsia="en-GB"/>
        </w:rPr>
        <w:t>Send the appropriate TPC commands in the uplink scheduling information to the UE until UE output power is to -36.8 dBm ±3.2dB for carrier frequency f ≤ 3.0GHz or -36.5dBm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1.9</w:t>
      </w:r>
      <w:r>
        <w:rPr>
          <w:rFonts w:hint="eastAsia"/>
          <w:lang w:eastAsia="en-GB"/>
        </w:rPr>
        <w:tab/>
      </w:r>
      <w:r>
        <w:rPr>
          <w:rFonts w:hint="eastAsia"/>
          <w:lang w:eastAsia="en-GB"/>
        </w:rPr>
        <w:t>Measure In-band emission using Global In-Channel Tx-Test (Annex E) according to the UE’s declaration on the position of carrier centre frequency. For HD-FDD slots with transient periods are not under test. Half-duplex guard subframes are not under test.</w:t>
      </w:r>
    </w:p>
    <w:p>
      <w:r>
        <w:t>Test procedure for PUCCH:</w:t>
      </w:r>
    </w:p>
    <w:p>
      <w:pPr>
        <w:pStyle w:val="11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r>
      <w:r>
        <w:rPr>
          <w:rFonts w:hint="eastAsia"/>
          <w:lang w:eastAsia="en-GB"/>
        </w:rPr>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pPr>
        <w:pStyle w:val="11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r>
      <w:r>
        <w:rPr>
          <w:rFonts w:hint="eastAsia"/>
          <w:lang w:eastAsia="en-GB"/>
        </w:rPr>
        <w:t>Send the appropriate TPC commands in the uplink scheduling information for PUCCH to the UE until UE output power is 13.2 dBm ±3.2dB for carrier frequency f ≤ 3.0GHz or 13.5dBm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r>
      <w:r>
        <w:rPr>
          <w:rFonts w:hint="eastAsia"/>
          <w:lang w:eastAsia="en-GB"/>
        </w:rPr>
        <w:t>Send the appropriate TPC commands in the uplink scheduling information for PUCCH to the UE until UE output power is 3.2 dBm ±3.2dB for carrier frequency f ≤ 3.0GHz or 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r>
      <w:r>
        <w:rPr>
          <w:rFonts w:hint="eastAsia"/>
          <w:lang w:eastAsia="en-GB"/>
        </w:rPr>
        <w:t>Send the appropriate TPC commands for PUCCH in the uplink scheduling information to the UE until UE output power is -26.8 dBm ±3.2dB for carrier frequency f ≤ 3.0GHz or -26.5dBm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2.7</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2.8</w:t>
      </w:r>
      <w:r>
        <w:rPr>
          <w:rFonts w:hint="eastAsia"/>
          <w:lang w:eastAsia="en-GB"/>
        </w:rPr>
        <w:tab/>
      </w:r>
      <w:r>
        <w:rPr>
          <w:rFonts w:hint="eastAsia"/>
          <w:lang w:eastAsia="en-GB"/>
        </w:rPr>
        <w:t>Send the appropriate TPC commands for PUCCH in the uplink scheduling information to the UE until UE output power is to -36.8 dBm ±3.2dB for carrier frequency f ≤ 3.0GHz or -36.5dBm ±3.5 dB for carrier frequency 3.0GHz &lt; f ≤ 4.2GHz.</w:t>
      </w:r>
    </w:p>
    <w:p>
      <w:pPr>
        <w:pStyle w:val="111"/>
        <w:overflowPunct w:val="0"/>
        <w:autoSpaceDE w:val="0"/>
        <w:autoSpaceDN w:val="0"/>
        <w:adjustRightInd w:val="0"/>
        <w:contextualSpacing w:val="0"/>
        <w:textAlignment w:val="baseline"/>
      </w:pPr>
      <w:r>
        <w:rPr>
          <w:rFonts w:hint="eastAsia"/>
          <w:lang w:eastAsia="en-GB"/>
        </w:rPr>
        <w:t>2.9</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9"/>
      </w:pPr>
      <w:r>
        <w:t>6.4A.2.3.4.3</w:t>
      </w:r>
      <w:r>
        <w:tab/>
      </w:r>
      <w:r>
        <w:t>Message contents</w:t>
      </w:r>
    </w:p>
    <w:p>
      <w:pPr>
        <w:rPr>
          <w:rFonts w:eastAsia="MS Mincho"/>
        </w:rPr>
      </w:pPr>
      <w:r>
        <w:t>Message contents are according to TS 36.508 [12] subclause 4.6 with the condition CEModeA and the following exceptions:</w:t>
      </w:r>
    </w:p>
    <w:p>
      <w:pPr>
        <w:pStyle w:val="113"/>
      </w:pPr>
      <w:r>
        <w:t xml:space="preserve">Table 6.4A.2.3.4.3-1: </w:t>
      </w:r>
      <w:r>
        <w:rPr>
          <w:i/>
          <w:iCs/>
        </w:rPr>
        <w:t>PUCCH-ConfigCommon</w:t>
      </w:r>
      <w:r>
        <w:t>: PUCCH in-band emissions measurement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TS 36.508 [12] clause 6.3.2, Table 4.6.3-8: PUCCH-ConfigCommon-DEFAULT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PUCCH-ConfigCommon-DEFAULT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nRB-CQI</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6.4A.2.3.5</w:t>
      </w:r>
      <w:r>
        <w:tab/>
      </w:r>
      <w:r>
        <w:t>Test requirement</w:t>
      </w:r>
    </w:p>
    <w:p>
      <w:r>
        <w:t>Each of the 20 In-band emissions results, derived in Annex E.4.3 shall not exceed the corresponding values in Table 6.4A.5-1.</w:t>
      </w:r>
    </w:p>
    <w:p>
      <w:pPr>
        <w:pStyle w:val="113"/>
      </w:pPr>
      <w:r>
        <w:rPr>
          <w:rFonts w:eastAsia="Osaka"/>
        </w:rPr>
        <w:t xml:space="preserve">Table 6.4A.2.3.5-1: Test requirements for in-band emissions </w:t>
      </w:r>
      <w:r>
        <w:t>for UE supporting Rel-15 and higher</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tcBorders>
              <w:bottom w:val="single" w:color="auto" w:sz="4" w:space="0"/>
              <w:right w:val="single" w:color="auto" w:sz="4" w:space="0"/>
            </w:tcBorders>
            <w:shd w:val="clear" w:color="auto" w:fill="auto"/>
            <w:vAlign w:val="center"/>
          </w:tcPr>
          <w:p>
            <w:pPr>
              <w:pStyle w:val="104"/>
              <w:rPr>
                <w:rFonts w:cs="Arial"/>
                <w:i/>
                <w:iCs/>
              </w:rPr>
            </w:pPr>
            <w:r>
              <w:rPr>
                <w:rFonts w:cs="Arial"/>
              </w:rPr>
              <w:t>Parameter description</w:t>
            </w:r>
          </w:p>
        </w:tc>
        <w:tc>
          <w:tcPr>
            <w:tcW w:w="1293"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Unit</w:t>
            </w:r>
          </w:p>
        </w:tc>
        <w:tc>
          <w:tcPr>
            <w:tcW w:w="5420" w:type="dxa"/>
            <w:gridSpan w:val="2"/>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Limit (NOTE 1)</w:t>
            </w:r>
          </w:p>
        </w:tc>
        <w:tc>
          <w:tcPr>
            <w:tcW w:w="1682"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205" w:type="dxa"/>
            <w:tcBorders>
              <w:top w:val="single" w:color="auto" w:sz="4" w:space="0"/>
              <w:left w:val="single" w:color="auto" w:sz="4" w:space="0"/>
              <w:bottom w:val="nil"/>
              <w:right w:val="single" w:color="auto" w:sz="4" w:space="0"/>
            </w:tcBorders>
            <w:shd w:val="clear" w:color="auto" w:fill="auto"/>
            <w:vAlign w:val="bottom"/>
          </w:tcPr>
          <w:p>
            <w:pPr>
              <w:pStyle w:val="104"/>
              <w:rPr>
                <w:rFonts w:cs="Arial"/>
              </w:rPr>
            </w:pPr>
            <w:r>
              <w:rPr>
                <w:rFonts w:cs="Arial"/>
              </w:rPr>
              <w:t>General</w:t>
            </w:r>
          </w:p>
        </w:tc>
        <w:tc>
          <w:tcPr>
            <w:tcW w:w="1293" w:type="dxa"/>
            <w:tcBorders>
              <w:top w:val="single" w:color="auto" w:sz="4" w:space="0"/>
              <w:left w:val="single" w:color="auto" w:sz="4" w:space="0"/>
              <w:bottom w:val="nil"/>
              <w:right w:val="single" w:color="auto" w:sz="4" w:space="0"/>
            </w:tcBorders>
            <w:vAlign w:val="bottom"/>
          </w:tcPr>
          <w:p>
            <w:pPr>
              <w:pStyle w:val="105"/>
              <w:rPr>
                <w:rFonts w:cs="Arial"/>
              </w:rPr>
            </w:pPr>
            <w:r>
              <w:rPr>
                <w:rFonts w:cs="Arial"/>
              </w:rPr>
              <w:t>dB</w:t>
            </w:r>
          </w:p>
        </w:tc>
        <w:tc>
          <w:tcPr>
            <w:tcW w:w="542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m:oMathPara>
              <m:oMath>
                <m:r>
                  <m:rPr/>
                  <w:rPr>
                    <w:rFonts w:ascii="Cambria Math" w:hAnsi="Cambria Math" w:cs="Arial"/>
                    <w:lang w:eastAsia="ja-JP"/>
                  </w:rPr>
                  <m:t>−18−</m:t>
                </m:r>
                <m:d>
                  <m:dPr>
                    <m:begChr m:val="["/>
                    <m:endChr m:val="]"/>
                    <m:ctrlPr>
                      <w:rPr>
                        <w:rFonts w:ascii="Cambria Math" w:hAnsi="Cambria Math" w:cs="Arial"/>
                        <w:i/>
                        <w:lang w:eastAsia="ja-JP"/>
                      </w:rPr>
                    </m:ctrlPr>
                  </m:dPr>
                  <m:e>
                    <m:r>
                      <m:rPr/>
                      <w:rPr>
                        <w:rFonts w:ascii="Cambria Math" w:hAnsi="Cambria Math" w:cs="Arial"/>
                        <w:lang w:eastAsia="ja-JP"/>
                      </w:rPr>
                      <m:t>5</m:t>
                    </m:r>
                    <m:ctrlPr>
                      <w:rPr>
                        <w:rFonts w:ascii="Cambria Math" w:hAnsi="Cambria Math" w:cs="Arial"/>
                        <w:i/>
                        <w:lang w:eastAsia="ja-JP"/>
                      </w:rPr>
                    </m:ctrlPr>
                  </m:e>
                </m:d>
                <m:r>
                  <m:rP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ctrlPr>
                      <w:rPr>
                        <w:rFonts w:ascii="Cambria Math" w:hAnsi="Cambria Math" w:cs="Arial"/>
                        <w:i/>
                        <w:lang w:eastAsia="ja-JP"/>
                      </w:rPr>
                    </m:ctrlPr>
                  </m:e>
                </m:d>
                <m:r>
                  <m:rPr/>
                  <w:rPr>
                    <w:rFonts w:ascii="Cambria Math" w:hAnsi="Cambria Math" w:cs="Arial"/>
                    <w:lang w:eastAsia="ja-JP"/>
                  </w:rPr>
                  <m:t>−1)/</m:t>
                </m:r>
                <m:sSub>
                  <m:sSubPr>
                    <m:ctrlPr>
                      <w:rPr>
                        <w:rFonts w:ascii="Cambria Math" w:hAnsi="Cambria Math" w:cs="Arial"/>
                        <w:i/>
                        <w:lang w:eastAsia="ja-JP"/>
                      </w:rPr>
                    </m:ctrlPr>
                  </m:sSubPr>
                  <m:e>
                    <m:r>
                      <m:rPr/>
                      <w:rPr>
                        <w:rFonts w:ascii="Cambria Math" w:hAnsi="Cambria Math" w:cs="Arial"/>
                        <w:lang w:eastAsia="ja-JP"/>
                      </w:rPr>
                      <m:t>L</m:t>
                    </m:r>
                    <m:ctrlPr>
                      <w:rPr>
                        <w:rFonts w:ascii="Cambria Math" w:hAnsi="Cambria Math" w:cs="Arial"/>
                        <w:i/>
                        <w:lang w:eastAsia="ja-JP"/>
                      </w:rPr>
                    </m:ctrlPr>
                  </m:e>
                  <m:sub>
                    <m:r>
                      <m:rPr/>
                      <w:rPr>
                        <w:rFonts w:ascii="Cambria Math" w:hAnsi="Cambria Math" w:cs="Arial"/>
                        <w:lang w:eastAsia="ja-JP"/>
                      </w:rPr>
                      <m:t>SCG</m:t>
                    </m:r>
                    <m:ctrlPr>
                      <w:rPr>
                        <w:rFonts w:ascii="Cambria Math" w:hAnsi="Cambria Math" w:cs="Arial"/>
                        <w:i/>
                        <w:lang w:eastAsia="ja-JP"/>
                      </w:rPr>
                    </m:ctrlPr>
                  </m:sub>
                </m:sSub>
              </m:oMath>
            </m:oMathPara>
          </w:p>
          <w:p>
            <w:pPr>
              <w:pStyle w:val="105"/>
              <w:rPr>
                <w:rFonts w:cs="Arial"/>
              </w:rPr>
            </w:pPr>
          </w:p>
        </w:tc>
        <w:tc>
          <w:tcPr>
            <w:tcW w:w="1682" w:type="dxa"/>
            <w:tcBorders>
              <w:top w:val="single" w:color="auto" w:sz="4" w:space="0"/>
              <w:left w:val="single" w:color="auto" w:sz="4" w:space="0"/>
              <w:bottom w:val="single" w:color="auto" w:sz="4" w:space="0"/>
              <w:right w:val="single" w:color="auto" w:sz="4" w:space="0"/>
            </w:tcBorders>
            <w:vAlign w:val="center"/>
          </w:tcPr>
          <w:p>
            <w:pPr>
              <w:pStyle w:val="105"/>
            </w:pPr>
            <w:r>
              <w:t>Any non-allocated Subcarrier Group within the subPRB allocation</w:t>
            </w:r>
          </w:p>
          <w:p>
            <w:pPr>
              <w:pStyle w:val="105"/>
              <w:rPr>
                <w:rFonts w:cs="Arial"/>
              </w:rPr>
            </w:pPr>
            <w:r>
              <w:t>(NOTE 11,12,13)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205" w:type="dxa"/>
            <w:tcBorders>
              <w:top w:val="nil"/>
              <w:left w:val="single" w:color="auto" w:sz="4" w:space="0"/>
              <w:bottom w:val="single" w:color="auto" w:sz="4" w:space="0"/>
              <w:right w:val="single" w:color="auto" w:sz="4" w:space="0"/>
            </w:tcBorders>
            <w:shd w:val="clear" w:color="auto" w:fill="auto"/>
          </w:tcPr>
          <w:p>
            <w:pPr>
              <w:pStyle w:val="104"/>
              <w:rPr>
                <w:rFonts w:cs="Arial"/>
              </w:rPr>
            </w:pPr>
          </w:p>
        </w:tc>
        <w:tc>
          <w:tcPr>
            <w:tcW w:w="1293" w:type="dxa"/>
            <w:tcBorders>
              <w:top w:val="nil"/>
              <w:left w:val="single" w:color="auto" w:sz="4" w:space="0"/>
              <w:bottom w:val="single" w:color="auto" w:sz="4" w:space="0"/>
              <w:right w:val="single" w:color="auto" w:sz="4" w:space="0"/>
            </w:tcBorders>
          </w:tcPr>
          <w:p>
            <w:pPr>
              <w:pStyle w:val="105"/>
              <w:rPr>
                <w:rFonts w:cs="Arial"/>
              </w:rPr>
            </w:pPr>
          </w:p>
        </w:tc>
        <w:tc>
          <w:tcPr>
            <w:tcW w:w="5420" w:type="dxa"/>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position w:val="-50"/>
              </w:rPr>
              <w:object>
                <v:shape id="_x0000_i1046" o:spt="75" type="#_x0000_t75" style="height:47.4pt;width:178.2pt;" o:ole="t" filled="f" o:preferrelative="t" stroked="f" coordsize="21600,21600">
                  <v:path/>
                  <v:fill on="f" focussize="0,0"/>
                  <v:stroke on="f" joinstyle="miter"/>
                  <v:imagedata r:id="rId40" o:title=""/>
                  <o:lock v:ext="edit" aspectratio="t"/>
                  <w10:wrap type="none"/>
                  <w10:anchorlock/>
                </v:shape>
                <o:OLEObject Type="Embed" ProgID="Equation.3" ShapeID="_x0000_i1046" DrawAspect="Content" ObjectID="_1468075746" r:id="rId59">
                  <o:LockedField>false</o:LockedField>
                </o:OLEObject>
              </w:object>
            </w:r>
          </w:p>
        </w:tc>
        <w:tc>
          <w:tcPr>
            <w:tcW w:w="168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IQ Image</w:t>
            </w:r>
          </w:p>
        </w:tc>
        <w:tc>
          <w:tcPr>
            <w:tcW w:w="1293"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w:t>
            </w: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-28</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&lt; 1 GHz and Output power &gt; 10 dBm</w:t>
            </w:r>
          </w:p>
        </w:tc>
        <w:tc>
          <w:tcPr>
            <w:tcW w:w="1682"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continue"/>
            <w:tcBorders>
              <w:right w:val="single" w:color="auto" w:sz="4" w:space="0"/>
            </w:tcBorders>
            <w:shd w:val="clear" w:color="auto" w:fill="auto"/>
            <w:vAlign w:val="center"/>
          </w:tcPr>
          <w:p>
            <w:pPr>
              <w:pStyle w:val="104"/>
              <w:rPr>
                <w:rFonts w:cs="Arial"/>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&lt; 1 GHz and Output power ≤ 10 dBm</w:t>
            </w:r>
          </w:p>
        </w:tc>
        <w:tc>
          <w:tcPr>
            <w:tcW w:w="1682"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continue"/>
            <w:tcBorders>
              <w:right w:val="single" w:color="auto" w:sz="4" w:space="0"/>
            </w:tcBorders>
            <w:shd w:val="clear" w:color="auto" w:fill="auto"/>
            <w:vAlign w:val="center"/>
          </w:tcPr>
          <w:p>
            <w:pPr>
              <w:pStyle w:val="104"/>
              <w:rPr>
                <w:rFonts w:cs="Arial"/>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 1 GHz</w:t>
            </w:r>
          </w:p>
        </w:tc>
        <w:tc>
          <w:tcPr>
            <w:tcW w:w="1682"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Carrier leakage</w:t>
            </w:r>
          </w:p>
        </w:tc>
        <w:tc>
          <w:tcPr>
            <w:tcW w:w="1293"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dBc</w:t>
            </w: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-28</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Output power &gt; 10 dBm and carrier centre frequency &lt; 1 GHz</w:t>
            </w:r>
          </w:p>
        </w:tc>
        <w:tc>
          <w:tcPr>
            <w:tcW w:w="1682"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Carrier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continue"/>
            <w:tcBorders>
              <w:top w:val="single" w:color="auto" w:sz="4" w:space="0"/>
              <w:right w:val="single" w:color="auto" w:sz="4" w:space="0"/>
            </w:tcBorders>
            <w:shd w:val="clear" w:color="auto" w:fill="auto"/>
            <w:vAlign w:val="center"/>
          </w:tcPr>
          <w:p>
            <w:pPr>
              <w:pStyle w:val="104"/>
              <w:rPr>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Output power &gt; 10 dBm and carrier centre frequency ≥ 1 GHz</w:t>
            </w:r>
          </w:p>
        </w:tc>
        <w:tc>
          <w:tcPr>
            <w:tcW w:w="1682" w:type="dxa"/>
            <w:vMerge w:val="continue"/>
            <w:tcBorders>
              <w:top w:val="single" w:color="auto" w:sz="4" w:space="0"/>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continue"/>
            <w:tcBorders>
              <w:top w:val="single" w:color="auto" w:sz="4" w:space="0"/>
              <w:right w:val="single" w:color="auto" w:sz="4" w:space="0"/>
            </w:tcBorders>
            <w:shd w:val="clear" w:color="auto" w:fill="auto"/>
            <w:vAlign w:val="center"/>
          </w:tcPr>
          <w:p>
            <w:pPr>
              <w:pStyle w:val="104"/>
              <w:rPr>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0 dBm ≤ Output power ≤10 dBm</w:t>
            </w:r>
          </w:p>
        </w:tc>
        <w:tc>
          <w:tcPr>
            <w:tcW w:w="1682" w:type="dxa"/>
            <w:vMerge w:val="continue"/>
            <w:tcBorders>
              <w:top w:val="single" w:color="auto" w:sz="4" w:space="0"/>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205" w:type="dxa"/>
            <w:vMerge w:val="continue"/>
            <w:tcBorders>
              <w:right w:val="single" w:color="auto" w:sz="4" w:space="0"/>
            </w:tcBorders>
            <w:shd w:val="clear" w:color="auto" w:fill="auto"/>
            <w:vAlign w:val="center"/>
          </w:tcPr>
          <w:p>
            <w:pPr>
              <w:spacing w:after="0"/>
              <w:rPr>
                <w:b/>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-20</w:t>
            </w:r>
          </w:p>
        </w:tc>
        <w:tc>
          <w:tcPr>
            <w:tcW w:w="4155" w:type="dxa"/>
            <w:tcBorders>
              <w:left w:val="single" w:color="auto" w:sz="4" w:space="0"/>
              <w:right w:val="single" w:color="auto" w:sz="4" w:space="0"/>
            </w:tcBorders>
            <w:shd w:val="clear" w:color="auto" w:fill="auto"/>
            <w:vAlign w:val="center"/>
          </w:tcPr>
          <w:p>
            <w:pPr>
              <w:pStyle w:val="103"/>
              <w:rPr>
                <w:rFonts w:cs="Arial"/>
              </w:rPr>
            </w:pPr>
            <w:r>
              <w:rPr>
                <w:rFonts w:cs="Arial"/>
              </w:rPr>
              <w:t>-30 dBm ≤ Output power ≤ 0 dBm</w:t>
            </w:r>
          </w:p>
        </w:tc>
        <w:tc>
          <w:tcPr>
            <w:tcW w:w="1682" w:type="dxa"/>
            <w:vMerge w:val="continue"/>
            <w:tcBorders>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205" w:type="dxa"/>
            <w:vMerge w:val="continue"/>
            <w:tcBorders>
              <w:right w:val="single" w:color="auto" w:sz="4" w:space="0"/>
            </w:tcBorders>
            <w:shd w:val="clear" w:color="auto" w:fill="auto"/>
            <w:vAlign w:val="center"/>
          </w:tcPr>
          <w:p>
            <w:pPr>
              <w:spacing w:after="0"/>
              <w:rPr>
                <w:b/>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-10</w:t>
            </w:r>
          </w:p>
        </w:tc>
        <w:tc>
          <w:tcPr>
            <w:tcW w:w="4155" w:type="dxa"/>
            <w:tcBorders>
              <w:left w:val="single" w:color="auto" w:sz="4" w:space="0"/>
              <w:right w:val="single" w:color="auto" w:sz="4" w:space="0"/>
            </w:tcBorders>
            <w:shd w:val="clear" w:color="auto" w:fill="auto"/>
            <w:vAlign w:val="center"/>
          </w:tcPr>
          <w:p>
            <w:pPr>
              <w:pStyle w:val="103"/>
              <w:rPr>
                <w:rFonts w:cs="Arial"/>
              </w:rPr>
            </w:pPr>
            <w:r>
              <w:rPr>
                <w:rFonts w:cs="Arial"/>
              </w:rPr>
              <w:t xml:space="preserve">-40 dBm </w:t>
            </w:r>
            <w:r>
              <w:rPr>
                <w:rFonts w:cs="Arial"/>
              </w:rPr>
              <w:sym w:font="Symbol" w:char="F0A3"/>
            </w:r>
            <w:r>
              <w:rPr>
                <w:rFonts w:cs="Arial"/>
              </w:rPr>
              <w:t xml:space="preserve"> Output power &lt; -30 dBm</w:t>
            </w:r>
          </w:p>
        </w:tc>
        <w:tc>
          <w:tcPr>
            <w:tcW w:w="1682" w:type="dxa"/>
            <w:vMerge w:val="continue"/>
            <w:tcBorders>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5"/>
            <w:tcBorders>
              <w:right w:val="single" w:color="auto" w:sz="4" w:space="0"/>
            </w:tcBorders>
            <w:shd w:val="clear" w:color="auto" w:fill="auto"/>
            <w:vAlign w:val="center"/>
          </w:tcPr>
          <w:p>
            <w:pPr>
              <w:pStyle w:val="118"/>
              <w:rPr>
                <w:rFonts w:cs="Arial"/>
              </w:rPr>
            </w:pPr>
            <w:r>
              <w:rPr>
                <w:rFonts w:cs="Arial"/>
              </w:rPr>
              <w:t>NOTE 1:</w:t>
            </w:r>
            <w:r>
              <w:rPr>
                <w:rFonts w:cs="Arial"/>
              </w:rPr>
              <w:tab/>
            </w:r>
            <w:r>
              <w:rPr>
                <w:rFonts w:cs="Arial"/>
              </w:rPr>
              <w:t xml:space="preserve">An in-band emissions combined limit is evaluated in each non-allocated RB. For each such RB, the minimum requirement is calculated as the higher of </w:t>
            </w:r>
            <w:r>
              <w:rPr>
                <w:rFonts w:cs="Arial"/>
                <w:i/>
              </w:rPr>
              <w:t>P</w:t>
            </w:r>
            <w:r>
              <w:rPr>
                <w:rFonts w:cs="Arial"/>
                <w:i/>
                <w:vertAlign w:val="subscript"/>
              </w:rPr>
              <w:t xml:space="preserve">RB </w:t>
            </w:r>
            <w:r>
              <w:rPr>
                <w:rFonts w:cs="Arial"/>
              </w:rPr>
              <w:t xml:space="preserve">- 30 dB and the power sum of all limit values (General, IQ Image or Carrier leakage) that apply. </w:t>
            </w:r>
            <w:r>
              <w:rPr>
                <w:rFonts w:cs="Arial"/>
                <w:i/>
              </w:rPr>
              <w:t>P</w:t>
            </w:r>
            <w:r>
              <w:rPr>
                <w:rFonts w:cs="Arial"/>
                <w:i/>
                <w:vertAlign w:val="subscript"/>
              </w:rPr>
              <w:t>RB</w:t>
            </w:r>
            <w:r>
              <w:rPr>
                <w:rFonts w:cs="Arial"/>
                <w:i/>
              </w:rPr>
              <w:t xml:space="preserve"> </w:t>
            </w:r>
            <w:r>
              <w:rPr>
                <w:rFonts w:cs="Arial"/>
              </w:rPr>
              <w:t>is defined in NOTE 10.</w:t>
            </w:r>
          </w:p>
          <w:p>
            <w:pPr>
              <w:pStyle w:val="118"/>
              <w:rPr>
                <w:rFonts w:cs="Arial"/>
              </w:rPr>
            </w:pPr>
            <w:r>
              <w:rPr>
                <w:rFonts w:cs="Arial"/>
              </w:rPr>
              <w:t>NOTE 2:</w:t>
            </w:r>
            <w:r>
              <w:rPr>
                <w:rFonts w:cs="Arial"/>
              </w:rPr>
              <w:tab/>
            </w:r>
            <w:r>
              <w:rPr>
                <w:rFonts w:cs="Arial"/>
              </w:rPr>
              <w:t>The measurement bandwidth is 1 RB and the limit is expressed as a ratio of measured power in one non-allocated RB to the measured average power per allocated RB, where the averaging is done across all allocated RBs.</w:t>
            </w:r>
          </w:p>
          <w:p>
            <w:pPr>
              <w:pStyle w:val="118"/>
              <w:rPr>
                <w:rFonts w:cs="Arial"/>
              </w:rPr>
            </w:pPr>
            <w:r>
              <w:rPr>
                <w:rFonts w:cs="Arial"/>
              </w:rPr>
              <w:t>NOTE 3:</w:t>
            </w:r>
            <w:r>
              <w:rPr>
                <w:rFonts w:cs="Arial"/>
              </w:rPr>
              <w:tab/>
            </w:r>
            <w:r>
              <w:rPr>
                <w:rFonts w:cs="Arial"/>
              </w:rPr>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pPr>
              <w:pStyle w:val="118"/>
              <w:rPr>
                <w:rFonts w:cs="Arial"/>
              </w:rPr>
            </w:pPr>
            <w:r>
              <w:rPr>
                <w:rFonts w:cs="Arial"/>
              </w:rPr>
              <w:t>NOTE 4:</w:t>
            </w:r>
            <w:r>
              <w:rPr>
                <w:rFonts w:cs="Arial"/>
              </w:rPr>
              <w:tab/>
            </w:r>
            <w:r>
              <w:rPr>
                <w:rFonts w:cs="Arial"/>
              </w:rPr>
              <w:t>The measurement bandwidth is 1 RB and the limit is expressed as a ratio of measured power in one non-allocated RB to the measured total power in all allocated RBs.</w:t>
            </w:r>
          </w:p>
          <w:p>
            <w:pPr>
              <w:pStyle w:val="118"/>
              <w:rPr>
                <w:rFonts w:cs="Arial"/>
              </w:rPr>
            </w:pPr>
            <w:r>
              <w:rPr>
                <w:rFonts w:cs="Arial"/>
              </w:rPr>
              <w:t>NOTE 5:</w:t>
            </w:r>
            <w:r>
              <w:rPr>
                <w:rFonts w:cs="Arial"/>
              </w:rPr>
              <w:tab/>
            </w:r>
            <w:r>
              <w:rPr>
                <w:rFonts w:cs="Arial"/>
              </w:rPr>
              <w:t xml:space="preserve">The applicable frequencies for this limit are those that are enclosed in the RBs containing the DC frequency if </w:t>
            </w:r>
            <w:r>
              <w:rPr>
                <w:rFonts w:cs="Arial"/>
                <w:position w:val="-10"/>
              </w:rPr>
              <w:object>
                <v:shape id="_x0000_i1047" o:spt="75" type="#_x0000_t75" style="height:17.4pt;width:22.2pt;" o:ole="t" filled="f" o:preferrelative="t" stroked="f" coordsize="21600,21600">
                  <v:path/>
                  <v:fill on="f" focussize="0,0"/>
                  <v:stroke on="f" joinstyle="miter"/>
                  <v:imagedata r:id="rId42" o:title=""/>
                  <o:lock v:ext="edit" aspectratio="t"/>
                  <w10:wrap type="none"/>
                  <w10:anchorlock/>
                </v:shape>
                <o:OLEObject Type="Embed" ProgID="Equation.3" ShapeID="_x0000_i1047" DrawAspect="Content" ObjectID="_1468075747" r:id="rId60">
                  <o:LockedField>false</o:LockedField>
                </o:OLEObject>
              </w:object>
            </w:r>
            <w:r>
              <w:rPr>
                <w:rFonts w:cs="Arial"/>
              </w:rPr>
              <w:t xml:space="preserve"> is odd, or in the two RBs immediately adjacent to the DC frequency if </w:t>
            </w:r>
            <w:r>
              <w:rPr>
                <w:rFonts w:cs="Arial"/>
                <w:position w:val="-10"/>
              </w:rPr>
              <w:object>
                <v:shape id="_x0000_i1048" o:spt="75" type="#_x0000_t75" style="height:17.4pt;width:22.2pt;" o:ole="t" filled="f" o:preferrelative="t" stroked="f" coordsize="21600,21600">
                  <v:path/>
                  <v:fill on="f" focussize="0,0"/>
                  <v:stroke on="f" joinstyle="miter"/>
                  <v:imagedata r:id="rId44" o:title=""/>
                  <o:lock v:ext="edit" aspectratio="t"/>
                  <w10:wrap type="none"/>
                  <w10:anchorlock/>
                </v:shape>
                <o:OLEObject Type="Embed" ProgID="Equation.3" ShapeID="_x0000_i1048" DrawAspect="Content" ObjectID="_1468075748" r:id="rId61">
                  <o:LockedField>false</o:LockedField>
                </o:OLEObject>
              </w:object>
            </w:r>
            <w:r>
              <w:rPr>
                <w:rFonts w:cs="Arial"/>
              </w:rPr>
              <w:t xml:space="preserve"> is even, but excluding any allocated RB. For UE of UL Category M1, the applicable frequencies shall alternatively be the centre frequency of the supported 6RBs additionally.</w:t>
            </w:r>
          </w:p>
          <w:p>
            <w:pPr>
              <w:pStyle w:val="118"/>
              <w:rPr>
                <w:rFonts w:cs="Arial"/>
              </w:rPr>
            </w:pPr>
            <w:r>
              <w:rPr>
                <w:rFonts w:cs="Arial"/>
              </w:rPr>
              <w:t>NOTE 6:</w:t>
            </w:r>
            <w:r>
              <w:rPr>
                <w:rFonts w:cs="Arial"/>
              </w:rPr>
              <w:tab/>
            </w:r>
            <w:r>
              <w:rPr>
                <w:rFonts w:cs="Arial"/>
                <w:position w:val="-12"/>
              </w:rPr>
              <w:object>
                <v:shape id="_x0000_i1049" o:spt="75" type="#_x0000_t75" style="height:19.2pt;width:24.6pt;" o:ole="t" filled="f" o:preferrelative="t" stroked="f" coordsize="21600,21600">
                  <v:path/>
                  <v:fill on="f" focussize="0,0"/>
                  <v:stroke on="f" joinstyle="miter"/>
                  <v:imagedata r:id="rId46" o:title=""/>
                  <o:lock v:ext="edit" aspectratio="t"/>
                  <w10:wrap type="none"/>
                  <w10:anchorlock/>
                </v:shape>
                <o:OLEObject Type="Embed" ProgID="Equation.3" ShapeID="_x0000_i1049" DrawAspect="Content" ObjectID="_1468075749" r:id="rId62">
                  <o:LockedField>false</o:LockedField>
                </o:OLEObject>
              </w:object>
            </w:r>
            <w:r>
              <w:rPr>
                <w:rFonts w:cs="Arial"/>
              </w:rPr>
              <w:t xml:space="preserve"> is the Transmission Bandwidth (see Figure 5.6-1).</w:t>
            </w:r>
          </w:p>
          <w:p>
            <w:pPr>
              <w:pStyle w:val="118"/>
              <w:rPr>
                <w:rFonts w:cs="Arial"/>
              </w:rPr>
            </w:pPr>
            <w:r>
              <w:rPr>
                <w:rFonts w:cs="Arial"/>
              </w:rPr>
              <w:t>NOTE 7:</w:t>
            </w:r>
            <w:r>
              <w:rPr>
                <w:rFonts w:cs="Arial"/>
              </w:rPr>
              <w:tab/>
            </w:r>
            <w:r>
              <w:rPr>
                <w:rFonts w:cs="Arial"/>
                <w:position w:val="-10"/>
              </w:rPr>
              <w:object>
                <v:shape id="_x0000_i1050" o:spt="75" type="#_x0000_t75" style="height:17.4pt;width:22.2pt;" o:ole="t" filled="f" o:preferrelative="t" stroked="f" coordsize="21600,21600">
                  <v:path/>
                  <v:fill on="f" focussize="0,0"/>
                  <v:stroke on="f" joinstyle="miter"/>
                  <v:imagedata r:id="rId48" o:title=""/>
                  <o:lock v:ext="edit" aspectratio="t"/>
                  <w10:wrap type="none"/>
                  <w10:anchorlock/>
                </v:shape>
                <o:OLEObject Type="Embed" ProgID="Equation.3" ShapeID="_x0000_i1050" DrawAspect="Content" ObjectID="_1468075750" r:id="rId63">
                  <o:LockedField>false</o:LockedField>
                </o:OLEObject>
              </w:object>
            </w:r>
            <w:r>
              <w:rPr>
                <w:rFonts w:cs="Arial"/>
              </w:rPr>
              <w:t xml:space="preserve"> is the Transmission Bandwidth Configuration (see Figure 5.6-1).</w:t>
            </w:r>
          </w:p>
          <w:p>
            <w:pPr>
              <w:pStyle w:val="118"/>
              <w:rPr>
                <w:rFonts w:cs="Arial"/>
              </w:rPr>
            </w:pPr>
            <w:r>
              <w:rPr>
                <w:rFonts w:cs="Arial"/>
              </w:rPr>
              <w:t>NOTE 8:</w:t>
            </w:r>
            <w:r>
              <w:rPr>
                <w:rFonts w:cs="Arial"/>
              </w:rPr>
              <w:tab/>
            </w:r>
            <w:r>
              <w:rPr>
                <w:rFonts w:cs="Arial"/>
                <w:position w:val="-6"/>
              </w:rPr>
              <w:object>
                <v:shape id="_x0000_i1051" o:spt="75" type="#_x0000_t75" style="height:14.4pt;width:31.8pt;" o:ole="t" filled="f" o:preferrelative="t" stroked="f" coordsize="21600,21600">
                  <v:path/>
                  <v:fill on="f" focussize="0,0"/>
                  <v:stroke on="f" joinstyle="miter"/>
                  <v:imagedata r:id="rId50" o:title=""/>
                  <o:lock v:ext="edit" aspectratio="t"/>
                  <w10:wrap type="none"/>
                  <w10:anchorlock/>
                </v:shape>
                <o:OLEObject Type="Embed" ProgID="Equation.3" ShapeID="_x0000_i1051" DrawAspect="Content" ObjectID="_1468075751" r:id="rId64">
                  <o:LockedField>false</o:LockedField>
                </o:OLEObject>
              </w:object>
            </w:r>
            <w:r>
              <w:rPr>
                <w:rFonts w:cs="Arial"/>
              </w:rPr>
              <w:t xml:space="preserve"> is the limit specified in Table 6.5.2.1.1-1 for the modulation format used in the allocated RBs.</w:t>
            </w:r>
          </w:p>
          <w:p>
            <w:pPr>
              <w:pStyle w:val="118"/>
              <w:rPr>
                <w:rFonts w:cs="Arial"/>
              </w:rPr>
            </w:pPr>
            <w:r>
              <w:rPr>
                <w:rFonts w:cs="Arial"/>
              </w:rPr>
              <w:t>NOTE 9:</w:t>
            </w:r>
            <w:r>
              <w:rPr>
                <w:rFonts w:cs="Arial"/>
              </w:rPr>
              <w:tab/>
            </w:r>
            <w:r>
              <w:rPr>
                <w:rFonts w:cs="Arial"/>
                <w:position w:val="-10"/>
              </w:rPr>
              <w:object>
                <v:shape id="_x0000_i1052" o:spt="75" type="#_x0000_t75" style="height:15pt;width:19.8pt;" o:ole="t" filled="f" o:preferrelative="t" stroked="f" coordsize="21600,21600">
                  <v:path/>
                  <v:fill on="f" focussize="0,0"/>
                  <v:stroke on="f" joinstyle="miter"/>
                  <v:imagedata r:id="rId52" o:title=""/>
                  <o:lock v:ext="edit" aspectratio="t"/>
                  <w10:wrap type="none"/>
                  <w10:anchorlock/>
                </v:shape>
                <o:OLEObject Type="Embed" ProgID="Equation.3" ShapeID="_x0000_i1052" DrawAspect="Content" ObjectID="_1468075752" r:id="rId65">
                  <o:LockedField>false</o:LockedField>
                </o:OLEObject>
              </w:object>
            </w:r>
            <w:r>
              <w:rPr>
                <w:rFonts w:cs="Arial"/>
              </w:rPr>
              <w:t xml:space="preserve"> is the starting frequency offset between the allocated RB and the measured non-allocated RB (e.g. </w:t>
            </w:r>
            <w:r>
              <w:rPr>
                <w:rFonts w:cs="Arial"/>
                <w:position w:val="-10"/>
              </w:rPr>
              <w:object>
                <v:shape id="_x0000_i1053" o:spt="75" type="#_x0000_t75" style="height:17.4pt;width:37.8pt;" o:ole="t" filled="f" o:preferrelative="t" stroked="f" coordsize="21600,21600">
                  <v:path/>
                  <v:fill on="f" focussize="0,0"/>
                  <v:stroke on="f" joinstyle="miter"/>
                  <v:imagedata r:id="rId54" o:title=""/>
                  <o:lock v:ext="edit" aspectratio="t"/>
                  <w10:wrap type="none"/>
                  <w10:anchorlock/>
                </v:shape>
                <o:OLEObject Type="Embed" ProgID="Equation.3" ShapeID="_x0000_i1053" DrawAspect="Content" ObjectID="_1468075753" r:id="rId66">
                  <o:LockedField>false</o:LockedField>
                </o:OLEObject>
              </w:object>
            </w:r>
            <w:r>
              <w:rPr>
                <w:rFonts w:cs="Arial"/>
              </w:rPr>
              <w:t xml:space="preserve"> or </w:t>
            </w:r>
            <w:r>
              <w:rPr>
                <w:rFonts w:cs="Arial"/>
                <w:position w:val="-10"/>
              </w:rPr>
              <w:object>
                <v:shape id="_x0000_i1054" o:spt="75" type="#_x0000_t75" style="height:17.4pt;width:47.4pt;" o:ole="t" filled="f" o:preferrelative="t" stroked="f" coordsize="21600,21600">
                  <v:path/>
                  <v:fill on="f" focussize="0,0"/>
                  <v:stroke on="f" joinstyle="miter"/>
                  <v:imagedata r:id="rId56" o:title=""/>
                  <o:lock v:ext="edit" aspectratio="t"/>
                  <w10:wrap type="none"/>
                  <w10:anchorlock/>
                </v:shape>
                <o:OLEObject Type="Embed" ProgID="Equation.3" ShapeID="_x0000_i1054" DrawAspect="Content" ObjectID="_1468075754" r:id="rId67">
                  <o:LockedField>false</o:LockedField>
                </o:OLEObject>
              </w:object>
            </w:r>
            <w:r>
              <w:rPr>
                <w:rFonts w:cs="Arial"/>
              </w:rPr>
              <w:t xml:space="preserve"> for the first adjacent RB outside of the allocated bandwidth.</w:t>
            </w:r>
          </w:p>
          <w:p>
            <w:pPr>
              <w:pStyle w:val="118"/>
              <w:rPr>
                <w:rFonts w:cs="Arial"/>
              </w:rPr>
            </w:pPr>
            <w:r>
              <w:rPr>
                <w:rFonts w:cs="Arial"/>
              </w:rPr>
              <w:t>NOTE 10:</w:t>
            </w:r>
            <w:r>
              <w:rPr>
                <w:rFonts w:cs="Arial"/>
              </w:rPr>
              <w:tab/>
            </w:r>
            <w:r>
              <w:rPr>
                <w:rFonts w:cs="Arial"/>
                <w:position w:val="-10"/>
              </w:rPr>
              <w:object>
                <v:shape id="_x0000_i1055" o:spt="75" type="#_x0000_t75" style="height:17.4pt;width:19.2pt;" o:ole="t" filled="f" o:preferrelative="t" stroked="f" coordsize="21600,21600">
                  <v:path/>
                  <v:fill on="f" focussize="0,0"/>
                  <v:stroke on="f" joinstyle="miter"/>
                  <v:imagedata r:id="rId58" o:title=""/>
                  <o:lock v:ext="edit" aspectratio="t"/>
                  <w10:wrap type="none"/>
                  <w10:anchorlock/>
                </v:shape>
                <o:OLEObject Type="Embed" ProgID="Equation.3" ShapeID="_x0000_i1055" DrawAspect="Content" ObjectID="_1468075755" r:id="rId68">
                  <o:LockedField>false</o:LockedField>
                </o:OLEObject>
              </w:object>
            </w:r>
            <w:r>
              <w:rPr>
                <w:rFonts w:cs="Arial"/>
              </w:rPr>
              <w:t xml:space="preserve"> is the transmitted power per 180 kHz in allocated RBs, measured in dBm.</w:t>
            </w:r>
          </w:p>
          <w:p>
            <w:pPr>
              <w:keepNext/>
              <w:keepLines/>
              <w:spacing w:after="0"/>
              <w:ind w:left="851" w:hanging="851"/>
              <w:rPr>
                <w:rFonts w:ascii="Arial" w:hAnsi="Arial" w:cs="Arial"/>
                <w:sz w:val="18"/>
              </w:rPr>
            </w:pPr>
            <w:r>
              <w:rPr>
                <w:rFonts w:ascii="Arial" w:hAnsi="Arial" w:cs="Arial"/>
                <w:sz w:val="18"/>
              </w:rPr>
              <w:t>NOTE 11:</w:t>
            </w:r>
            <w:r>
              <w:rPr>
                <w:rFonts w:cs="Arial"/>
              </w:rPr>
              <w:tab/>
            </w:r>
            <w:r>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pPr>
              <w:keepNext/>
              <w:keepLines/>
              <w:spacing w:after="0"/>
              <w:ind w:left="851" w:hanging="851"/>
              <w:rPr>
                <w:rFonts w:ascii="Arial" w:hAnsi="Arial" w:cs="Arial"/>
                <w:sz w:val="18"/>
              </w:rPr>
            </w:pPr>
            <w:r>
              <w:rPr>
                <w:rFonts w:ascii="Arial" w:hAnsi="Arial" w:cs="Arial"/>
                <w:sz w:val="18"/>
              </w:rPr>
              <w:t>NOTE 12:</w:t>
            </w:r>
            <w:r>
              <w:rPr>
                <w:rFonts w:ascii="Arial" w:hAnsi="Arial" w:cs="Arial"/>
                <w:sz w:val="18"/>
              </w:rPr>
              <w:tab/>
            </w:r>
            <m:oMath>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oMath>
            <w:r>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r>
                <m:rPr/>
                <w:rPr>
                  <w:rFonts w:ascii="Cambria Math" w:hAnsi="Cambria Math" w:cs="Arial"/>
                  <w:lang w:eastAsia="ja-JP"/>
                </w:rPr>
                <m:t xml:space="preserve">=1 or </m:t>
              </m:r>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oMath>
            <w:r>
              <w:rPr>
                <w:rFonts w:ascii="Arial" w:hAnsi="Arial" w:cs="Arial"/>
                <w:sz w:val="18"/>
              </w:rPr>
              <w:t xml:space="preserve"> =-1 for the first adjacent subcarrier group outside the allocated subcarrier group.)</w:t>
            </w:r>
          </w:p>
          <w:p>
            <w:pPr>
              <w:pStyle w:val="118"/>
              <w:rPr>
                <w:rFonts w:cs="Arial"/>
              </w:rPr>
            </w:pPr>
            <w:r>
              <w:rPr>
                <w:rFonts w:cs="Arial"/>
              </w:rPr>
              <w:t>NOTE 13:</w:t>
            </w:r>
            <w:r>
              <w:rPr>
                <w:rFonts w:cs="Arial"/>
              </w:rPr>
              <w:tab/>
            </w:r>
            <m:oMath>
              <m:sSub>
                <m:sSubPr>
                  <m:ctrlPr>
                    <w:rPr>
                      <w:rFonts w:ascii="Cambria Math" w:hAnsi="Cambria Math" w:cs="Arial"/>
                      <w:i/>
                      <w:lang w:eastAsia="ja-JP"/>
                    </w:rPr>
                  </m:ctrlPr>
                </m:sSubPr>
                <m:e>
                  <m:r>
                    <m:rPr/>
                    <w:rPr>
                      <w:rFonts w:ascii="Cambria Math" w:hAnsi="Cambria Math" w:cs="Arial"/>
                      <w:lang w:eastAsia="ja-JP"/>
                    </w:rPr>
                    <m:t>L</m:t>
                  </m:r>
                  <m:ctrlPr>
                    <w:rPr>
                      <w:rFonts w:ascii="Cambria Math" w:hAnsi="Cambria Math" w:cs="Arial"/>
                      <w:i/>
                      <w:lang w:eastAsia="ja-JP"/>
                    </w:rPr>
                  </m:ctrlPr>
                </m:e>
                <m:sub>
                  <m:r>
                    <m:rPr/>
                    <w:rPr>
                      <w:rFonts w:ascii="Cambria Math" w:hAnsi="Cambria Math" w:cs="Arial"/>
                      <w:lang w:eastAsia="ja-JP"/>
                    </w:rPr>
                    <m:t>SCG</m:t>
                  </m:r>
                  <m:ctrlPr>
                    <w:rPr>
                      <w:rFonts w:ascii="Cambria Math" w:hAnsi="Cambria Math" w:cs="Arial"/>
                      <w:i/>
                      <w:lang w:eastAsia="ja-JP"/>
                    </w:rPr>
                  </m:ctrlPr>
                </m:sub>
              </m:sSub>
            </m:oMath>
            <w:r>
              <w:rPr>
                <w:rFonts w:cs="Arial"/>
              </w:rPr>
              <w:t xml:space="preserve"> is the Transmission bandwidth (number of subcarrier group).</w:t>
            </w:r>
          </w:p>
        </w:tc>
      </w:tr>
    </w:tbl>
    <w:p/>
    <w:p>
      <w:pPr>
        <w:pStyle w:val="6"/>
        <w:rPr>
          <w:lang w:val="en-US"/>
        </w:rPr>
      </w:pPr>
      <w:bookmarkStart w:id="710" w:name="_Toc5853"/>
      <w:bookmarkStart w:id="711" w:name="_Toc7138"/>
      <w:bookmarkStart w:id="712" w:name="_Toc4579"/>
      <w:bookmarkStart w:id="713" w:name="_Toc30799"/>
      <w:bookmarkStart w:id="714" w:name="_Toc444"/>
      <w:r>
        <w:t>6.4A.2.4</w:t>
      </w:r>
      <w:r>
        <w:tab/>
      </w:r>
      <w:r>
        <w:t>EVM equalizer spectrum flatness for category M1</w:t>
      </w:r>
      <w:bookmarkEnd w:id="710"/>
      <w:bookmarkEnd w:id="711"/>
      <w:bookmarkEnd w:id="712"/>
      <w:bookmarkEnd w:id="713"/>
      <w:bookmarkEnd w:id="714"/>
    </w:p>
    <w:p>
      <w:pPr>
        <w:pStyle w:val="112"/>
        <w:rPr>
          <w:lang w:val="en-US"/>
        </w:rPr>
      </w:pPr>
      <w:r>
        <w:t>Editor’s Note: Addition to applicability spec is pending.</w:t>
      </w:r>
    </w:p>
    <w:p>
      <w:pPr>
        <w:pStyle w:val="9"/>
      </w:pPr>
      <w:r>
        <w:t>6.4A.2.4.1</w:t>
      </w:r>
      <w:r>
        <w:tab/>
      </w:r>
      <w:r>
        <w:t>Test purpose</w:t>
      </w:r>
    </w:p>
    <w:p>
      <w:r>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Pr>
          <w:rFonts w:eastAsia="×–¾’©‘Ì" w:cs="v5.0.0"/>
        </w:rPr>
        <w:t xml:space="preserve">peak-to-peak ripple of the equalizer coefficients (dB) across the allocated uplink block </w:t>
      </w:r>
      <w:r>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pPr>
        <w:pStyle w:val="9"/>
      </w:pPr>
      <w:r>
        <w:t>6.4A.2.4.2</w:t>
      </w:r>
      <w:r>
        <w:tab/>
      </w:r>
      <w: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pPr>
      <w:r>
        <w:t>6.4A.2.4.3</w:t>
      </w:r>
      <w:r>
        <w:tab/>
      </w:r>
      <w:r>
        <w:t>Minimum conformance requirements</w:t>
      </w:r>
    </w:p>
    <w:p>
      <w:pPr>
        <w:rPr>
          <w:rFonts w:cs="v5.0.0"/>
        </w:rPr>
      </w:pPr>
      <w:r>
        <w:t xml:space="preserve">Same minimum conformance requirements as in TS 36.521-1[14] clause 6.5.2.4.3 </w:t>
      </w:r>
    </w:p>
    <w:p>
      <w:pPr>
        <w:pStyle w:val="9"/>
      </w:pPr>
      <w:r>
        <w:t>6.4A.2.4.4</w:t>
      </w:r>
      <w:r>
        <w:tab/>
      </w:r>
      <w:r>
        <w:t>Test description</w:t>
      </w:r>
    </w:p>
    <w:p>
      <w:pPr>
        <w:pStyle w:val="9"/>
      </w:pPr>
      <w:r>
        <w:t>6.4A.2.4.4.1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test frequencies, and channel bandwidths based on E-UTRA bands specified in table 5.2A. All of these configurations shall be tested with applicable test parameters are shown in table 6.4A.2.4.4.1-1. The details of the uplink reference measurement channels (RMCs) are specified in TS Annex A.2. </w:t>
      </w:r>
      <w:r>
        <w:rPr>
          <w:rFonts w:cs="v5.0.0"/>
        </w:rPr>
        <w:t>Configurations of PDSCH and PDCCH before measurement are specified in</w:t>
      </w:r>
      <w:r>
        <w:t xml:space="preserve"> </w:t>
      </w:r>
      <w:r>
        <w:rPr>
          <w:rFonts w:cs="v5.0.0"/>
        </w:rPr>
        <w:t>Annex C.2.</w:t>
      </w:r>
    </w:p>
    <w:p>
      <w:pPr>
        <w:pStyle w:val="113"/>
      </w:pPr>
      <w:r>
        <w:t>Table 6.4A.2.4.</w:t>
      </w:r>
      <w:r>
        <w:rPr>
          <w:rFonts w:eastAsia="MS Mincho"/>
        </w:rPr>
        <w:t>4.</w:t>
      </w:r>
      <w:r>
        <w:t>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931"/>
        <w:gridCol w:w="1731"/>
        <w:gridCol w:w="34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4"/>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pPr>
            <w:r>
              <w:t>Test Environment</w:t>
            </w:r>
          </w:p>
          <w:p>
            <w:pPr>
              <w:pStyle w:val="103"/>
            </w:pPr>
            <w:r>
              <w:t>(as specified in TS 36.508 [12] subclause 4.1)</w:t>
            </w:r>
          </w:p>
        </w:tc>
        <w:tc>
          <w:tcPr>
            <w:tcW w:w="5230" w:type="dxa"/>
            <w:gridSpan w:val="2"/>
            <w:tcBorders>
              <w:top w:val="single" w:color="auto" w:sz="4" w:space="0"/>
              <w:left w:val="single" w:color="auto" w:sz="4" w:space="0"/>
              <w:bottom w:val="single" w:color="auto" w:sz="4" w:space="0"/>
              <w:right w:val="single" w:color="auto" w:sz="4" w:space="0"/>
            </w:tcBorders>
          </w:tcPr>
          <w:p>
            <w:pPr>
              <w:pStyle w:val="103"/>
              <w:rPr>
                <w:bCs/>
              </w:rPr>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pPr>
            <w:r>
              <w:rPr>
                <w:bCs/>
              </w:rPr>
              <w:t>Test Frequencies</w:t>
            </w:r>
          </w:p>
          <w:p>
            <w:pPr>
              <w:pStyle w:val="103"/>
            </w:pPr>
            <w:r>
              <w:t>(as specified in TS36.508 [12] subclause 4.3.1)</w:t>
            </w:r>
          </w:p>
        </w:tc>
        <w:tc>
          <w:tcPr>
            <w:tcW w:w="5230" w:type="dxa"/>
            <w:gridSpan w:val="2"/>
            <w:tcBorders>
              <w:top w:val="single" w:color="auto" w:sz="4" w:space="0"/>
              <w:left w:val="single" w:color="auto" w:sz="4" w:space="0"/>
              <w:bottom w:val="single" w:color="auto" w:sz="4" w:space="0"/>
              <w:right w:val="single" w:color="auto" w:sz="4" w:space="0"/>
            </w:tcBorders>
          </w:tcPr>
          <w:p>
            <w:pPr>
              <w:pStyle w:val="103"/>
              <w:rPr>
                <w:bCs/>
              </w:rPr>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pPr>
            <w:r>
              <w:rPr>
                <w:bCs/>
              </w:rPr>
              <w:t>Test Channel Bandwidths</w:t>
            </w:r>
          </w:p>
          <w:p>
            <w:pPr>
              <w:pStyle w:val="103"/>
            </w:pPr>
            <w:r>
              <w:t>(as specified in TS 36.508 [12] subclause 4.3.1)</w:t>
            </w:r>
          </w:p>
        </w:tc>
        <w:tc>
          <w:tcPr>
            <w:tcW w:w="5230" w:type="dxa"/>
            <w:gridSpan w:val="2"/>
            <w:tcBorders>
              <w:top w:val="single" w:color="auto" w:sz="4" w:space="0"/>
              <w:left w:val="single" w:color="auto" w:sz="4" w:space="0"/>
              <w:bottom w:val="single" w:color="auto" w:sz="4" w:space="0"/>
              <w:right w:val="single" w:color="auto" w:sz="4" w:space="0"/>
            </w:tcBorders>
            <w:vAlign w:val="center"/>
          </w:tcPr>
          <w:p>
            <w:pPr>
              <w:pStyle w:val="103"/>
              <w:rPr>
                <w:bCs/>
              </w:rPr>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4"/>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3"/>
            </w:pPr>
          </w:p>
        </w:tc>
        <w:tc>
          <w:tcPr>
            <w:tcW w:w="2931" w:type="dxa"/>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30"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vMerge w:val="restart"/>
            <w:tcBorders>
              <w:top w:val="single" w:color="auto" w:sz="4" w:space="0"/>
              <w:left w:val="single" w:color="auto" w:sz="4" w:space="0"/>
              <w:right w:val="single" w:color="auto" w:sz="4" w:space="0"/>
            </w:tcBorders>
          </w:tcPr>
          <w:p>
            <w:pPr>
              <w:pStyle w:val="105"/>
            </w:pPr>
            <w:r>
              <w:t>N/A for EVM equalizer spectrum flatness testing</w:t>
            </w:r>
          </w:p>
        </w:tc>
        <w:tc>
          <w:tcPr>
            <w:tcW w:w="1731" w:type="dxa"/>
            <w:tcBorders>
              <w:top w:val="single" w:color="auto" w:sz="4" w:space="0"/>
              <w:left w:val="single" w:color="auto" w:sz="4" w:space="0"/>
              <w:bottom w:val="single" w:color="auto" w:sz="4" w:space="0"/>
              <w:right w:val="single" w:color="auto" w:sz="4" w:space="0"/>
            </w:tcBorders>
          </w:tcPr>
          <w:p>
            <w:pPr>
              <w:pStyle w:val="105"/>
            </w:pPr>
            <w:r>
              <w:t>Mod'n</w:t>
            </w:r>
          </w:p>
        </w:tc>
        <w:tc>
          <w:tcPr>
            <w:tcW w:w="3499"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p>
        </w:tc>
        <w:tc>
          <w:tcPr>
            <w:tcW w:w="2931" w:type="dxa"/>
            <w:vMerge w:val="continue"/>
            <w:tcBorders>
              <w:left w:val="single" w:color="auto" w:sz="4" w:space="0"/>
              <w:right w:val="single" w:color="auto" w:sz="4" w:space="0"/>
            </w:tcBorders>
            <w:vAlign w:val="center"/>
          </w:tcPr>
          <w:p>
            <w:pPr>
              <w:spacing w:after="0"/>
              <w:rPr>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pPr>
          </w:p>
        </w:tc>
        <w:tc>
          <w:tcPr>
            <w:tcW w:w="3499"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vMerge w:val="continue"/>
            <w:tcBorders>
              <w:left w:val="single" w:color="auto" w:sz="4" w:space="0"/>
              <w:right w:val="single" w:color="auto" w:sz="4" w:space="0"/>
            </w:tcBorders>
          </w:tcPr>
          <w:p>
            <w:pPr>
              <w:spacing w:after="0"/>
              <w:rPr>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pPr>
            <w:r>
              <w:t>QPSK</w:t>
            </w:r>
          </w:p>
        </w:tc>
        <w:tc>
          <w:tcPr>
            <w:tcW w:w="3499" w:type="dxa"/>
            <w:tcBorders>
              <w:top w:val="single" w:color="auto" w:sz="4" w:space="0"/>
              <w:left w:val="single" w:color="auto" w:sz="4" w:space="0"/>
              <w:bottom w:val="single" w:color="auto" w:sz="4" w:space="0"/>
              <w:right w:val="single" w:color="auto" w:sz="4" w:space="0"/>
            </w:tcBorders>
          </w:tcPr>
          <w:p>
            <w:pPr>
              <w:pStyle w:val="105"/>
            </w:pPr>
            <w:r>
              <w:t>6</w:t>
            </w:r>
          </w:p>
        </w:tc>
      </w:tr>
    </w:tbl>
    <w:p>
      <w:pPr>
        <w:rPr>
          <w:rFonts w:cs="v5.0.0"/>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6.4A.2.4.4.1-1.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color w:val="000000" w:themeColor="text1"/>
          <w:lang w:eastAsia="en-GB"/>
          <w14:textFill>
            <w14:solidFill>
              <w14:schemeClr w14:val="tx1"/>
            </w14:solidFill>
          </w14:textFill>
        </w:rPr>
      </w:pPr>
      <w:r>
        <w:rPr>
          <w:rFonts w:hint="eastAsia"/>
          <w:lang w:eastAsia="en-GB"/>
        </w:rPr>
        <w:t>6</w:t>
      </w:r>
      <w:r>
        <w:rPr>
          <w:lang w:eastAsia="en-GB"/>
        </w:rPr>
        <w:t>.</w:t>
      </w:r>
      <w:r>
        <w:rPr>
          <w:lang w:eastAsia="en-GB"/>
        </w:rPr>
        <w:tab/>
      </w:r>
      <w:r>
        <w:rPr>
          <w:rFonts w:hint="eastAsia"/>
          <w:lang w:eastAsia="en-GB"/>
        </w:rPr>
        <w:t>UE location according</w:t>
      </w:r>
      <w:r>
        <w:rPr>
          <w:rFonts w:hint="eastAsia"/>
          <w:color w:val="000000" w:themeColor="text1"/>
          <w:lang w:eastAsia="en-GB"/>
          <w14:textFill>
            <w14:solidFill>
              <w14:schemeClr w14:val="tx1"/>
            </w14:solidFill>
          </w14:textFill>
        </w:rPr>
        <w:t xml:space="preserve"> to TS 36.508 [12] clause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.6.1 is provided to the UE through any preconfigured means.</w:t>
      </w:r>
    </w:p>
    <w:p>
      <w:pPr>
        <w:pStyle w:val="111"/>
        <w:overflowPunct w:val="0"/>
        <w:autoSpaceDE w:val="0"/>
        <w:autoSpaceDN w:val="0"/>
        <w:adjustRightInd w:val="0"/>
        <w:contextualSpacing w:val="0"/>
        <w:textAlignment w:val="baseline"/>
      </w:pPr>
      <w:r>
        <w:rPr>
          <w:rFonts w:hint="eastAsia"/>
          <w:color w:val="000000" w:themeColor="text1"/>
          <w:lang w:eastAsia="en-GB"/>
          <w14:textFill>
            <w14:solidFill>
              <w14:schemeClr w14:val="tx1"/>
            </w14:solidFill>
          </w14:textFill>
        </w:rPr>
        <w:t>7</w:t>
      </w:r>
      <w:r>
        <w:rPr>
          <w:color w:val="000000" w:themeColor="text1"/>
          <w:lang w:eastAsia="en-GB"/>
          <w14:textFill>
            <w14:solidFill>
              <w14:schemeClr w14:val="tx1"/>
            </w14:solidFill>
          </w14:textFill>
        </w:rPr>
        <w:t>.</w:t>
      </w:r>
      <w:r>
        <w:rPr>
          <w:color w:val="000000" w:themeColor="text1"/>
          <w:lang w:eastAsia="en-GB"/>
          <w14:textFill>
            <w14:solidFill>
              <w14:schemeClr w14:val="tx1"/>
            </w14:solidFill>
          </w14:textFill>
        </w:rPr>
        <w:tab/>
      </w:r>
      <w:r>
        <w:rPr>
          <w:color w:val="000000" w:themeColor="text1"/>
          <w14:textFill>
            <w14:solidFill>
              <w14:schemeClr w14:val="tx1"/>
            </w14:solidFill>
          </w14:textFill>
        </w:rPr>
        <w:t xml:space="preserve">Test equipment shall emulate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w:t>
      </w:r>
      <w:r>
        <w:t>ration of the test as define in TS 36.508[12] clause 5.6.3.1</w:t>
      </w:r>
    </w:p>
    <w:p>
      <w:pPr>
        <w:pStyle w:val="111"/>
        <w:overflowPunct w:val="0"/>
        <w:autoSpaceDE w:val="0"/>
        <w:autoSpaceDN w:val="0"/>
        <w:adjustRightInd w:val="0"/>
        <w:contextualSpacing w:val="0"/>
        <w:textAlignment w:val="baseline"/>
        <w:rPr>
          <w:lang w:eastAsia="en-GB"/>
        </w:rPr>
      </w:pPr>
      <w:r>
        <w:rPr>
          <w:rFonts w:hint="eastAsia"/>
        </w:rPr>
        <w:t>8</w:t>
      </w:r>
      <w:r>
        <w:t>.</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6.4A.2.4.4.3.</w:t>
      </w:r>
    </w:p>
    <w:p>
      <w:pPr>
        <w:pStyle w:val="9"/>
      </w:pPr>
      <w:r>
        <w:t>6.4A.2.4.4.2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MPDCCH DCI format 6-0A for C_RNTI to schedule the UL RMC according to Table 6.4A.2.4.4.1-1.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Send continuously uplink power control "up" commands in the uplink scheduling information to the UE until the UE transmits at PUMAX level.</w:t>
      </w:r>
    </w:p>
    <w:p>
      <w:pPr>
        <w:pStyle w:val="111"/>
        <w:overflowPunct w:val="0"/>
        <w:autoSpaceDE w:val="0"/>
        <w:autoSpaceDN w:val="0"/>
        <w:adjustRightInd w:val="0"/>
        <w:contextualSpacing w:val="0"/>
        <w:textAlignment w:val="baseline"/>
      </w:pPr>
      <w:r>
        <w:rPr>
          <w:rFonts w:hint="eastAsia"/>
          <w:lang w:eastAsia="en-GB"/>
        </w:rPr>
        <w:t>3.</w:t>
      </w:r>
      <w:r>
        <w:rPr>
          <w:rFonts w:hint="eastAsia"/>
          <w:lang w:eastAsia="en-GB"/>
        </w:rPr>
        <w:tab/>
      </w:r>
      <w:r>
        <w:rPr>
          <w:rFonts w:hint="eastAsia"/>
          <w:lang w:eastAsia="en-GB"/>
        </w:rPr>
        <w:t>Measure spectrum flatness using Global In-Channel Tx-Test (Annex E). For HD-FDD slots with transient periods are not under test. Half-duplex guard sub frame is not under test.</w:t>
      </w:r>
    </w:p>
    <w:p>
      <w:pPr>
        <w:pStyle w:val="9"/>
      </w:pPr>
      <w:r>
        <w:t>6.4A.2.4.4.3</w:t>
      </w:r>
      <w:r>
        <w:tab/>
      </w:r>
      <w:r>
        <w:t>Message contents</w:t>
      </w:r>
    </w:p>
    <w:p>
      <w:r>
        <w:t>Message contents are according to TS 36.508 [12] subclause 4.6 with the condition CEModeA.</w:t>
      </w:r>
    </w:p>
    <w:p>
      <w:pPr>
        <w:pStyle w:val="9"/>
      </w:pPr>
      <w:r>
        <w:t>6.4A.2.4.5</w:t>
      </w:r>
      <w:r>
        <w:tab/>
      </w:r>
      <w:r>
        <w:t>Test requirement</w:t>
      </w:r>
    </w:p>
    <w:p>
      <w:r>
        <w:t>Each of the 20 spectrum flatness functions, shall derive four ripple results in Annex E.4.4, The derived results shall not exceed the values in Figure 6.4A.2.4.5-1:</w:t>
      </w:r>
    </w:p>
    <w:p>
      <w:r>
        <w:rPr>
          <w:rFonts w:ascii="Times New Roman" w:hAnsi="Times New Roman" w:cs="Times New Roman"/>
        </w:rPr>
        <w:t>F</w:t>
      </w:r>
      <w:r>
        <w:rPr>
          <w:rFonts w:eastAsia="Times New Roman" w:cs="Times New Roman"/>
        </w:rPr>
        <w:t>or normal conditions</w:t>
      </w:r>
      <w:r>
        <w:t>,</w:t>
      </w:r>
      <w:r>
        <w:rPr>
          <w:rFonts w:eastAsia="Times New Roman" w:cs="Times New Roman"/>
        </w:rPr>
        <w:t xml:space="preserve"> the maximum ripple in </w:t>
      </w:r>
      <w:r>
        <w:t xml:space="preserve">Range 1 and Range 2 shall not exceed the values specified in Table 6.4A.2.4.5-1 </w:t>
      </w:r>
      <w:r>
        <w:rPr>
          <w:rFonts w:eastAsia="Times New Roman" w:cs="Times New Roman"/>
        </w:rPr>
        <w:t>and the following additional requirement:</w:t>
      </w:r>
      <w:r>
        <w:rPr>
          <w:rFonts w:eastAsia="Times New Roman"/>
        </w:rPr>
        <w:t xml:space="preserve"> the relative difference between the maximum coefficient in Range 1 and the minimum coefficient in Range 2 must not be larger than </w:t>
      </w:r>
      <w:r>
        <w:t>6.4</w:t>
      </w:r>
      <w:r>
        <w:rPr>
          <w:rFonts w:eastAsia="Times New Roman"/>
        </w:rPr>
        <w:t xml:space="preserve"> dB, and the relative difference between the maximum coefficient in Range 2 and the minimum coefficient in Range 1 must not be larger than </w:t>
      </w:r>
      <w:r>
        <w:t>8.4</w:t>
      </w:r>
      <w:r>
        <w:rPr>
          <w:rFonts w:eastAsia="Times New Roman"/>
        </w:rPr>
        <w:t xml:space="preserve"> dB (see Figure 6.4A.2.4.</w:t>
      </w:r>
      <w:r>
        <w:t>5</w:t>
      </w:r>
      <w:r>
        <w:rPr>
          <w:rFonts w:eastAsia="Times New Roman"/>
        </w:rPr>
        <w:t>-1)</w:t>
      </w:r>
      <w:r>
        <w:rPr>
          <w:rFonts w:eastAsia="Times New Roman" w:cs="Times New Roman"/>
        </w:rPr>
        <w:t>.</w:t>
      </w:r>
    </w:p>
    <w:p>
      <w:r>
        <w:rPr>
          <w:rFonts w:ascii="Times New Roman" w:hAnsi="Times New Roman" w:cs="Times New Roman"/>
        </w:rPr>
        <w:t>F</w:t>
      </w:r>
      <w:r>
        <w:rPr>
          <w:rFonts w:eastAsia="Times New Roman" w:cs="Times New Roman"/>
        </w:rPr>
        <w:t xml:space="preserve">or </w:t>
      </w:r>
      <w:r>
        <w:t>extreme</w:t>
      </w:r>
      <w:r>
        <w:rPr>
          <w:rFonts w:eastAsia="Times New Roman" w:cs="Times New Roman"/>
        </w:rPr>
        <w:t xml:space="preserve"> conditions</w:t>
      </w:r>
      <w:r>
        <w:t>,</w:t>
      </w:r>
      <w:r>
        <w:rPr>
          <w:rFonts w:eastAsia="Times New Roman" w:cs="Times New Roman"/>
        </w:rPr>
        <w:t xml:space="preserve"> the maximum ripple in </w:t>
      </w:r>
      <w:r>
        <w:t xml:space="preserve">Range 1 and Range 2 shall not exceed the values specified in Table 6.4A.2.4.5-2 </w:t>
      </w:r>
      <w:r>
        <w:rPr>
          <w:rFonts w:eastAsia="Times New Roman" w:cs="Times New Roman"/>
        </w:rPr>
        <w:t>and the following additional requirement:</w:t>
      </w:r>
      <w:r>
        <w:rPr>
          <w:rFonts w:eastAsia="Times New Roman"/>
        </w:rPr>
        <w:t xml:space="preserve"> the relative difference between the maximum coefficient in Range 1 and the minimum coefficient in Range 2 must not be larger than </w:t>
      </w:r>
      <w:r>
        <w:t>7.4</w:t>
      </w:r>
      <w:r>
        <w:rPr>
          <w:rFonts w:eastAsia="Times New Roman"/>
        </w:rPr>
        <w:t xml:space="preserve"> dB, and the relative difference between the maximum coefficient in Range 2 and the minimum coefficient in Range 1 must not be larger than </w:t>
      </w:r>
      <w:r>
        <w:t>11.4</w:t>
      </w:r>
      <w:r>
        <w:rPr>
          <w:rFonts w:eastAsia="Times New Roman"/>
        </w:rPr>
        <w:t xml:space="preserve"> dB (see Figure 6.4A.2.4.</w:t>
      </w:r>
      <w:r>
        <w:t>5</w:t>
      </w:r>
      <w:r>
        <w:rPr>
          <w:rFonts w:eastAsia="Times New Roman"/>
        </w:rPr>
        <w:t>-1)</w:t>
      </w:r>
      <w:r>
        <w:rPr>
          <w:rFonts w:eastAsia="Times New Roman" w:cs="Times New Roman"/>
        </w:rPr>
        <w:t>.</w:t>
      </w:r>
    </w:p>
    <w:p>
      <w:pPr>
        <w:pStyle w:val="113"/>
      </w:pPr>
      <w:r>
        <w:rPr>
          <w:rFonts w:eastAsia="Osaka"/>
        </w:rPr>
        <w:t>Table 6.4A.2.4.</w:t>
      </w:r>
      <w:r>
        <w:t>5</w:t>
      </w:r>
      <w:r>
        <w:rPr>
          <w:rFonts w:eastAsia="Osaka"/>
        </w:rPr>
        <w:t>-1: Test requirements for</w:t>
      </w:r>
      <w:r>
        <w:t xml:space="preserve"> </w:t>
      </w:r>
      <w:r>
        <w:rPr>
          <w:rFonts w:eastAsia="Osaka"/>
        </w:rPr>
        <w:t>EVM equalizer spectrum flatness (normal conditions)</w:t>
      </w:r>
    </w:p>
    <w:tbl>
      <w:tblPr>
        <w:tblStyle w:val="89"/>
        <w:tblW w:w="73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2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4"/>
            </w:pPr>
            <w:r>
              <w:rPr>
                <w:rFonts w:cs="v5.0.0"/>
              </w:rPr>
              <w:br w:type="page"/>
            </w:r>
            <w:r>
              <w:rPr>
                <w:rFonts w:cs="v5.0.0"/>
              </w:rPr>
              <w:t>Frequency Range</w:t>
            </w:r>
          </w:p>
        </w:tc>
        <w:tc>
          <w:tcPr>
            <w:tcW w:w="2268" w:type="dxa"/>
          </w:tcPr>
          <w:p>
            <w:pPr>
              <w:pStyle w:val="104"/>
            </w:pPr>
            <w:r>
              <w:rPr>
                <w:rFonts w:cs="v5.0.0"/>
              </w:rPr>
              <w:t>Maximum Ripple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5"/>
            </w:pPr>
            <w:r>
              <w:t>F</w:t>
            </w:r>
            <w:r>
              <w:rPr>
                <w:vertAlign w:val="subscript"/>
              </w:rPr>
              <w:t xml:space="preserve">UL_Meas </w:t>
            </w:r>
            <w:r>
              <w:t>– F</w:t>
            </w:r>
            <w:r>
              <w:rPr>
                <w:vertAlign w:val="subscript"/>
              </w:rPr>
              <w:t xml:space="preserve">UL_Low </w:t>
            </w:r>
            <w:r>
              <w:t>≥ 3 MHz and F</w:t>
            </w:r>
            <w:r>
              <w:rPr>
                <w:vertAlign w:val="subscript"/>
              </w:rPr>
              <w:t xml:space="preserve">UL_High </w:t>
            </w:r>
            <w:r>
              <w:t>– F</w:t>
            </w:r>
            <w:r>
              <w:rPr>
                <w:vertAlign w:val="subscript"/>
              </w:rPr>
              <w:t xml:space="preserve">UL_Meas </w:t>
            </w:r>
            <w:r>
              <w:t>≥ 3 MHz</w:t>
            </w:r>
          </w:p>
          <w:p>
            <w:pPr>
              <w:pStyle w:val="105"/>
            </w:pPr>
            <w:r>
              <w:t>(Range 1)</w:t>
            </w:r>
          </w:p>
        </w:tc>
        <w:tc>
          <w:tcPr>
            <w:tcW w:w="2268" w:type="dxa"/>
          </w:tcPr>
          <w:p>
            <w:pPr>
              <w:pStyle w:val="105"/>
            </w:pPr>
            <w:r>
              <w:rPr>
                <w:rFonts w:cs="v5.0.0"/>
              </w:rPr>
              <w:t>5.4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5"/>
            </w:pPr>
            <w:r>
              <w:t>F</w:t>
            </w:r>
            <w:r>
              <w:rPr>
                <w:vertAlign w:val="subscript"/>
              </w:rPr>
              <w:t xml:space="preserve">UL_Meas </w:t>
            </w:r>
            <w:r>
              <w:t>– F</w:t>
            </w:r>
            <w:r>
              <w:rPr>
                <w:vertAlign w:val="subscript"/>
              </w:rPr>
              <w:t xml:space="preserve">UL_Low </w:t>
            </w:r>
            <w:r>
              <w:t>&lt; 3 MHz or F</w:t>
            </w:r>
            <w:r>
              <w:rPr>
                <w:vertAlign w:val="subscript"/>
              </w:rPr>
              <w:t>UL_High</w:t>
            </w:r>
            <w:r>
              <w:t xml:space="preserve"> – F</w:t>
            </w:r>
            <w:r>
              <w:rPr>
                <w:vertAlign w:val="subscript"/>
              </w:rPr>
              <w:t xml:space="preserve">UL_Meas </w:t>
            </w:r>
            <w:r>
              <w:t>&lt; 3 MHz</w:t>
            </w:r>
          </w:p>
          <w:p>
            <w:pPr>
              <w:pStyle w:val="105"/>
            </w:pPr>
            <w:r>
              <w:t>(Range 2)</w:t>
            </w:r>
          </w:p>
        </w:tc>
        <w:tc>
          <w:tcPr>
            <w:tcW w:w="2268" w:type="dxa"/>
          </w:tcPr>
          <w:p>
            <w:pPr>
              <w:pStyle w:val="105"/>
            </w:pPr>
            <w:r>
              <w:rPr>
                <w:rFonts w:cs="v5.0.0"/>
              </w:rPr>
              <w:t>9.4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91" w:type="dxa"/>
            <w:gridSpan w:val="2"/>
          </w:tcPr>
          <w:p>
            <w:pPr>
              <w:pStyle w:val="118"/>
            </w:pPr>
            <w:r>
              <w:t>Note 1:</w:t>
            </w:r>
            <w:r>
              <w:tab/>
            </w:r>
            <w:r>
              <w:t>F</w:t>
            </w:r>
            <w:r>
              <w:rPr>
                <w:vertAlign w:val="subscript"/>
              </w:rPr>
              <w:t xml:space="preserve">UL_Meas </w:t>
            </w:r>
            <w:r>
              <w:t>refers to the sub-carrier frequency for which the equalizer coefficient is evaluated</w:t>
            </w:r>
          </w:p>
          <w:p>
            <w:pPr>
              <w:pStyle w:val="118"/>
            </w:pPr>
            <w:r>
              <w:t>Note 2:</w:t>
            </w:r>
            <w:r>
              <w:tab/>
            </w:r>
            <w:r>
              <w:t>F</w:t>
            </w:r>
            <w:r>
              <w:rPr>
                <w:vertAlign w:val="subscript"/>
              </w:rPr>
              <w:t>UL_Low</w:t>
            </w:r>
            <w:r>
              <w:t xml:space="preserve"> and F</w:t>
            </w:r>
            <w:r>
              <w:rPr>
                <w:vertAlign w:val="subscript"/>
              </w:rPr>
              <w:t>UL_High</w:t>
            </w:r>
            <w:r>
              <w:t xml:space="preserve"> refer to each E-UTRA frequency band specified in Table 5.2-1</w:t>
            </w:r>
          </w:p>
        </w:tc>
      </w:tr>
    </w:tbl>
    <w:p/>
    <w:p>
      <w:pPr>
        <w:pStyle w:val="113"/>
      </w:pPr>
      <w:r>
        <w:rPr>
          <w:rFonts w:eastAsia="Osaka"/>
        </w:rPr>
        <w:t>Table 6.4A.2.4.</w:t>
      </w:r>
      <w:r>
        <w:t>5</w:t>
      </w:r>
      <w:r>
        <w:rPr>
          <w:rFonts w:eastAsia="Osaka"/>
        </w:rPr>
        <w:t>-2: Test requirements for spectrum flatness (extreme conditions)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2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4"/>
            </w:pPr>
            <w:r>
              <w:rPr>
                <w:rFonts w:cs="v5.0.0"/>
              </w:rPr>
              <w:br w:type="page"/>
            </w:r>
            <w:r>
              <w:rPr>
                <w:rFonts w:cs="v5.0.0"/>
              </w:rPr>
              <w:t>Frequency Range</w:t>
            </w:r>
          </w:p>
        </w:tc>
        <w:tc>
          <w:tcPr>
            <w:tcW w:w="2268" w:type="dxa"/>
          </w:tcPr>
          <w:p>
            <w:pPr>
              <w:pStyle w:val="104"/>
            </w:pPr>
            <w:r>
              <w:rPr>
                <w:rFonts w:cs="v5.0.0"/>
              </w:rPr>
              <w:t>Maximum Ripple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5"/>
            </w:pPr>
            <w:r>
              <w:t>F</w:t>
            </w:r>
            <w:r>
              <w:rPr>
                <w:vertAlign w:val="subscript"/>
              </w:rPr>
              <w:t xml:space="preserve">UL_Meas </w:t>
            </w:r>
            <w:r>
              <w:t>– F</w:t>
            </w:r>
            <w:r>
              <w:rPr>
                <w:vertAlign w:val="subscript"/>
              </w:rPr>
              <w:t xml:space="preserve">UL_Low </w:t>
            </w:r>
            <w:r>
              <w:t>≥ 5 MHz and F</w:t>
            </w:r>
            <w:r>
              <w:rPr>
                <w:vertAlign w:val="subscript"/>
              </w:rPr>
              <w:t xml:space="preserve">UL_High </w:t>
            </w:r>
            <w:r>
              <w:t>– F</w:t>
            </w:r>
            <w:r>
              <w:rPr>
                <w:vertAlign w:val="subscript"/>
              </w:rPr>
              <w:t xml:space="preserve">UL_Meas </w:t>
            </w:r>
            <w:r>
              <w:t>≥ 5 MHz</w:t>
            </w:r>
          </w:p>
          <w:p>
            <w:pPr>
              <w:pStyle w:val="105"/>
            </w:pPr>
            <w:r>
              <w:t>(Range 1)</w:t>
            </w:r>
          </w:p>
        </w:tc>
        <w:tc>
          <w:tcPr>
            <w:tcW w:w="2268" w:type="dxa"/>
          </w:tcPr>
          <w:p>
            <w:pPr>
              <w:pStyle w:val="105"/>
            </w:pPr>
            <w:r>
              <w:rPr>
                <w:rFonts w:cs="v5.0.0"/>
              </w:rPr>
              <w:t>5.4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123" w:type="dxa"/>
          </w:tcPr>
          <w:p>
            <w:pPr>
              <w:pStyle w:val="105"/>
            </w:pPr>
            <w:r>
              <w:t>F</w:t>
            </w:r>
            <w:r>
              <w:rPr>
                <w:vertAlign w:val="subscript"/>
              </w:rPr>
              <w:t xml:space="preserve">UL_Meas </w:t>
            </w:r>
            <w:r>
              <w:t>– F</w:t>
            </w:r>
            <w:r>
              <w:rPr>
                <w:vertAlign w:val="subscript"/>
              </w:rPr>
              <w:t xml:space="preserve">UL_Low </w:t>
            </w:r>
            <w:r>
              <w:t>&lt; 5 MHz or F</w:t>
            </w:r>
            <w:r>
              <w:rPr>
                <w:vertAlign w:val="subscript"/>
              </w:rPr>
              <w:t>UL_High</w:t>
            </w:r>
            <w:r>
              <w:t xml:space="preserve"> – F</w:t>
            </w:r>
            <w:r>
              <w:rPr>
                <w:vertAlign w:val="subscript"/>
              </w:rPr>
              <w:t xml:space="preserve">UL_Meas </w:t>
            </w:r>
            <w:r>
              <w:t>&lt; 5 MHz</w:t>
            </w:r>
          </w:p>
          <w:p>
            <w:pPr>
              <w:pStyle w:val="105"/>
            </w:pPr>
            <w:r>
              <w:t>(Range 2)</w:t>
            </w:r>
          </w:p>
        </w:tc>
        <w:tc>
          <w:tcPr>
            <w:tcW w:w="2268" w:type="dxa"/>
          </w:tcPr>
          <w:p>
            <w:pPr>
              <w:pStyle w:val="105"/>
            </w:pPr>
            <w:r>
              <w:rPr>
                <w:rFonts w:cs="v5.0.0"/>
              </w:rPr>
              <w:t>13.4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91" w:type="dxa"/>
            <w:gridSpan w:val="2"/>
          </w:tcPr>
          <w:p>
            <w:pPr>
              <w:pStyle w:val="118"/>
            </w:pPr>
            <w:r>
              <w:t>Note 1:</w:t>
            </w:r>
            <w:r>
              <w:tab/>
            </w:r>
            <w:r>
              <w:t>F</w:t>
            </w:r>
            <w:r>
              <w:rPr>
                <w:vertAlign w:val="subscript"/>
              </w:rPr>
              <w:t xml:space="preserve">UL_Meas </w:t>
            </w:r>
            <w:r>
              <w:t>refers to the sub-carrier frequency for which the equalizer coefficient is evaluated</w:t>
            </w:r>
          </w:p>
          <w:p>
            <w:pPr>
              <w:pStyle w:val="118"/>
            </w:pPr>
            <w:r>
              <w:t>Note 2:</w:t>
            </w:r>
            <w:r>
              <w:tab/>
            </w:r>
            <w:r>
              <w:t>F</w:t>
            </w:r>
            <w:r>
              <w:rPr>
                <w:vertAlign w:val="subscript"/>
              </w:rPr>
              <w:t>UL_Low</w:t>
            </w:r>
            <w:r>
              <w:t xml:space="preserve"> and F</w:t>
            </w:r>
            <w:r>
              <w:rPr>
                <w:vertAlign w:val="subscript"/>
              </w:rPr>
              <w:t>UL_High</w:t>
            </w:r>
            <w:r>
              <w:t xml:space="preserve"> refer to each E-UTRA frequency band specified in Table 5.2-1</w:t>
            </w:r>
          </w:p>
        </w:tc>
      </w:tr>
    </w:tbl>
    <w:p/>
    <w:p>
      <w:pPr>
        <w:pStyle w:val="113"/>
      </w:pPr>
      <w:r>
        <w:object>
          <v:shape id="_x0000_i1056" o:spt="75" type="#_x0000_t75" style="height:154.8pt;width:453.6pt;" o:ole="t" filled="f" o:preferrelative="t" stroked="f" coordsize="21600,21600">
            <v:path/>
            <v:fill on="f" focussize="0,0"/>
            <v:stroke on="f" joinstyle="miter"/>
            <v:imagedata r:id="rId70" o:title=""/>
            <o:lock v:ext="edit" aspectratio="t"/>
            <w10:wrap type="none"/>
            <w10:anchorlock/>
          </v:shape>
          <o:OLEObject Type="Embed" ProgID="Word.Picture.8" ShapeID="_x0000_i1056" DrawAspect="Content" ObjectID="_1468075756" r:id="rId69">
            <o:LockedField>false</o:LockedField>
          </o:OLEObject>
        </w:object>
      </w:r>
    </w:p>
    <w:p>
      <w:pPr>
        <w:pStyle w:val="120"/>
      </w:pPr>
      <w:r>
        <w:t>Figure 6.4A.2.4.5-1: The limits for EVM equalizer spectrum flatness with the maximum allowed variation of the coefficients indicated (the ETC minimum requirement within brackets)</w:t>
      </w:r>
    </w:p>
    <w:p/>
    <w:p>
      <w:pPr>
        <w:pStyle w:val="4"/>
        <w:rPr>
          <w:rFonts w:eastAsia="宋体"/>
          <w:color w:val="000000" w:themeColor="text1"/>
          <w14:textFill>
            <w14:solidFill>
              <w14:schemeClr w14:val="tx1"/>
            </w14:solidFill>
          </w14:textFill>
        </w:rPr>
      </w:pPr>
      <w:bookmarkStart w:id="715" w:name="_Toc121162841"/>
      <w:bookmarkStart w:id="716" w:name="_Toc29451"/>
      <w:bookmarkStart w:id="717" w:name="_Toc120570049"/>
      <w:bookmarkStart w:id="718" w:name="_Toc22091"/>
      <w:bookmarkStart w:id="719" w:name="_Toc8715"/>
      <w:bookmarkStart w:id="720" w:name="_Toc15483"/>
      <w:bookmarkStart w:id="721" w:name="_Toc10261"/>
      <w:bookmarkStart w:id="722" w:name="_Toc21139"/>
      <w:bookmarkStart w:id="723" w:name="_Toc31699"/>
      <w:r>
        <w:t>6.4B</w:t>
      </w:r>
      <w:r>
        <w:tab/>
      </w:r>
      <w:r>
        <w:t>Transmit signal quality for category NB1 and NB2</w:t>
      </w:r>
      <w:bookmarkEnd w:id="715"/>
      <w:bookmarkEnd w:id="716"/>
      <w:bookmarkEnd w:id="717"/>
      <w:bookmarkEnd w:id="718"/>
      <w:bookmarkEnd w:id="719"/>
      <w:bookmarkEnd w:id="720"/>
      <w:bookmarkEnd w:id="721"/>
      <w:bookmarkEnd w:id="722"/>
      <w:bookmarkEnd w:id="723"/>
    </w:p>
    <w:p>
      <w:pPr>
        <w:pStyle w:val="5"/>
      </w:pPr>
      <w:bookmarkStart w:id="724" w:name="_Toc31446"/>
      <w:bookmarkStart w:id="725" w:name="_Toc121162842"/>
      <w:bookmarkStart w:id="726" w:name="_Toc6878"/>
      <w:bookmarkStart w:id="727" w:name="_Toc6670"/>
      <w:bookmarkStart w:id="728" w:name="_Toc25968"/>
      <w:bookmarkStart w:id="729" w:name="_Toc23267"/>
      <w:bookmarkStart w:id="730" w:name="_Toc120570050"/>
      <w:bookmarkStart w:id="731" w:name="_Toc15886"/>
      <w:bookmarkStart w:id="732" w:name="_Toc21064"/>
      <w:r>
        <w:t>6.4B.1</w:t>
      </w:r>
      <w:r>
        <w:tab/>
      </w:r>
      <w:r>
        <w:t>Frequency error for UE category NB1 and NB2</w:t>
      </w:r>
      <w:bookmarkEnd w:id="683"/>
      <w:bookmarkEnd w:id="724"/>
      <w:bookmarkEnd w:id="725"/>
      <w:bookmarkEnd w:id="726"/>
      <w:bookmarkEnd w:id="727"/>
      <w:bookmarkEnd w:id="728"/>
      <w:bookmarkEnd w:id="729"/>
      <w:bookmarkEnd w:id="730"/>
      <w:bookmarkEnd w:id="731"/>
      <w:bookmarkEnd w:id="732"/>
    </w:p>
    <w:p>
      <w:pPr>
        <w:pStyle w:val="112"/>
        <w:rPr>
          <w:lang w:val="en-US"/>
        </w:rPr>
      </w:pPr>
      <w:r>
        <w:t>Editor’s Note: Addition to applicability spec is pending.</w:t>
      </w:r>
    </w:p>
    <w:p>
      <w:pPr>
        <w:pStyle w:val="9"/>
      </w:pPr>
      <w:r>
        <w:t>6.4B.1.1</w:t>
      </w:r>
      <w:r>
        <w:tab/>
      </w:r>
      <w:r>
        <w:t>Test purpose</w:t>
      </w:r>
    </w:p>
    <w:p>
      <w:r>
        <w:t>This test verifies the ability of both, the receiver and the transmitter, to process frequency correctly.</w:t>
      </w:r>
    </w:p>
    <w:p>
      <w:r>
        <w:t>Receiver: to extract the correct frequency from the stimulus signal, offered by the System simulator, under ideal propagation conditions and low level.</w:t>
      </w:r>
    </w:p>
    <w:p>
      <w:r>
        <w:t>Transmitter: to derive the correct modulated carrier frequency from the results, gained by the receiver.</w:t>
      </w:r>
    </w:p>
    <w:p/>
    <w:p>
      <w:pPr>
        <w:pStyle w:val="9"/>
      </w:pPr>
      <w:r>
        <w:t>6.4B.1.2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6.4B.1.3</w:t>
      </w:r>
      <w:r>
        <w:tab/>
      </w:r>
      <w:r>
        <w:t>Minimum conformance requirements</w:t>
      </w:r>
    </w:p>
    <w:p>
      <w:r>
        <w:t xml:space="preserve">For UE category NB1 and NB2, the UE pre-compensates the uplink modulated carrier frequency by the estimated Doppler shift based on received ephemeris information of the SAN in IE </w:t>
      </w:r>
      <w:r>
        <w:rPr>
          <w:i/>
          <w:iCs/>
        </w:rPr>
        <w:t>EphemerisInfo</w:t>
      </w:r>
      <w:r>
        <w:t xml:space="preserve"> (TS 36.331 [6]), its own location and UL carrier frequency signalled to the UE by the SAN (according to TS36.300 [8] clause 23.21.2.2).</w:t>
      </w:r>
    </w:p>
    <w:p>
      <w:r>
        <w:t>The UE pre-compensated modulated carrier frequency shall be accurate to within the limits in Table 6.4B.1-1, observed over a period of one time slot (0.5 ms for 15 kHz sub-carrier spacing and 2 ms excluding the 2304Ts gap for 3.75 kHz sub-carrier spacing) and averaged over 72/L</w:t>
      </w:r>
      <w:r>
        <w:rPr>
          <w:vertAlign w:val="subscript"/>
        </w:rPr>
        <w:t>Ctone</w:t>
      </w:r>
      <w:r>
        <w:t xml:space="preserve"> slots (where L</w:t>
      </w:r>
      <w:r>
        <w:rPr>
          <w:vertAlign w:val="subscript"/>
        </w:rPr>
        <w:t>Ctone</w:t>
      </w:r>
      <w:r>
        <w:t xml:space="preserve"> = {1, 3, 6, 12} is the number of sub-carriers used for the transmission), compared to the ideally pre-compensated reference uplink carrier frequency.</w:t>
      </w:r>
    </w:p>
    <w:p>
      <w:r>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pPr>
        <w:pStyle w:val="109"/>
      </w:pPr>
      <w:r>
        <w:t>[NOTE:</w:t>
      </w:r>
      <w:r>
        <w:tab/>
      </w:r>
      <w:r>
        <w:t>The ideally pre-compensated reference uplink carrier frequency consists of the UL carrier frequency signalled to the UE by SAN and UL pre-compensated Doppler frequency shift</w:t>
      </w:r>
      <w:r>
        <w:rPr>
          <w:lang w:val="en-US"/>
        </w:rPr>
        <w:t xml:space="preserve"> corresponding to the estimated Doppler frequency at the beginning of the transmission</w:t>
      </w:r>
      <w:r>
        <w:t>.]</w:t>
      </w:r>
    </w:p>
    <w:p/>
    <w:p>
      <w:pPr>
        <w:pStyle w:val="113"/>
        <w:rPr>
          <w:color w:val="000000" w:themeColor="text1"/>
          <w14:textFill>
            <w14:solidFill>
              <w14:schemeClr w14:val="tx1"/>
            </w14:solidFill>
          </w14:textFill>
        </w:rPr>
      </w:pPr>
      <w:r>
        <w:rPr>
          <w:snapToGrid w:val="0"/>
          <w:color w:val="000000" w:themeColor="text1"/>
          <w14:textFill>
            <w14:solidFill>
              <w14:schemeClr w14:val="tx1"/>
            </w14:solidFill>
          </w14:textFill>
        </w:rPr>
        <w:t xml:space="preserve">Table 6.4B.1.3-1: </w:t>
      </w:r>
      <w:r>
        <w:rPr>
          <w:color w:val="000000" w:themeColor="text1"/>
          <w14:textFill>
            <w14:solidFill>
              <w14:schemeClr w14:val="tx1"/>
            </w14:solidFill>
          </w14:textFill>
        </w:rPr>
        <w:t>Frequency error requirement for HD-FDD UE category NB1 and NB2</w:t>
      </w:r>
    </w:p>
    <w:tbl>
      <w:tblPr>
        <w:tblStyle w:val="89"/>
        <w:tblW w:w="177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0"/>
        <w:gridCol w:w="1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2401" w:type="pct"/>
            <w:tcBorders>
              <w:top w:val="single" w:color="auto" w:sz="4" w:space="0"/>
              <w:left w:val="single" w:color="auto" w:sz="4" w:space="0"/>
              <w:bottom w:val="single" w:color="auto" w:sz="4" w:space="0"/>
              <w:right w:val="single" w:color="auto" w:sz="4" w:space="0"/>
            </w:tcBorders>
          </w:tcPr>
          <w:p>
            <w:pPr>
              <w:pStyle w:val="104"/>
              <w:rPr>
                <w:lang w:eastAsia="ja-JP"/>
              </w:rPr>
            </w:pPr>
            <w:r>
              <w:rPr>
                <w:lang w:eastAsia="ja-JP"/>
              </w:rPr>
              <w:t>Carrier frequency [GHz]</w:t>
            </w:r>
          </w:p>
        </w:tc>
        <w:tc>
          <w:tcPr>
            <w:tcW w:w="2599" w:type="pct"/>
            <w:tcBorders>
              <w:top w:val="single" w:color="auto" w:sz="4" w:space="0"/>
              <w:left w:val="single" w:color="auto" w:sz="4" w:space="0"/>
              <w:bottom w:val="single" w:color="auto" w:sz="4" w:space="0"/>
              <w:right w:val="single" w:color="auto" w:sz="4" w:space="0"/>
            </w:tcBorders>
          </w:tcPr>
          <w:p>
            <w:pPr>
              <w:pStyle w:val="104"/>
              <w:rPr>
                <w:lang w:eastAsia="ja-JP"/>
              </w:rPr>
            </w:pPr>
            <w:r>
              <w:rPr>
                <w:lang w:eastAsia="ja-JP"/>
              </w:rPr>
              <w:t>Frequency error [ppm]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5" w:hRule="atLeast"/>
          <w:jc w:val="center"/>
        </w:trPr>
        <w:tc>
          <w:tcPr>
            <w:tcW w:w="2401" w:type="pct"/>
            <w:tcBorders>
              <w:top w:val="single" w:color="auto" w:sz="4" w:space="0"/>
              <w:left w:val="single" w:color="auto" w:sz="4" w:space="0"/>
              <w:bottom w:val="single" w:color="auto" w:sz="4" w:space="0"/>
              <w:right w:val="single" w:color="auto" w:sz="4" w:space="0"/>
            </w:tcBorders>
          </w:tcPr>
          <w:p>
            <w:pPr>
              <w:pStyle w:val="105"/>
              <w:rPr>
                <w:lang w:eastAsia="ja-JP"/>
              </w:rPr>
            </w:pPr>
            <w:r>
              <w:rPr>
                <w:lang w:eastAsia="ja-JP"/>
              </w:rPr>
              <w:t>≤1</w:t>
            </w:r>
          </w:p>
        </w:tc>
        <w:tc>
          <w:tcPr>
            <w:tcW w:w="2599" w:type="pct"/>
            <w:tcBorders>
              <w:top w:val="single" w:color="auto" w:sz="4" w:space="0"/>
              <w:left w:val="single" w:color="auto" w:sz="4" w:space="0"/>
              <w:bottom w:val="single" w:color="auto" w:sz="4" w:space="0"/>
              <w:right w:val="single" w:color="auto" w:sz="4" w:space="0"/>
            </w:tcBorders>
          </w:tcPr>
          <w:p>
            <w:pPr>
              <w:pStyle w:val="105"/>
              <w:rPr>
                <w:lang w:eastAsia="ja-JP"/>
              </w:rPr>
            </w:pPr>
            <w: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5" w:hRule="atLeast"/>
          <w:jc w:val="center"/>
        </w:trPr>
        <w:tc>
          <w:tcPr>
            <w:tcW w:w="2401" w:type="pct"/>
            <w:tcBorders>
              <w:top w:val="single" w:color="auto" w:sz="4" w:space="0"/>
              <w:left w:val="single" w:color="auto" w:sz="4" w:space="0"/>
              <w:bottom w:val="single" w:color="auto" w:sz="4" w:space="0"/>
              <w:right w:val="single" w:color="auto" w:sz="4" w:space="0"/>
            </w:tcBorders>
          </w:tcPr>
          <w:p>
            <w:pPr>
              <w:pStyle w:val="105"/>
              <w:rPr>
                <w:lang w:eastAsia="ja-JP"/>
              </w:rPr>
            </w:pPr>
            <w:r>
              <w:rPr>
                <w:lang w:eastAsia="ja-JP"/>
              </w:rPr>
              <w:t>&gt;1</w:t>
            </w:r>
          </w:p>
        </w:tc>
        <w:tc>
          <w:tcPr>
            <w:tcW w:w="2599" w:type="pct"/>
            <w:tcBorders>
              <w:top w:val="single" w:color="auto" w:sz="4" w:space="0"/>
              <w:left w:val="single" w:color="auto" w:sz="4" w:space="0"/>
              <w:bottom w:val="single" w:color="auto" w:sz="4" w:space="0"/>
              <w:right w:val="single" w:color="auto" w:sz="4" w:space="0"/>
            </w:tcBorders>
          </w:tcPr>
          <w:p>
            <w:pPr>
              <w:pStyle w:val="105"/>
              <w:rPr>
                <w:lang w:eastAsia="ja-JP"/>
              </w:rPr>
            </w:pPr>
            <w:r>
              <w:t>±0.1</w:t>
            </w:r>
          </w:p>
        </w:tc>
      </w:tr>
    </w:tbl>
    <w:p>
      <w:pPr>
        <w:rPr>
          <w:rFonts w:eastAsia="PMingLiU"/>
          <w:lang w:eastAsia="zh-TW"/>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6.4B.1.</w:t>
      </w:r>
    </w:p>
    <w:p>
      <w:pPr>
        <w:pStyle w:val="9"/>
      </w:pPr>
      <w:r>
        <w:t>6.4B.1.4</w:t>
      </w:r>
      <w:r>
        <w:tab/>
      </w:r>
      <w:r>
        <w:t>Test description</w:t>
      </w:r>
    </w:p>
    <w:p>
      <w:pPr>
        <w:pStyle w:val="9"/>
      </w:pPr>
      <w:r>
        <w:t>6.4B.1.4.1</w:t>
      </w:r>
      <w:r>
        <w:tab/>
      </w:r>
      <w:r>
        <w:t xml:space="preserve">Initial conditions  </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channel bandwidths based on E-UTRA bands specified in sub-clause 5.2B. All of these configurations shall be tested with applicable test parameters for each channel bandwidth, and are shown in table 6.4B.1.4.1-1. The details of the uplink reference measurement channels (RMCs) are specified in Annex A.2.4. </w:t>
      </w:r>
      <w:r>
        <w:rPr>
          <w:rFonts w:cs="v5.0.0"/>
        </w:rPr>
        <w:t>Configurations of NPDSCH and NPDCCH before measurement are specified in Annex C.2.</w:t>
      </w:r>
    </w:p>
    <w:p/>
    <w:p>
      <w:pPr>
        <w:pStyle w:val="113"/>
      </w:pPr>
      <w:r>
        <w:t xml:space="preserve">Table 6.4B.1.4.1-1: Test Configuration Table for FDD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69"/>
        <w:gridCol w:w="1576"/>
        <w:gridCol w:w="2051"/>
        <w:gridCol w:w="880"/>
        <w:gridCol w:w="18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45" w:type="dxa"/>
            <w:gridSpan w:val="2"/>
            <w:tcBorders>
              <w:top w:val="single" w:color="auto" w:sz="4" w:space="0"/>
              <w:left w:val="single" w:color="auto" w:sz="4" w:space="0"/>
              <w:bottom w:val="single" w:color="auto" w:sz="4" w:space="0"/>
              <w:right w:val="single" w:color="auto" w:sz="4" w:space="0"/>
            </w:tcBorders>
          </w:tcPr>
          <w:p>
            <w:pPr>
              <w:pStyle w:val="104"/>
              <w:rPr>
                <w:b w:val="0"/>
                <w:bCs/>
              </w:rPr>
            </w:pPr>
          </w:p>
        </w:tc>
        <w:tc>
          <w:tcPr>
            <w:tcW w:w="4751" w:type="dxa"/>
            <w:gridSpan w:val="3"/>
            <w:tcBorders>
              <w:top w:val="single" w:color="auto" w:sz="4" w:space="0"/>
              <w:left w:val="single" w:color="auto" w:sz="4" w:space="0"/>
              <w:bottom w:val="single" w:color="auto" w:sz="4" w:space="0"/>
              <w:right w:val="single" w:color="auto" w:sz="4" w:space="0"/>
            </w:tcBorders>
          </w:tcPr>
          <w:p>
            <w:pPr>
              <w:pStyle w:val="104"/>
              <w:rPr>
                <w:b w:val="0"/>
                <w:bCs/>
              </w:rPr>
            </w:pPr>
            <w:r>
              <w:rPr>
                <w:b w:val="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45" w:type="dxa"/>
            <w:gridSpan w:val="2"/>
          </w:tcPr>
          <w:p>
            <w:pPr>
              <w:pStyle w:val="103"/>
            </w:pPr>
            <w:r>
              <w:t>Test Environment as specified in</w:t>
            </w:r>
          </w:p>
          <w:p>
            <w:pPr>
              <w:pStyle w:val="103"/>
            </w:pPr>
            <w:r>
              <w:t>TS 36.508[12] subclause 8.1.1</w:t>
            </w:r>
          </w:p>
        </w:tc>
        <w:tc>
          <w:tcPr>
            <w:tcW w:w="4751" w:type="dxa"/>
            <w:gridSpan w:val="3"/>
          </w:tcPr>
          <w:p>
            <w:pPr>
              <w:pStyle w:val="103"/>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45" w:type="dxa"/>
            <w:gridSpan w:val="2"/>
          </w:tcPr>
          <w:p>
            <w:pPr>
              <w:pStyle w:val="103"/>
            </w:pPr>
            <w:r>
              <w:t>Test Frequencies as specified in</w:t>
            </w:r>
          </w:p>
          <w:p>
            <w:pPr>
              <w:pStyle w:val="103"/>
            </w:pPr>
            <w:r>
              <w:t>TS36.508 [12] subclause 8.1.3.1</w:t>
            </w:r>
          </w:p>
        </w:tc>
        <w:tc>
          <w:tcPr>
            <w:tcW w:w="4751" w:type="dxa"/>
            <w:gridSpan w:val="3"/>
          </w:tcPr>
          <w:p>
            <w:pPr>
              <w:pStyle w:val="103"/>
              <w:rPr>
                <w:lang w:eastAsia="zh-TW"/>
              </w:rPr>
            </w:pPr>
            <w:r>
              <w:t>Frequency ranges defined in Annex K.1.</w:t>
            </w:r>
            <w:r>
              <w:rPr>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45" w:type="dxa"/>
            <w:gridSpan w:val="2"/>
          </w:tcPr>
          <w:p>
            <w:pPr>
              <w:pStyle w:val="104"/>
            </w:pPr>
          </w:p>
        </w:tc>
        <w:tc>
          <w:tcPr>
            <w:tcW w:w="4751" w:type="dxa"/>
            <w:gridSpan w:val="3"/>
          </w:tcPr>
          <w:p>
            <w:pPr>
              <w:pStyle w:val="104"/>
            </w:pPr>
            <w: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9" w:type="dxa"/>
          </w:tcPr>
          <w:p>
            <w:pPr>
              <w:pStyle w:val="104"/>
            </w:pPr>
            <w:r>
              <w:rPr>
                <w:lang w:eastAsia="zh-TW"/>
              </w:rPr>
              <w:t>Configuration ID</w:t>
            </w:r>
          </w:p>
        </w:tc>
        <w:tc>
          <w:tcPr>
            <w:tcW w:w="1576" w:type="dxa"/>
          </w:tcPr>
          <w:p>
            <w:pPr>
              <w:pStyle w:val="104"/>
            </w:pPr>
            <w:r>
              <w:t>Downlink Configuration</w:t>
            </w:r>
          </w:p>
        </w:tc>
        <w:tc>
          <w:tcPr>
            <w:tcW w:w="4751"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69" w:type="dxa"/>
          </w:tcPr>
          <w:p>
            <w:pPr>
              <w:pStyle w:val="105"/>
              <w:rPr>
                <w:lang w:eastAsia="zh-TW"/>
              </w:rPr>
            </w:pPr>
          </w:p>
        </w:tc>
        <w:tc>
          <w:tcPr>
            <w:tcW w:w="1576" w:type="dxa"/>
            <w:vMerge w:val="restart"/>
          </w:tcPr>
          <w:p>
            <w:pPr>
              <w:pStyle w:val="105"/>
              <w:ind w:firstLine="720" w:firstLineChars="400"/>
              <w:jc w:val="left"/>
              <w:rPr>
                <w:rFonts w:eastAsia="PMingLiU"/>
                <w:lang w:eastAsia="zh-TW"/>
              </w:rPr>
            </w:pPr>
          </w:p>
        </w:tc>
        <w:tc>
          <w:tcPr>
            <w:tcW w:w="2051" w:type="dxa"/>
          </w:tcPr>
          <w:p>
            <w:pPr>
              <w:pStyle w:val="105"/>
              <w:rPr>
                <w:lang w:eastAsia="zh-TW"/>
              </w:rPr>
            </w:pPr>
            <w:r>
              <w:t>Mod</w:t>
            </w:r>
            <w:r>
              <w:rPr>
                <w:lang w:eastAsia="zh-TW"/>
              </w:rPr>
              <w:t>ulation</w:t>
            </w:r>
          </w:p>
        </w:tc>
        <w:tc>
          <w:tcPr>
            <w:tcW w:w="880" w:type="dxa"/>
          </w:tcPr>
          <w:p>
            <w:pPr>
              <w:pStyle w:val="105"/>
              <w:rPr>
                <w:lang w:eastAsia="zh-TW"/>
              </w:rPr>
            </w:pPr>
            <w:r>
              <w:t>N</w:t>
            </w:r>
            <w:r>
              <w:rPr>
                <w:vertAlign w:val="subscript"/>
              </w:rPr>
              <w:t>tones</w:t>
            </w:r>
          </w:p>
        </w:tc>
        <w:tc>
          <w:tcPr>
            <w:tcW w:w="1820" w:type="dxa"/>
          </w:tcPr>
          <w:p>
            <w:pPr>
              <w:pStyle w:val="105"/>
              <w:rPr>
                <w:lang w:eastAsia="zh-TW"/>
              </w:rPr>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9" w:type="dxa"/>
          </w:tcPr>
          <w:p>
            <w:pPr>
              <w:pStyle w:val="105"/>
              <w:rPr>
                <w:lang w:eastAsia="zh-TW"/>
              </w:rPr>
            </w:pPr>
            <w:r>
              <w:rPr>
                <w:lang w:eastAsia="zh-TW"/>
              </w:rPr>
              <w:t>1</w:t>
            </w:r>
          </w:p>
        </w:tc>
        <w:tc>
          <w:tcPr>
            <w:tcW w:w="1576" w:type="dxa"/>
            <w:vMerge w:val="continue"/>
          </w:tcPr>
          <w:p>
            <w:pPr>
              <w:pStyle w:val="105"/>
              <w:rPr>
                <w:lang w:eastAsia="zh-TW"/>
              </w:rPr>
            </w:pPr>
          </w:p>
        </w:tc>
        <w:tc>
          <w:tcPr>
            <w:tcW w:w="2051" w:type="dxa"/>
          </w:tcPr>
          <w:p>
            <w:pPr>
              <w:pStyle w:val="105"/>
            </w:pPr>
            <w:r>
              <w:t>QPSK</w:t>
            </w:r>
          </w:p>
        </w:tc>
        <w:tc>
          <w:tcPr>
            <w:tcW w:w="880" w:type="dxa"/>
          </w:tcPr>
          <w:p>
            <w:pPr>
              <w:pStyle w:val="105"/>
              <w:rPr>
                <w:lang w:eastAsia="zh-TW"/>
              </w:rPr>
            </w:pPr>
            <w:r>
              <w:rPr>
                <w:lang w:eastAsia="zh-TW"/>
              </w:rPr>
              <w:t>1@0</w:t>
            </w:r>
          </w:p>
        </w:tc>
        <w:tc>
          <w:tcPr>
            <w:tcW w:w="1820" w:type="dxa"/>
          </w:tcPr>
          <w:p>
            <w:pPr>
              <w:pStyle w:val="105"/>
              <w:rPr>
                <w:lang w:eastAsia="zh-TW"/>
              </w:rPr>
            </w:pPr>
            <w:r>
              <w:rPr>
                <w:lang w:eastAsia="zh-TW"/>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9" w:type="dxa"/>
          </w:tcPr>
          <w:p>
            <w:pPr>
              <w:pStyle w:val="105"/>
              <w:rPr>
                <w:lang w:eastAsia="zh-TW"/>
              </w:rPr>
            </w:pPr>
            <w:r>
              <w:rPr>
                <w:lang w:eastAsia="zh-TW"/>
              </w:rPr>
              <w:t>2</w:t>
            </w:r>
          </w:p>
        </w:tc>
        <w:tc>
          <w:tcPr>
            <w:tcW w:w="1576" w:type="dxa"/>
            <w:vMerge w:val="continue"/>
          </w:tcPr>
          <w:p>
            <w:pPr>
              <w:pStyle w:val="105"/>
              <w:rPr>
                <w:lang w:eastAsia="zh-TW"/>
              </w:rPr>
            </w:pPr>
          </w:p>
        </w:tc>
        <w:tc>
          <w:tcPr>
            <w:tcW w:w="2051" w:type="dxa"/>
          </w:tcPr>
          <w:p>
            <w:pPr>
              <w:pStyle w:val="105"/>
            </w:pPr>
            <w:r>
              <w:t>QPSK</w:t>
            </w:r>
          </w:p>
        </w:tc>
        <w:tc>
          <w:tcPr>
            <w:tcW w:w="880" w:type="dxa"/>
          </w:tcPr>
          <w:p>
            <w:pPr>
              <w:pStyle w:val="105"/>
              <w:rPr>
                <w:lang w:eastAsia="zh-TW"/>
              </w:rPr>
            </w:pPr>
            <w:r>
              <w:rPr>
                <w:lang w:eastAsia="zh-TW"/>
              </w:rPr>
              <w:t>1@0</w:t>
            </w:r>
          </w:p>
        </w:tc>
        <w:tc>
          <w:tcPr>
            <w:tcW w:w="1820" w:type="dxa"/>
          </w:tcPr>
          <w:p>
            <w:pPr>
              <w:pStyle w:val="105"/>
              <w:rPr>
                <w:lang w:eastAsia="zh-TW"/>
              </w:rPr>
            </w:pPr>
            <w:r>
              <w:rPr>
                <w:lang w:eastAsia="zh-TW"/>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9" w:type="dxa"/>
          </w:tcPr>
          <w:p>
            <w:pPr>
              <w:pStyle w:val="105"/>
              <w:rPr>
                <w:lang w:eastAsia="zh-TW"/>
              </w:rPr>
            </w:pPr>
            <w:r>
              <w:rPr>
                <w:lang w:eastAsia="zh-TW"/>
              </w:rPr>
              <w:t>3 (Note 1)</w:t>
            </w:r>
          </w:p>
        </w:tc>
        <w:tc>
          <w:tcPr>
            <w:tcW w:w="1576" w:type="dxa"/>
            <w:vMerge w:val="continue"/>
          </w:tcPr>
          <w:p>
            <w:pPr>
              <w:pStyle w:val="105"/>
              <w:rPr>
                <w:lang w:eastAsia="zh-TW"/>
              </w:rPr>
            </w:pPr>
          </w:p>
        </w:tc>
        <w:tc>
          <w:tcPr>
            <w:tcW w:w="2051" w:type="dxa"/>
          </w:tcPr>
          <w:p>
            <w:pPr>
              <w:pStyle w:val="105"/>
            </w:pPr>
            <w:r>
              <w:t>QPSK</w:t>
            </w:r>
          </w:p>
        </w:tc>
        <w:tc>
          <w:tcPr>
            <w:tcW w:w="880" w:type="dxa"/>
          </w:tcPr>
          <w:p>
            <w:pPr>
              <w:pStyle w:val="105"/>
              <w:rPr>
                <w:lang w:eastAsia="zh-TW"/>
              </w:rPr>
            </w:pPr>
            <w:r>
              <w:rPr>
                <w:lang w:eastAsia="zh-TW"/>
              </w:rPr>
              <w:t>3@0</w:t>
            </w:r>
          </w:p>
        </w:tc>
        <w:tc>
          <w:tcPr>
            <w:tcW w:w="1820" w:type="dxa"/>
          </w:tcPr>
          <w:p>
            <w:pPr>
              <w:pStyle w:val="105"/>
              <w:rPr>
                <w:lang w:eastAsia="zh-TW"/>
              </w:rPr>
            </w:pPr>
            <w:r>
              <w:rPr>
                <w:lang w:eastAsia="zh-TW"/>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9" w:type="dxa"/>
          </w:tcPr>
          <w:p>
            <w:pPr>
              <w:pStyle w:val="105"/>
              <w:rPr>
                <w:lang w:eastAsia="zh-TW"/>
              </w:rPr>
            </w:pPr>
            <w:r>
              <w:rPr>
                <w:lang w:eastAsia="zh-TW"/>
              </w:rPr>
              <w:t>4 (Note 1)</w:t>
            </w:r>
          </w:p>
        </w:tc>
        <w:tc>
          <w:tcPr>
            <w:tcW w:w="1576" w:type="dxa"/>
            <w:vMerge w:val="continue"/>
          </w:tcPr>
          <w:p>
            <w:pPr>
              <w:pStyle w:val="105"/>
              <w:rPr>
                <w:lang w:eastAsia="zh-TW"/>
              </w:rPr>
            </w:pPr>
          </w:p>
        </w:tc>
        <w:tc>
          <w:tcPr>
            <w:tcW w:w="2051" w:type="dxa"/>
          </w:tcPr>
          <w:p>
            <w:pPr>
              <w:pStyle w:val="105"/>
            </w:pPr>
            <w:r>
              <w:t>QPSK</w:t>
            </w:r>
          </w:p>
        </w:tc>
        <w:tc>
          <w:tcPr>
            <w:tcW w:w="880" w:type="dxa"/>
          </w:tcPr>
          <w:p>
            <w:pPr>
              <w:pStyle w:val="105"/>
              <w:rPr>
                <w:lang w:eastAsia="zh-TW"/>
              </w:rPr>
            </w:pPr>
            <w:r>
              <w:rPr>
                <w:lang w:eastAsia="zh-TW"/>
              </w:rPr>
              <w:t>6@0</w:t>
            </w:r>
          </w:p>
        </w:tc>
        <w:tc>
          <w:tcPr>
            <w:tcW w:w="1820" w:type="dxa"/>
          </w:tcPr>
          <w:p>
            <w:pPr>
              <w:pStyle w:val="105"/>
              <w:rPr>
                <w:lang w:eastAsia="zh-TW"/>
              </w:rPr>
            </w:pPr>
            <w:r>
              <w:rPr>
                <w:lang w:eastAsia="zh-TW"/>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9" w:type="dxa"/>
          </w:tcPr>
          <w:p>
            <w:pPr>
              <w:pStyle w:val="105"/>
              <w:rPr>
                <w:lang w:eastAsia="zh-TW"/>
              </w:rPr>
            </w:pPr>
            <w:r>
              <w:rPr>
                <w:lang w:eastAsia="zh-TW"/>
              </w:rPr>
              <w:t>5 (Note 1)</w:t>
            </w:r>
          </w:p>
        </w:tc>
        <w:tc>
          <w:tcPr>
            <w:tcW w:w="1576" w:type="dxa"/>
            <w:vMerge w:val="continue"/>
          </w:tcPr>
          <w:p>
            <w:pPr>
              <w:pStyle w:val="105"/>
              <w:rPr>
                <w:lang w:eastAsia="zh-TW"/>
              </w:rPr>
            </w:pPr>
          </w:p>
        </w:tc>
        <w:tc>
          <w:tcPr>
            <w:tcW w:w="2051" w:type="dxa"/>
          </w:tcPr>
          <w:p>
            <w:pPr>
              <w:pStyle w:val="105"/>
            </w:pPr>
            <w:r>
              <w:t>QPSK</w:t>
            </w:r>
          </w:p>
        </w:tc>
        <w:tc>
          <w:tcPr>
            <w:tcW w:w="880" w:type="dxa"/>
          </w:tcPr>
          <w:p>
            <w:pPr>
              <w:pStyle w:val="105"/>
              <w:rPr>
                <w:lang w:eastAsia="zh-TW"/>
              </w:rPr>
            </w:pPr>
            <w:r>
              <w:rPr>
                <w:lang w:eastAsia="zh-TW"/>
              </w:rPr>
              <w:t>12@0</w:t>
            </w:r>
          </w:p>
        </w:tc>
        <w:tc>
          <w:tcPr>
            <w:tcW w:w="1820" w:type="dxa"/>
          </w:tcPr>
          <w:p>
            <w:pPr>
              <w:pStyle w:val="105"/>
              <w:rPr>
                <w:lang w:eastAsia="zh-TW"/>
              </w:rPr>
            </w:pPr>
            <w:r>
              <w:rPr>
                <w:lang w:eastAsia="zh-TW"/>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96" w:type="dxa"/>
            <w:gridSpan w:val="5"/>
          </w:tcPr>
          <w:p>
            <w:pPr>
              <w:pStyle w:val="118"/>
              <w:jc w:val="left"/>
              <w:rPr>
                <w:rFonts w:eastAsia="宋体"/>
                <w:lang w:eastAsia="zh-TW"/>
              </w:rPr>
            </w:pPr>
            <w:r>
              <w:t>Note 1:</w:t>
            </w:r>
            <w:r>
              <w:tab/>
            </w:r>
            <w:r>
              <w:t>Applicable to UE supporting UL multi-tone transmissions</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lang w:eastAsia="en-GB"/>
        </w:rPr>
        <w:t>The parameter settings for the cell are set up according to TS 36.508 [12] subclause 8.1.4.3</w:t>
      </w:r>
      <w:r>
        <w:rPr>
          <w:rFonts w:hint="eastAsia"/>
          <w:lang w:eastAsia="en-GB"/>
        </w:rPr>
        <w:t>.</w:t>
      </w:r>
    </w:p>
    <w:p>
      <w:pPr>
        <w:pStyle w:val="111"/>
        <w:overflowPunct w:val="0"/>
        <w:autoSpaceDE w:val="0"/>
        <w:autoSpaceDN w:val="0"/>
        <w:adjustRightInd w:val="0"/>
        <w:contextualSpacing w:val="0"/>
        <w:textAlignment w:val="baseline"/>
        <w:rPr>
          <w:lang w:val="en-GB" w:eastAsia="en-GB"/>
        </w:rPr>
      </w:pPr>
      <w:r>
        <w:rPr>
          <w:rFonts w:hint="eastAsia"/>
          <w:lang w:eastAsia="en-GB"/>
        </w:rPr>
        <w:t>3.</w:t>
      </w:r>
      <w:r>
        <w:rPr>
          <w:rFonts w:hint="eastAsia"/>
          <w:lang w:eastAsia="en-GB"/>
        </w:rPr>
        <w:tab/>
      </w:r>
      <w:r>
        <w:rPr>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w:t>
      </w:r>
      <w:r>
        <w:rPr>
          <w:lang w:eastAsia="en-GB"/>
        </w:rPr>
        <w:t>4B</w:t>
      </w:r>
      <w:r>
        <w:rPr>
          <w:rFonts w:hint="eastAsia"/>
          <w:lang w:eastAsia="en-GB"/>
        </w:rPr>
        <w:t>.1.4.1-1.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9"/>
      </w:pPr>
      <w:r>
        <w:t>6.4B.1.4.2</w:t>
      </w:r>
      <w:r>
        <w:tab/>
      </w:r>
      <w:r>
        <w:t>Test procedure</w:t>
      </w:r>
    </w:p>
    <w:p>
      <w:pPr>
        <w:pStyle w:val="111"/>
        <w:overflowPunct w:val="0"/>
        <w:autoSpaceDE w:val="0"/>
        <w:autoSpaceDN w:val="0"/>
        <w:adjustRightInd w:val="0"/>
        <w:contextualSpacing w:val="0"/>
        <w:textAlignment w:val="baseline"/>
        <w:rPr>
          <w:lang w:eastAsia="en-GB"/>
        </w:rPr>
      </w:pPr>
      <w:r>
        <w:rPr>
          <w:lang w:eastAsia="en-GB"/>
        </w:rPr>
        <w:t>1</w:t>
      </w:r>
      <w:r>
        <w:rPr>
          <w:rFonts w:hint="eastAsia"/>
          <w:lang w:eastAsia="en-GB"/>
        </w:rPr>
        <w:t>.</w:t>
      </w:r>
      <w:r>
        <w:rPr>
          <w:rFonts w:hint="eastAsia"/>
          <w:lang w:eastAsia="en-GB"/>
        </w:rPr>
        <w:tab/>
      </w:r>
      <w:r>
        <w:rPr>
          <w:rFonts w:hint="eastAsia"/>
          <w:lang w:eastAsia="en-GB"/>
        </w:rPr>
        <w:t xml:space="preserve">UE location according to TS 36.508 [12] clause </w:t>
      </w:r>
      <w:r>
        <w:rPr>
          <w:lang w:eastAsia="en-GB"/>
        </w:rPr>
        <w:t>8.2</w:t>
      </w:r>
      <w:r>
        <w:rPr>
          <w:rFonts w:hint="eastAsia"/>
          <w:lang w:eastAsia="en-GB"/>
        </w:rPr>
        <w:t>.</w:t>
      </w:r>
      <w:r>
        <w:rPr>
          <w:lang w:eastAsia="en-GB"/>
        </w:rPr>
        <w:t>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rPr>
          <w:lang w:eastAsia="en-GB"/>
        </w:rPr>
      </w:pPr>
      <w:r>
        <w:rPr>
          <w:lang w:eastAsia="en-GB"/>
        </w:rPr>
        <w:t>2</w:t>
      </w:r>
      <w:r>
        <w:rPr>
          <w:rFonts w:hint="eastAsia"/>
          <w:lang w:eastAsia="en-GB"/>
        </w:rPr>
        <w:t>.</w:t>
      </w:r>
      <w:r>
        <w:rPr>
          <w:rFonts w:hint="eastAsia"/>
          <w:lang w:eastAsia="en-GB"/>
        </w:rPr>
        <w:tab/>
      </w:r>
      <w:r>
        <w:rPr>
          <w:rFonts w:hint="eastAsia"/>
          <w:lang w:eastAsia="en-GB"/>
        </w:rPr>
        <w:t xml:space="preserve">Test equipment shall emulate </w:t>
      </w:r>
      <w:r>
        <w:rPr>
          <w:rFonts w:hint="eastAsia"/>
          <w:color w:val="auto"/>
          <w:lang w:eastAsia="en-GB"/>
        </w:rPr>
        <w:t xml:space="preserve">the signal with doppler and delay according to ephemeris defined in TS 36.508 [12] table </w:t>
      </w:r>
      <w:r>
        <w:rPr>
          <w:color w:val="auto"/>
          <w:lang w:eastAsia="en-GB"/>
        </w:rPr>
        <w:t>8.2</w:t>
      </w:r>
      <w:r>
        <w:rPr>
          <w:rFonts w:hint="eastAsia"/>
          <w:color w:val="auto"/>
          <w:lang w:eastAsia="en-GB"/>
        </w:rPr>
        <w:t xml:space="preserve">.6.2.1-1 for GSO if UE supports only GSO or both GSO and NGSO satellites and table </w:t>
      </w:r>
      <w:r>
        <w:rPr>
          <w:color w:val="auto"/>
          <w:lang w:eastAsia="en-GB"/>
        </w:rPr>
        <w:t>8.2</w:t>
      </w:r>
      <w:r>
        <w:rPr>
          <w:rFonts w:hint="eastAsia"/>
          <w:color w:val="auto"/>
          <w:lang w:eastAsia="en-GB"/>
        </w:rPr>
        <w:t>.6.2.1-3 for NGSO (LEO-1200) if UE supports only NGSO satellites.</w:t>
      </w:r>
    </w:p>
    <w:p>
      <w:pPr>
        <w:pStyle w:val="111"/>
        <w:overflowPunct w:val="0"/>
        <w:autoSpaceDE w:val="0"/>
        <w:autoSpaceDN w:val="0"/>
        <w:adjustRightInd w:val="0"/>
        <w:contextualSpacing w:val="0"/>
        <w:textAlignment w:val="baseline"/>
        <w:rPr>
          <w:lang w:eastAsia="en-GB"/>
        </w:rPr>
      </w:pPr>
      <w:r>
        <w:rPr>
          <w:lang w:eastAsia="en-GB"/>
        </w:rPr>
        <w:t>3</w:t>
      </w:r>
      <w:r>
        <w:rPr>
          <w:rFonts w:hint="eastAsia"/>
          <w:lang w:eastAsia="en-GB"/>
        </w:rPr>
        <w:t>.</w:t>
      </w:r>
      <w:r>
        <w:rPr>
          <w:rFonts w:hint="eastAsia"/>
          <w:lang w:eastAsia="en-GB"/>
        </w:rPr>
        <w:tab/>
      </w:r>
      <w:r>
        <w:rPr>
          <w:lang w:eastAsia="en-GB"/>
        </w:rPr>
        <w:t xml:space="preserve">Deactivate UE prediction of satellite trajectory by any preconfigured means  </w:t>
      </w:r>
    </w:p>
    <w:p>
      <w:pPr>
        <w:pStyle w:val="111"/>
        <w:overflowPunct w:val="0"/>
        <w:autoSpaceDE w:val="0"/>
        <w:autoSpaceDN w:val="0"/>
        <w:adjustRightInd w:val="0"/>
        <w:contextualSpacing w:val="0"/>
        <w:textAlignment w:val="baseline"/>
        <w:rPr>
          <w:lang w:eastAsia="en-GB"/>
        </w:rPr>
      </w:pPr>
      <w:r>
        <w:rPr>
          <w:lang w:eastAsia="en-GB"/>
        </w:rPr>
        <w:t>4</w:t>
      </w:r>
      <w:r>
        <w:rPr>
          <w:rFonts w:hint="eastAsia"/>
          <w:lang w:eastAsia="en-GB"/>
        </w:rPr>
        <w:t>.</w:t>
      </w:r>
      <w:r>
        <w:rPr>
          <w:rFonts w:hint="eastAsia"/>
          <w:lang w:eastAsia="en-GB"/>
        </w:rPr>
        <w:tab/>
      </w:r>
      <w:r>
        <w:rPr>
          <w:lang w:eastAsia="en-GB"/>
        </w:rPr>
        <w:t>Ensure the UE is in State 2A-NB with CP CIoT Optimisation according to TS 36.508 [7] clause 8.1.5. Message contents are defined in clause 6.4B.1.4.3.</w:t>
      </w:r>
    </w:p>
    <w:p>
      <w:pPr>
        <w:pStyle w:val="111"/>
        <w:overflowPunct w:val="0"/>
        <w:autoSpaceDE w:val="0"/>
        <w:autoSpaceDN w:val="0"/>
        <w:adjustRightInd w:val="0"/>
        <w:contextualSpacing w:val="0"/>
        <w:textAlignment w:val="baseline"/>
        <w:rPr>
          <w:lang w:eastAsia="en-GB"/>
        </w:rPr>
      </w:pPr>
      <w:r>
        <w:rPr>
          <w:lang w:eastAsia="en-GB"/>
        </w:rPr>
        <w:t>5.</w:t>
      </w:r>
      <w:r>
        <w:rPr>
          <w:lang w:eastAsia="en-GB"/>
        </w:rPr>
        <w:tab/>
      </w:r>
      <w:r>
        <w:rPr>
          <w:lang w:eastAsia="en-GB"/>
        </w:rPr>
        <w:t>SS sends uplink scheduling information for each UL HARQ process via NPDCCH DCI format N0 for C_RNTI to schedule the UL RMC according to Table 6.4B.1.4.1-1, since the UE has no payload data to send, the UE transmit uplink MAC padding bits on the UL RMC. (UE should be already transmitting P</w:t>
      </w:r>
      <w:r>
        <w:rPr>
          <w:vertAlign w:val="baseline"/>
          <w:lang w:eastAsia="en-GB"/>
        </w:rPr>
        <w:t>UMAX</w:t>
      </w:r>
      <w:r>
        <w:rPr>
          <w:lang w:eastAsia="en-GB"/>
        </w:rPr>
        <w:t xml:space="preserve"> after Initial Conditions setting).</w:t>
      </w:r>
    </w:p>
    <w:p>
      <w:pPr>
        <w:pStyle w:val="111"/>
        <w:overflowPunct w:val="0"/>
        <w:autoSpaceDE w:val="0"/>
        <w:autoSpaceDN w:val="0"/>
        <w:adjustRightInd w:val="0"/>
        <w:contextualSpacing w:val="0"/>
        <w:textAlignment w:val="baseline"/>
        <w:rPr>
          <w:lang w:eastAsia="en-GB"/>
        </w:rPr>
      </w:pPr>
      <w:r>
        <w:rPr>
          <w:lang w:eastAsia="en-GB"/>
        </w:rPr>
        <w:t>6.</w:t>
      </w:r>
      <w:r>
        <w:rPr>
          <w:lang w:eastAsia="en-GB"/>
        </w:rPr>
        <w:tab/>
      </w:r>
      <w:r>
        <w:rPr>
          <w:lang w:eastAsia="en-GB"/>
        </w:rPr>
        <w:t>Set the Downlink signal level to the appropriate REFSENS value defined in Table 7.3B.5-1. For the DL signal, Narrowband IoT OCNG pattern 1 in Annex A.5.3.1 is used.</w:t>
      </w:r>
    </w:p>
    <w:p>
      <w:pPr>
        <w:pStyle w:val="111"/>
        <w:overflowPunct w:val="0"/>
        <w:autoSpaceDE w:val="0"/>
        <w:autoSpaceDN w:val="0"/>
        <w:adjustRightInd w:val="0"/>
        <w:contextualSpacing w:val="0"/>
        <w:textAlignment w:val="baseline"/>
        <w:rPr>
          <w:lang w:eastAsia="en-GB"/>
        </w:rPr>
      </w:pPr>
      <w:r>
        <w:rPr>
          <w:lang w:eastAsia="en-GB"/>
        </w:rPr>
        <w:t>7.</w:t>
      </w:r>
      <w:r>
        <w:rPr>
          <w:lang w:eastAsia="en-GB"/>
        </w:rPr>
        <w:tab/>
      </w:r>
      <w:r>
        <w:rPr>
          <w:lang w:eastAsia="en-GB"/>
        </w:rPr>
        <w:t xml:space="preserve">Measure the Frequency Error using Global In-Channel Tx-Test (Annex E). </w:t>
      </w:r>
    </w:p>
    <w:p>
      <w:pPr>
        <w:pStyle w:val="111"/>
        <w:overflowPunct w:val="0"/>
        <w:autoSpaceDE w:val="0"/>
        <w:autoSpaceDN w:val="0"/>
        <w:adjustRightInd w:val="0"/>
        <w:contextualSpacing w:val="0"/>
        <w:textAlignment w:val="baseline"/>
        <w:rPr>
          <w:lang w:eastAsia="en-GB"/>
        </w:rPr>
      </w:pPr>
      <w:r>
        <w:rPr>
          <w:lang w:eastAsia="en-GB"/>
        </w:rPr>
        <w:t>8.</w:t>
      </w:r>
      <w:r>
        <w:rPr>
          <w:lang w:eastAsia="en-GB"/>
        </w:rPr>
        <w:tab/>
      </w:r>
      <w:r>
        <w:rPr>
          <w:lang w:eastAsia="en-GB"/>
        </w:rPr>
        <w:t xml:space="preserve">Repeat from test procedure steps 1-7 </w:t>
      </w:r>
      <w:r>
        <w:rPr>
          <w:rFonts w:hint="eastAsia"/>
          <w:lang w:eastAsia="en-GB"/>
        </w:rPr>
        <w:t xml:space="preserve">with ephemeris values for maximum </w:t>
      </w:r>
      <w:r>
        <w:rPr>
          <w:rFonts w:hint="eastAsia"/>
          <w:color w:val="auto"/>
          <w:lang w:eastAsia="en-GB"/>
        </w:rPr>
        <w:t xml:space="preserve">positive </w:t>
      </w:r>
      <w:r>
        <w:rPr>
          <w:rFonts w:hint="eastAsia"/>
          <w:lang w:eastAsia="en-GB"/>
        </w:rPr>
        <w:t xml:space="preserve">Doppler </w:t>
      </w:r>
      <w:r>
        <w:rPr>
          <w:rFonts w:hint="eastAsia"/>
          <w:color w:val="auto"/>
          <w:lang w:eastAsia="en-GB"/>
        </w:rPr>
        <w:t>for GSO if UE supports only GSO or both GSO and NGSO satellites and for NGSO (LEO-600) if UE supports only NGSO satellites replacing ephemeris in step 2 by corresponding tables in section 6.4A.1.4.3</w:t>
      </w:r>
      <w:r>
        <w:rPr>
          <w:color w:val="auto"/>
          <w:lang w:eastAsia="en-GB"/>
        </w:rPr>
        <w:t xml:space="preserve">. </w:t>
      </w:r>
      <w:r>
        <w:rPr>
          <w:lang w:eastAsia="en-GB"/>
        </w:rPr>
        <w:t>Test system shall send same SIB31-NB information during this duration of each frequency error measurement</w:t>
      </w:r>
    </w:p>
    <w:p>
      <w:pPr>
        <w:pStyle w:val="111"/>
        <w:overflowPunct w:val="0"/>
        <w:autoSpaceDE w:val="0"/>
        <w:autoSpaceDN w:val="0"/>
        <w:adjustRightInd w:val="0"/>
        <w:contextualSpacing w:val="0"/>
        <w:textAlignment w:val="baseline"/>
        <w:rPr>
          <w:lang w:eastAsia="en-GB"/>
        </w:rPr>
      </w:pPr>
      <w:r>
        <w:rPr>
          <w:lang w:eastAsia="en-GB"/>
        </w:rPr>
        <w:t>9.</w:t>
      </w:r>
      <w:r>
        <w:rPr>
          <w:rFonts w:hint="eastAsia"/>
          <w:color w:val="auto"/>
          <w:lang w:eastAsia="en-GB"/>
        </w:rPr>
        <w:t xml:space="preserve"> Repeat from test procedure steps 1-</w:t>
      </w:r>
      <w:r>
        <w:rPr>
          <w:color w:val="auto"/>
          <w:lang w:eastAsia="en-GB"/>
        </w:rPr>
        <w:t>7</w:t>
      </w:r>
      <w:r>
        <w:rPr>
          <w:rFonts w:hint="eastAsia"/>
          <w:color w:val="auto"/>
          <w:lang w:eastAsia="en-GB"/>
        </w:rPr>
        <w:t xml:space="preserve"> with ephemeris values for maximum negative Doppler for GSO if UE supports only GSO or both GSO and NGSO satellites and for NGSO (LEO-600) if UE supports only NGSO satellites replacing ephemeris in step 2 by corresponding tables in section 6.4A.1.4.3. Test system shall send same SIB31</w:t>
      </w:r>
      <w:r>
        <w:rPr>
          <w:color w:val="auto"/>
          <w:lang w:eastAsia="en-GB"/>
        </w:rPr>
        <w:t>-NB</w:t>
      </w:r>
      <w:r>
        <w:rPr>
          <w:rFonts w:hint="eastAsia"/>
          <w:color w:val="auto"/>
          <w:lang w:eastAsia="en-GB"/>
        </w:rPr>
        <w:t xml:space="preserve"> information during the duration of each frequency error measurement.</w:t>
      </w:r>
    </w:p>
    <w:p>
      <w:pPr>
        <w:pStyle w:val="111"/>
        <w:overflowPunct w:val="0"/>
        <w:autoSpaceDE w:val="0"/>
        <w:autoSpaceDN w:val="0"/>
        <w:adjustRightInd w:val="0"/>
        <w:contextualSpacing w:val="0"/>
        <w:textAlignment w:val="baseline"/>
        <w:rPr>
          <w:lang w:eastAsia="en-GB"/>
        </w:rPr>
      </w:pPr>
      <w:r>
        <w:rPr>
          <w:lang w:eastAsia="en-GB"/>
        </w:rPr>
        <w:t>10.</w:t>
      </w:r>
      <w:r>
        <w:rPr>
          <w:lang w:eastAsia="en-GB"/>
        </w:rPr>
        <w:tab/>
      </w:r>
      <w:r>
        <w:rPr>
          <w:lang w:eastAsia="en-GB"/>
        </w:rPr>
        <w:t xml:space="preserve">Repeat from test procedure steps 1-7 </w:t>
      </w:r>
      <w:r>
        <w:rPr>
          <w:rFonts w:hint="eastAsia"/>
          <w:lang w:eastAsia="en-GB"/>
        </w:rPr>
        <w:t xml:space="preserve">with ephemeris values for half of maximum </w:t>
      </w:r>
      <w:r>
        <w:rPr>
          <w:rFonts w:hint="eastAsia"/>
          <w:color w:val="auto"/>
          <w:lang w:eastAsia="en-GB"/>
        </w:rPr>
        <w:t xml:space="preserve">positive </w:t>
      </w:r>
      <w:r>
        <w:rPr>
          <w:rFonts w:hint="eastAsia"/>
          <w:lang w:eastAsia="en-GB"/>
        </w:rPr>
        <w:t xml:space="preserve">Doppler </w:t>
      </w:r>
      <w:r>
        <w:rPr>
          <w:rFonts w:hint="eastAsia"/>
          <w:color w:val="auto"/>
          <w:lang w:eastAsia="en-GB"/>
        </w:rPr>
        <w:t>if UE supports only GSO or both GSO and NGSO satellites and for NGSO (LEO-600) if UE supports only NGSO satellites replacing ephemeris in step 2 by corresponding tables in section 6.4A.1.4.3.</w:t>
      </w:r>
      <w:r>
        <w:rPr>
          <w:color w:val="auto"/>
          <w:lang w:eastAsia="en-GB"/>
        </w:rPr>
        <w:t xml:space="preserve"> </w:t>
      </w:r>
      <w:r>
        <w:rPr>
          <w:lang w:eastAsia="en-GB"/>
        </w:rPr>
        <w:t>Test system shall send same SIB31-NB information during this duration of each frequency error measurement</w:t>
      </w:r>
    </w:p>
    <w:p>
      <w:pPr>
        <w:pStyle w:val="111"/>
        <w:overflowPunct w:val="0"/>
        <w:autoSpaceDE w:val="0"/>
        <w:autoSpaceDN w:val="0"/>
        <w:adjustRightInd w:val="0"/>
        <w:contextualSpacing w:val="0"/>
        <w:textAlignment w:val="baseline"/>
        <w:rPr>
          <w:lang w:eastAsia="en-GB"/>
        </w:rPr>
      </w:pPr>
      <w:r>
        <w:rPr>
          <w:lang w:eastAsia="en-GB"/>
        </w:rPr>
        <w:t>11.</w:t>
      </w:r>
      <w:r>
        <w:rPr>
          <w:lang w:eastAsia="en-GB"/>
        </w:rPr>
        <w:tab/>
      </w:r>
      <w:r>
        <w:rPr>
          <w:lang w:eastAsia="en-GB"/>
        </w:rPr>
        <w:t>In case the UE supports both GSO and NGSO satellites, repeat test procedure steps 8-10 for NGSO (LEO-600)</w:t>
      </w:r>
    </w:p>
    <w:p>
      <w:pPr>
        <w:pStyle w:val="100"/>
        <w:rPr>
          <w:lang w:eastAsia="zh-TW"/>
        </w:rPr>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rPr>
          <w:b/>
          <w:bCs/>
        </w:rPr>
      </w:pPr>
    </w:p>
    <w:p>
      <w:pPr>
        <w:pStyle w:val="9"/>
      </w:pPr>
      <w:r>
        <w:t>6.4B.1.4.3</w:t>
      </w:r>
      <w:r>
        <w:tab/>
      </w:r>
      <w:r>
        <w:t>Message contents</w:t>
      </w:r>
    </w:p>
    <w:p>
      <w:pPr>
        <w:rPr>
          <w:color w:val="000000" w:themeColor="text1"/>
          <w14:textFill>
            <w14:solidFill>
              <w14:schemeClr w14:val="tx1"/>
            </w14:solidFill>
          </w14:textFill>
        </w:rPr>
      </w:pPr>
      <w:r>
        <w:t>Message contents are according to TS 36.508 [12</w:t>
      </w:r>
      <w:r>
        <w:rPr>
          <w:color w:val="000000" w:themeColor="text1"/>
          <w14:textFill>
            <w14:solidFill>
              <w14:schemeClr w14:val="tx1"/>
            </w14:solidFill>
          </w14:textFill>
        </w:rPr>
        <w:t xml:space="preserve">] subclause </w:t>
      </w:r>
      <w:r>
        <w:rPr>
          <w:color w:val="000000" w:themeColor="text1"/>
          <w:lang w:eastAsia="zh-TW"/>
          <w14:textFill>
            <w14:solidFill>
              <w14:schemeClr w14:val="tx1"/>
            </w14:solidFill>
          </w14:textFill>
        </w:rPr>
        <w:t>8.1.6</w:t>
      </w:r>
      <w:r>
        <w:rPr>
          <w:color w:val="000000" w:themeColor="text1"/>
          <w14:textFill>
            <w14:solidFill>
              <w14:schemeClr w14:val="tx1"/>
            </w14:solidFill>
          </w14:textFill>
        </w:rPr>
        <w:t xml:space="preserve"> and 5.6.2</w:t>
      </w:r>
    </w:p>
    <w:p>
      <w:pPr>
        <w:pStyle w:val="113"/>
        <w:rPr>
          <w:color w:val="000000" w:themeColor="text1"/>
          <w14:textFill>
            <w14:solidFill>
              <w14:schemeClr w14:val="tx1"/>
            </w14:solidFill>
          </w14:textFill>
        </w:rPr>
      </w:pPr>
      <w:r>
        <w:rPr>
          <w:color w:val="000000" w:themeColor="text1"/>
          <w:lang w:eastAsia="en-GB"/>
          <w14:textFill>
            <w14:solidFill>
              <w14:schemeClr w14:val="tx1"/>
            </w14:solidFill>
          </w14:textFill>
        </w:rPr>
        <w:t>Table 6.4B.1.4.3-1a:</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SystemInformationBlockType31-NB NB-IoT NTN Ephemeris Information for GSO satellites (maximum positive Doppler) for NB-IoT NTN</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color w:val="000000" w:themeColor="text1"/>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w:t>
            </w:r>
            <w:r>
              <w:rPr>
                <w:b w:val="0"/>
                <w:bCs/>
                <w:color w:val="000000" w:themeColor="text1"/>
                <w14:textFill>
                  <w14:solidFill>
                    <w14:schemeClr w14:val="tx1"/>
                  </w14:solidFill>
                </w14:textFill>
              </w:rPr>
              <w:t>8.2.2.1.3-1</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lang w:eastAsia="fr-FR"/>
                <w14:textFill>
                  <w14:solidFill>
                    <w14:schemeClr w14:val="tx1"/>
                  </w14:solidFill>
                </w14:textFill>
              </w:rPr>
              <w:t>-17104941</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27550229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-607219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258</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299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6277</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eastAsia="en-GB"/>
                <w14:textFill>
                  <w14:solidFill>
                    <w14:schemeClr w14:val="tx1"/>
                  </w14:solidFill>
                </w14:textFill>
              </w:rPr>
            </w:pPr>
            <w:r>
              <w:rPr>
                <w:color w:val="000000" w:themeColor="text1"/>
                <w:lang w:eastAsia="fr-FR"/>
                <w14:textFill>
                  <w14:solidFill>
                    <w14:schemeClr w14:val="tx1"/>
                  </w14:solidFill>
                </w14:textFill>
              </w:rPr>
              <w:t>NOTE 1: Satellite-UE elevation angle equal to 26.15 degrees, one-way delay equal to 129.93 ms and Doppler equal to 0.17 ppm</w:t>
            </w:r>
          </w:p>
        </w:tc>
      </w:tr>
    </w:tbl>
    <w:p>
      <w:pPr>
        <w:rPr>
          <w:color w:val="000000" w:themeColor="text1"/>
          <w:lang w:eastAsia="en-GB"/>
          <w14:textFill>
            <w14:solidFill>
              <w14:schemeClr w14:val="tx1"/>
            </w14:solidFill>
          </w14:textFill>
        </w:rPr>
      </w:pPr>
    </w:p>
    <w:p>
      <w:pPr>
        <w:pStyle w:val="113"/>
        <w:rPr>
          <w:color w:val="000000" w:themeColor="text1"/>
          <w:sz w:val="22"/>
          <w:szCs w:val="22"/>
          <w14:textFill>
            <w14:solidFill>
              <w14:schemeClr w14:val="tx1"/>
            </w14:solidFill>
          </w14:textFill>
        </w:rPr>
      </w:pPr>
      <w:r>
        <w:rPr>
          <w:color w:val="000000" w:themeColor="text1"/>
          <w:lang w:eastAsia="en-GB"/>
          <w14:textFill>
            <w14:solidFill>
              <w14:schemeClr w14:val="tx1"/>
            </w14:solidFill>
          </w14:textFill>
        </w:rPr>
        <w:t>Table 6.4</w:t>
      </w:r>
      <w:r>
        <w:rPr>
          <w:b w:val="0"/>
          <w:bCs/>
          <w:color w:val="000000" w:themeColor="text1"/>
          <w:lang w:eastAsia="en-GB"/>
          <w14:textFill>
            <w14:solidFill>
              <w14:schemeClr w14:val="tx1"/>
            </w14:solidFill>
          </w14:textFill>
        </w:rPr>
        <w:t>B</w:t>
      </w:r>
      <w:r>
        <w:rPr>
          <w:color w:val="000000" w:themeColor="text1"/>
          <w:lang w:eastAsia="en-GB"/>
          <w14:textFill>
            <w14:solidFill>
              <w14:schemeClr w14:val="tx1"/>
            </w14:solidFill>
          </w14:textFill>
        </w:rPr>
        <w:t>.1.4.3-1b:</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 NB NB-IoT NTN Ephemeris Information for NGSO (LEO-600) satellites (maximum positive Doppler)</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bCs/>
                <w:color w:val="000000" w:themeColor="text1"/>
                <w:sz w:val="20"/>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w:t>
            </w:r>
            <w:r>
              <w:rPr>
                <w:b w:val="0"/>
                <w:bCs/>
                <w:color w:val="000000" w:themeColor="text1"/>
                <w14:textFill>
                  <w14:solidFill>
                    <w14:schemeClr w14:val="tx1"/>
                  </w14:solidFill>
                </w14:textFill>
              </w:rPr>
              <w:t>8.2.2.1.3-1</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14:textFill>
                  <w14:solidFill>
                    <w14:schemeClr w14:val="tx1"/>
                  </w14:solidFill>
                </w14:textFill>
              </w:rPr>
              <w:t>-2717617</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4550419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852799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6164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-19424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124281</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eastAsia="en-GB"/>
                <w14:textFill>
                  <w14:solidFill>
                    <w14:schemeClr w14:val="tx1"/>
                  </w14:solidFill>
                </w14:textFill>
              </w:rPr>
            </w:pPr>
            <w:r>
              <w:rPr>
                <w:color w:val="000000" w:themeColor="text1"/>
                <w14:textFill>
                  <w14:solidFill>
                    <w14:schemeClr w14:val="tx1"/>
                  </w14:solidFill>
                </w14:textFill>
              </w:rPr>
              <w:t>NOTE 1: Satellite-UE elevation angle equal to 10 degrees, one-way delay equal to 6.44 ms and Doppler equal to 22.65 ppm.</w:t>
            </w:r>
          </w:p>
        </w:tc>
      </w:tr>
    </w:tbl>
    <w:p>
      <w:pPr>
        <w:ind w:left="720"/>
        <w:jc w:val="left"/>
        <w:rPr>
          <w:highlight w:val="green"/>
        </w:rPr>
      </w:pPr>
    </w:p>
    <w:p>
      <w:pPr>
        <w:pStyle w:val="113"/>
        <w:rPr>
          <w:color w:val="000000" w:themeColor="text1"/>
          <w:sz w:val="22"/>
          <w:szCs w:val="22"/>
          <w14:textFill>
            <w14:solidFill>
              <w14:schemeClr w14:val="tx1"/>
            </w14:solidFill>
          </w14:textFill>
        </w:rPr>
      </w:pPr>
      <w:r>
        <w:rPr>
          <w:color w:val="000000" w:themeColor="text1"/>
          <w:lang w:eastAsia="en-GB"/>
          <w14:textFill>
            <w14:solidFill>
              <w14:schemeClr w14:val="tx1"/>
            </w14:solidFill>
          </w14:textFill>
        </w:rPr>
        <w:t>Table 6.4B.1.4.3-2a:</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SystemInformationBlockType31-NB NB-IoT NTN Ephemeris Information for GSO satellites (maximum negative Doppler)</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bCs/>
                <w:color w:val="000000" w:themeColor="text1"/>
                <w:sz w:val="20"/>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w:t>
            </w:r>
            <w:r>
              <w:rPr>
                <w:b w:val="0"/>
                <w:bCs/>
                <w:color w:val="000000" w:themeColor="text1"/>
                <w14:textFill>
                  <w14:solidFill>
                    <w14:schemeClr w14:val="tx1"/>
                  </w14:solidFill>
                </w14:textFill>
              </w:rPr>
              <w:t>8.2.2.1.3-1</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lang w:eastAsia="fr-FR"/>
                <w14:textFill>
                  <w14:solidFill>
                    <w14:schemeClr w14:val="tx1"/>
                  </w14:solidFill>
                </w14:textFill>
              </w:rPr>
              <w:t>-17061001</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lang w:eastAsia="fr-FR"/>
                <w14:textFill>
                  <w14:solidFill>
                    <w14:schemeClr w14:val="tx1"/>
                  </w14:solidFill>
                </w14:textFill>
              </w:rPr>
              <w:t>27582763</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-276165</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361</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160</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-6335</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14:textFill>
                  <w14:solidFill>
                    <w14:schemeClr w14:val="tx1"/>
                  </w14:solidFill>
                </w14:textFill>
              </w:rPr>
            </w:pPr>
            <w:r>
              <w:rPr>
                <w:color w:val="000000" w:themeColor="text1"/>
                <w14:textFill>
                  <w14:solidFill>
                    <w14:schemeClr w14:val="tx1"/>
                  </w14:solidFill>
                </w14:textFill>
              </w:rPr>
              <w:t>NOTE 1: Satellite-UE elevation angle equal to 26.78 degrees, one-way delay equal to 129.74 ms and Doppler equal to -0.17 ppm.</w:t>
            </w:r>
          </w:p>
        </w:tc>
      </w:tr>
    </w:tbl>
    <w:p>
      <w:pPr>
        <w:ind w:left="720"/>
        <w:jc w:val="left"/>
        <w:rPr>
          <w:highlight w:val="green"/>
        </w:rPr>
      </w:pPr>
    </w:p>
    <w:p>
      <w:pPr>
        <w:pStyle w:val="113"/>
        <w:rPr>
          <w:color w:val="000000" w:themeColor="text1"/>
          <w:sz w:val="22"/>
          <w:szCs w:val="22"/>
          <w14:textFill>
            <w14:solidFill>
              <w14:schemeClr w14:val="tx1"/>
            </w14:solidFill>
          </w14:textFill>
        </w:rPr>
      </w:pPr>
      <w:r>
        <w:rPr>
          <w:color w:val="000000" w:themeColor="text1"/>
          <w:lang w:eastAsia="en-GB"/>
          <w14:textFill>
            <w14:solidFill>
              <w14:schemeClr w14:val="tx1"/>
            </w14:solidFill>
          </w14:textFill>
        </w:rPr>
        <w:t>Table 6.4B.1.4.3-2b:</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SystemInformationBlockType31-NB NB-IoT NTN Ephemeris Information for NGSO (LEO-600) satellites (maximum negative Doppler)</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color w:val="000000" w:themeColor="text1"/>
                <w:szCs w:val="18"/>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w:t>
            </w:r>
            <w:r>
              <w:rPr>
                <w:b w:val="0"/>
                <w:bCs/>
                <w:color w:val="000000" w:themeColor="text1"/>
                <w14:textFill>
                  <w14:solidFill>
                    <w14:schemeClr w14:val="tx1"/>
                  </w14:solidFill>
                </w14:textFill>
              </w:rPr>
              <w:t xml:space="preserve">8.2.2.1.3-1 </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sz w:val="20"/>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14:textFill>
                  <w14:solidFill>
                    <w14:schemeClr w14:val="tx1"/>
                  </w14:solidFill>
                </w14:textFill>
              </w:rPr>
              <w:t>-2199272</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3404229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3535794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35394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-74414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94682</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14:textFill>
                  <w14:solidFill>
                    <w14:schemeClr w14:val="tx1"/>
                  </w14:solidFill>
                </w14:textFill>
              </w:rPr>
            </w:pPr>
            <w:r>
              <w:rPr>
                <w:color w:val="000000" w:themeColor="text1"/>
                <w14:textFill>
                  <w14:solidFill>
                    <w14:schemeClr w14:val="tx1"/>
                  </w14:solidFill>
                </w14:textFill>
              </w:rPr>
              <w:t>NOTE 1: Satellite-UE elevation angle equal to 169.97 degrees, one-way delay equal to 6.60 ms and Doppler equal to -22.62 ppm.</w:t>
            </w:r>
          </w:p>
        </w:tc>
      </w:tr>
    </w:tbl>
    <w:p>
      <w:pPr>
        <w:ind w:left="720"/>
        <w:jc w:val="left"/>
        <w:rPr>
          <w:highlight w:val="green"/>
        </w:rPr>
      </w:pPr>
    </w:p>
    <w:p>
      <w:pPr>
        <w:pStyle w:val="113"/>
        <w:rPr>
          <w:color w:val="000000" w:themeColor="text1"/>
          <w:sz w:val="22"/>
          <w:szCs w:val="22"/>
          <w14:textFill>
            <w14:solidFill>
              <w14:schemeClr w14:val="tx1"/>
            </w14:solidFill>
          </w14:textFill>
        </w:rPr>
      </w:pPr>
      <w:r>
        <w:rPr>
          <w:color w:val="000000" w:themeColor="text1"/>
          <w:lang w:eastAsia="en-GB"/>
          <w14:textFill>
            <w14:solidFill>
              <w14:schemeClr w14:val="tx1"/>
            </w14:solidFill>
          </w14:textFill>
        </w:rPr>
        <w:t>Table 6.4B.1.4.3-3a:</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SystemInformationBlockType31-NB NB-IoT NTN Ephemeris Information for GSO  satellites (maximum positive Doppler/2)</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color w:val="000000" w:themeColor="text1"/>
                <w:szCs w:val="18"/>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w:t>
            </w:r>
            <w:r>
              <w:rPr>
                <w:b w:val="0"/>
                <w:bCs/>
                <w:color w:val="000000" w:themeColor="text1"/>
                <w14:textFill>
                  <w14:solidFill>
                    <w14:schemeClr w14:val="tx1"/>
                  </w14:solidFill>
                </w14:textFill>
              </w:rPr>
              <w:t xml:space="preserve">8.2.2.1.3-1 </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sz w:val="20"/>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14:textFill>
                  <w14:solidFill>
                    <w14:schemeClr w14:val="tx1"/>
                  </w14:solidFill>
                </w14:textFill>
              </w:rPr>
              <w:t>-17062164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27354696</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-3544856</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-360</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164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2993</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14:textFill>
                  <w14:solidFill>
                    <w14:schemeClr w14:val="tx1"/>
                  </w14:solidFill>
                </w14:textFill>
              </w:rPr>
            </w:pPr>
            <w:r>
              <w:rPr>
                <w:color w:val="000000" w:themeColor="text1"/>
                <w14:textFill>
                  <w14:solidFill>
                    <w14:schemeClr w14:val="tx1"/>
                  </w14:solidFill>
                </w14:textFill>
              </w:rPr>
              <w:t>NOTE 1: Satellite-UE elevation angle equal to 20.61 degrees, one-way delay equal to 131.70 ms and Doppler equal to -0.085 ppm.</w:t>
            </w:r>
          </w:p>
        </w:tc>
      </w:tr>
    </w:tbl>
    <w:p>
      <w:pPr>
        <w:ind w:left="720"/>
        <w:jc w:val="left"/>
        <w:rPr>
          <w:highlight w:val="green"/>
        </w:rPr>
      </w:pPr>
    </w:p>
    <w:p>
      <w:pPr>
        <w:pStyle w:val="113"/>
        <w:rPr>
          <w:b w:val="0"/>
          <w:color w:val="000000" w:themeColor="text1"/>
          <w:sz w:val="22"/>
          <w:szCs w:val="22"/>
          <w14:textFill>
            <w14:solidFill>
              <w14:schemeClr w14:val="tx1"/>
            </w14:solidFill>
          </w14:textFill>
        </w:rPr>
      </w:pPr>
      <w:r>
        <w:rPr>
          <w:color w:val="000000" w:themeColor="text1"/>
          <w:lang w:eastAsia="en-GB"/>
          <w14:textFill>
            <w14:solidFill>
              <w14:schemeClr w14:val="tx1"/>
            </w14:solidFill>
          </w14:textFill>
        </w:rPr>
        <w:t>Table 6.4B.1.4.3-3b:</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SystemInformationBlockType31-NB – NB-IoT NTN Ephemeris Information for NGSO (LEO-600)  satellites (maximum positive Doppler/2)</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bCs/>
                <w:color w:val="000000" w:themeColor="text1"/>
                <w:szCs w:val="18"/>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w:t>
            </w:r>
            <w:r>
              <w:rPr>
                <w:b w:val="0"/>
                <w:bCs/>
                <w:color w:val="000000" w:themeColor="text1"/>
                <w14:textFill>
                  <w14:solidFill>
                    <w14:schemeClr w14:val="tx1"/>
                  </w14:solidFill>
                </w14:textFill>
              </w:rPr>
              <w:t xml:space="preserve">8.2.2.1.3-1 </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sz w:val="20"/>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14:textFill>
                  <w14:solidFill>
                    <w14:schemeClr w14:val="tx1"/>
                  </w14:solidFill>
                </w14:textFill>
              </w:rPr>
              <w:t>-2592823</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4245650</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2024520</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19359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-43278</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116553</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14:textFill>
                  <w14:solidFill>
                    <w14:schemeClr w14:val="tx1"/>
                  </w14:solidFill>
                </w14:textFill>
              </w:rPr>
            </w:pPr>
            <w:r>
              <w:rPr>
                <w:color w:val="000000" w:themeColor="text1"/>
                <w14:textFill>
                  <w14:solidFill>
                    <w14:schemeClr w14:val="tx1"/>
                  </w14:solidFill>
                </w14:textFill>
              </w:rPr>
              <w:t>NOTE 1: Satellite-UE elevation angle equal to 60.25 degrees, one-way delay equal to 2.30 ms and Doppler equal to 11.29 ppm</w:t>
            </w:r>
          </w:p>
        </w:tc>
      </w:tr>
    </w:tbl>
    <w:p/>
    <w:p>
      <w:pPr>
        <w:pStyle w:val="9"/>
      </w:pPr>
      <w:r>
        <w:t>6.4B.1.5</w:t>
      </w:r>
      <w:r>
        <w:tab/>
      </w:r>
      <w:r>
        <w:t>Test requirement</w:t>
      </w:r>
    </w:p>
    <w:p>
      <w:r>
        <w:t>The 20 frequency error Δf results must fulfil the test requirement:</w:t>
      </w:r>
    </w:p>
    <w:p>
      <w:pPr>
        <w:pStyle w:val="95"/>
        <w:jc w:val="center"/>
      </w:pPr>
      <w:r>
        <w:t>|Δf| ≤ (0.1 PPM + 15 Hz) (Carrier frequency &gt;1 GHz)</w:t>
      </w:r>
    </w:p>
    <w:p>
      <w:pPr>
        <w:pStyle w:val="95"/>
        <w:jc w:val="center"/>
      </w:pPr>
      <w:r>
        <w:t>|Δf| ≤ (0.2 PPM + 15 Hz) (Carrier frequency ≤1 GHz)</w:t>
      </w:r>
    </w:p>
    <w:p>
      <w:pPr>
        <w:rPr>
          <w:color w:val="000000" w:themeColor="text1"/>
          <w:lang w:eastAsia="zh-CN"/>
          <w14:textFill>
            <w14:solidFill>
              <w14:schemeClr w14:val="tx1"/>
            </w14:solidFill>
          </w14:textFill>
        </w:rPr>
      </w:pPr>
    </w:p>
    <w:bookmarkEnd w:id="684"/>
    <w:p>
      <w:pPr>
        <w:pStyle w:val="5"/>
      </w:pPr>
      <w:bookmarkStart w:id="733" w:name="_Toc2703"/>
      <w:bookmarkStart w:id="734" w:name="_Toc8837"/>
      <w:bookmarkStart w:id="735" w:name="_Toc120570051"/>
      <w:bookmarkStart w:id="736" w:name="_Toc4155"/>
      <w:bookmarkStart w:id="737" w:name="_Toc26824"/>
      <w:bookmarkStart w:id="738" w:name="_Toc121162843"/>
      <w:bookmarkStart w:id="739" w:name="_Toc4646"/>
      <w:bookmarkStart w:id="740" w:name="_Toc6152"/>
      <w:bookmarkStart w:id="741" w:name="_Toc24226"/>
      <w:bookmarkStart w:id="742" w:name="_Toc111062055"/>
      <w:r>
        <w:t>6.4B.2</w:t>
      </w:r>
      <w:r>
        <w:tab/>
      </w:r>
      <w:r>
        <w:t>Transmit modulation quality for Category NB1 and NB2</w:t>
      </w:r>
      <w:bookmarkEnd w:id="733"/>
      <w:bookmarkEnd w:id="734"/>
      <w:bookmarkEnd w:id="735"/>
      <w:bookmarkEnd w:id="736"/>
      <w:bookmarkEnd w:id="737"/>
      <w:bookmarkEnd w:id="738"/>
      <w:bookmarkEnd w:id="739"/>
      <w:bookmarkEnd w:id="740"/>
      <w:bookmarkEnd w:id="741"/>
      <w:bookmarkEnd w:id="742"/>
    </w:p>
    <w:p>
      <w:pPr>
        <w:pStyle w:val="6"/>
        <w:rPr>
          <w:lang w:val="en-US"/>
        </w:rPr>
      </w:pPr>
      <w:bookmarkStart w:id="743" w:name="_Toc30274"/>
      <w:bookmarkStart w:id="744" w:name="_Toc2387"/>
      <w:bookmarkStart w:id="745" w:name="_Toc22745"/>
      <w:bookmarkStart w:id="746" w:name="_Toc31758"/>
      <w:bookmarkStart w:id="747" w:name="_Toc14528"/>
      <w:r>
        <w:t>6.4B.2.1</w:t>
      </w:r>
      <w:r>
        <w:tab/>
      </w:r>
      <w:r>
        <w:t>Error Vector Magnitude (EVM) for Category NB1 and NB2</w:t>
      </w:r>
      <w:bookmarkEnd w:id="743"/>
      <w:bookmarkEnd w:id="744"/>
      <w:bookmarkEnd w:id="745"/>
      <w:bookmarkEnd w:id="746"/>
      <w:bookmarkEnd w:id="747"/>
    </w:p>
    <w:p>
      <w:pPr>
        <w:pStyle w:val="112"/>
        <w:rPr>
          <w:lang w:val="en-US"/>
        </w:rPr>
      </w:pPr>
      <w:r>
        <w:t>Editor’s Note: Addition to applicability spec is pending.</w:t>
      </w:r>
    </w:p>
    <w:p>
      <w:pPr>
        <w:pStyle w:val="9"/>
      </w:pPr>
      <w:r>
        <w:t>6.4B.2.1.1</w:t>
      </w:r>
      <w:r>
        <w:tab/>
      </w:r>
      <w:r>
        <w:t>Test purpose</w:t>
      </w:r>
    </w:p>
    <w:p>
      <w:pPr>
        <w:rPr>
          <w:rFonts w:eastAsia="MS Mincho" w:cs="v5.0.0"/>
        </w:rPr>
      </w:pPr>
      <w:r>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r>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pPr>
        <w:pStyle w:val="9"/>
      </w:pPr>
      <w:r>
        <w:t>6.4B.2.1.2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6.4B.2.1.3</w:t>
      </w:r>
      <w:r>
        <w:tab/>
      </w:r>
      <w:r>
        <w:t>Minimum conformance requirements</w:t>
      </w:r>
    </w:p>
    <w:p>
      <w:r>
        <w:t>The RMS average of the basic EVM measurements for 240/</w:t>
      </w:r>
      <w:r>
        <w:rPr>
          <w:i/>
        </w:rPr>
        <w:t>L</w:t>
      </w:r>
      <w:r>
        <w:rPr>
          <w:i/>
          <w:vertAlign w:val="subscript"/>
        </w:rPr>
        <w:t>Ctone</w:t>
      </w:r>
      <w:r>
        <w:t xml:space="preserve"> slots excluding any transient period for the average EVM case, where </w:t>
      </w:r>
      <w:r>
        <w:rPr>
          <w:i/>
        </w:rPr>
        <w:t>L</w:t>
      </w:r>
      <w:r>
        <w:rPr>
          <w:i/>
          <w:vertAlign w:val="subscript"/>
        </w:rPr>
        <w:t>Ctone</w:t>
      </w:r>
      <w:r>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pPr>
        <w:pStyle w:val="113"/>
      </w:pPr>
      <w:r>
        <w:t>Table 6.4B.2.1.3-1: Minimum requirements for Error Vector Magnitude</w:t>
      </w:r>
    </w:p>
    <w:tbl>
      <w:tblPr>
        <w:tblStyle w:val="89"/>
        <w:tblW w:w="92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1135"/>
        <w:gridCol w:w="2406"/>
        <w:gridCol w:w="2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4"/>
            </w:pPr>
            <w:r>
              <w:rPr>
                <w:rFonts w:cs="v5.0.0"/>
              </w:rPr>
              <w:br w:type="page"/>
            </w:r>
            <w:r>
              <w:rPr>
                <w:rFonts w:cs="v5.0.0"/>
              </w:rPr>
              <w:t>Parameter</w:t>
            </w:r>
          </w:p>
        </w:tc>
        <w:tc>
          <w:tcPr>
            <w:tcW w:w="1135" w:type="dxa"/>
          </w:tcPr>
          <w:p>
            <w:pPr>
              <w:pStyle w:val="104"/>
            </w:pPr>
            <w:r>
              <w:rPr>
                <w:rFonts w:cs="v5.0.0"/>
              </w:rPr>
              <w:t>Unit</w:t>
            </w:r>
          </w:p>
        </w:tc>
        <w:tc>
          <w:tcPr>
            <w:tcW w:w="2406" w:type="dxa"/>
          </w:tcPr>
          <w:p>
            <w:pPr>
              <w:pStyle w:val="104"/>
            </w:pPr>
            <w:r>
              <w:rPr>
                <w:rFonts w:cs="v5.0.0"/>
              </w:rPr>
              <w:t>Average EVM Level</w:t>
            </w:r>
          </w:p>
        </w:tc>
        <w:tc>
          <w:tcPr>
            <w:tcW w:w="2406" w:type="dxa"/>
          </w:tcPr>
          <w:p>
            <w:pPr>
              <w:pStyle w:val="104"/>
            </w:pPr>
            <w:r>
              <w:rPr>
                <w:rFonts w:cs="v5.0.0"/>
              </w:rPr>
              <w:t>Reference Signal EVM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256" w:type="dxa"/>
          </w:tcPr>
          <w:p>
            <w:pPr>
              <w:pStyle w:val="103"/>
            </w:pPr>
            <w:r>
              <w:t xml:space="preserve">BPSK </w:t>
            </w:r>
            <w:r>
              <w:rPr>
                <w:rFonts w:cs="v5.0.0"/>
              </w:rPr>
              <w:t xml:space="preserve">or QPSK </w:t>
            </w:r>
          </w:p>
        </w:tc>
        <w:tc>
          <w:tcPr>
            <w:tcW w:w="1135" w:type="dxa"/>
          </w:tcPr>
          <w:p>
            <w:pPr>
              <w:pStyle w:val="105"/>
            </w:pPr>
            <w:r>
              <w:rPr>
                <w:rFonts w:cs="v5.0.0"/>
              </w:rPr>
              <w:t>%</w:t>
            </w:r>
          </w:p>
        </w:tc>
        <w:tc>
          <w:tcPr>
            <w:tcW w:w="2406" w:type="dxa"/>
          </w:tcPr>
          <w:p>
            <w:pPr>
              <w:pStyle w:val="105"/>
            </w:pPr>
            <w:r>
              <w:rPr>
                <w:rFonts w:cs="v5.0.0"/>
              </w:rPr>
              <w:t>17.5</w:t>
            </w:r>
          </w:p>
        </w:tc>
        <w:tc>
          <w:tcPr>
            <w:tcW w:w="2406" w:type="dxa"/>
          </w:tcPr>
          <w:p>
            <w:pPr>
              <w:pStyle w:val="105"/>
            </w:pPr>
            <w:r>
              <w:rPr>
                <w:rFonts w:cs="v5.0.0"/>
              </w:rPr>
              <w:t>17.5</w:t>
            </w:r>
          </w:p>
        </w:tc>
      </w:tr>
    </w:tbl>
    <w:p/>
    <w:p>
      <w:pPr>
        <w:pStyle w:val="113"/>
      </w:pPr>
      <w:r>
        <w:t>Table 6.4B.2.1.3-2: Parameters for Error Vector Magnitude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66"/>
        <w:gridCol w:w="1135"/>
        <w:gridCol w:w="2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4"/>
            </w:pPr>
            <w:r>
              <w:br w:type="page"/>
            </w:r>
            <w:r>
              <w:t>Parameter</w:t>
            </w:r>
          </w:p>
        </w:tc>
        <w:tc>
          <w:tcPr>
            <w:tcW w:w="1135" w:type="dxa"/>
          </w:tcPr>
          <w:p>
            <w:pPr>
              <w:pStyle w:val="104"/>
            </w:pPr>
            <w:r>
              <w:t>Unit</w:t>
            </w:r>
          </w:p>
        </w:tc>
        <w:tc>
          <w:tcPr>
            <w:tcW w:w="2630" w:type="dxa"/>
          </w:tcPr>
          <w:p>
            <w:pPr>
              <w:pStyle w:val="104"/>
            </w:pPr>
            <w:r>
              <w:t>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166" w:type="dxa"/>
          </w:tcPr>
          <w:p>
            <w:pPr>
              <w:pStyle w:val="103"/>
            </w:pPr>
            <w:r>
              <w:rPr>
                <w:rFonts w:cs="v5.0.0"/>
              </w:rPr>
              <w:t>UE Output Power</w:t>
            </w:r>
          </w:p>
        </w:tc>
        <w:tc>
          <w:tcPr>
            <w:tcW w:w="1135" w:type="dxa"/>
          </w:tcPr>
          <w:p>
            <w:pPr>
              <w:pStyle w:val="105"/>
            </w:pPr>
            <w:r>
              <w:t>dBm</w:t>
            </w:r>
          </w:p>
        </w:tc>
        <w:tc>
          <w:tcPr>
            <w:tcW w:w="2630" w:type="dxa"/>
          </w:tcPr>
          <w:p>
            <w:pPr>
              <w:pStyle w:val="105"/>
            </w:pPr>
            <w:r>
              <w:rPr/>
              <w:sym w:font="Symbol" w:char="F0B3"/>
            </w:r>
            <w:r>
              <w:t xml:space="preserve"> -40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3"/>
            </w:pPr>
            <w:r>
              <w:rPr>
                <w:rFonts w:cs="v5.0.0"/>
              </w:rPr>
              <w:t>Operating conditions</w:t>
            </w:r>
          </w:p>
        </w:tc>
        <w:tc>
          <w:tcPr>
            <w:tcW w:w="1135" w:type="dxa"/>
          </w:tcPr>
          <w:p>
            <w:pPr>
              <w:pStyle w:val="105"/>
            </w:pPr>
          </w:p>
        </w:tc>
        <w:tc>
          <w:tcPr>
            <w:tcW w:w="2630" w:type="dxa"/>
          </w:tcPr>
          <w:p>
            <w:pPr>
              <w:pStyle w:val="105"/>
            </w:pPr>
            <w:r>
              <w:t>Normal conditions</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6.4B.2.</w:t>
      </w:r>
    </w:p>
    <w:p>
      <w:pPr>
        <w:pStyle w:val="9"/>
      </w:pPr>
      <w:r>
        <w:t>6.4B.2.1.4</w:t>
      </w:r>
      <w:r>
        <w:tab/>
      </w:r>
      <w:r>
        <w:t>Test description</w:t>
      </w:r>
    </w:p>
    <w:p>
      <w:pPr>
        <w:pStyle w:val="9"/>
      </w:pPr>
      <w:r>
        <w:t>6.4B.2.1.4.1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r>
        <w:rPr>
          <w:rFonts w:cs="v5.0.0"/>
        </w:rPr>
        <w:t>Configurations of NPDSCH and NPDCCH before measurement are specified in</w:t>
      </w:r>
      <w:r>
        <w:t xml:space="preserve"> </w:t>
      </w:r>
      <w:r>
        <w:rPr>
          <w:rFonts w:cs="v5.0.0"/>
        </w:rPr>
        <w:t>Annex C.2.</w:t>
      </w:r>
    </w:p>
    <w:p>
      <w:pPr>
        <w:pStyle w:val="113"/>
      </w:pPr>
      <w:r>
        <w:t xml:space="preserve">Table 6.4B.2.1.4.1-1: Test Configuration for NPUSCH for FDD </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2410"/>
        <w:gridCol w:w="1275"/>
        <w:gridCol w:w="1843"/>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Environment as specified in</w:t>
            </w:r>
          </w:p>
          <w:p>
            <w:pPr>
              <w:pStyle w:val="103"/>
            </w:pPr>
            <w:r>
              <w:rPr>
                <w:rFonts w:eastAsia="微软雅黑" w:cs="Arial"/>
              </w:rPr>
              <w:t>TS 36.508[12] subclause 8.1.1</w:t>
            </w:r>
          </w:p>
        </w:tc>
        <w:tc>
          <w:tcPr>
            <w:tcW w:w="5494"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Frequencies as specified in</w:t>
            </w:r>
          </w:p>
          <w:p>
            <w:pPr>
              <w:pStyle w:val="103"/>
            </w:pPr>
            <w:r>
              <w:rPr>
                <w:rFonts w:eastAsia="微软雅黑" w:cs="Arial"/>
              </w:rPr>
              <w:t>TS 36.508 [12] subclause 8.1.3.1</w:t>
            </w:r>
          </w:p>
        </w:tc>
        <w:tc>
          <w:tcPr>
            <w:tcW w:w="5494" w:type="dxa"/>
            <w:gridSpan w:val="3"/>
          </w:tcPr>
          <w:p>
            <w:pPr>
              <w:pStyle w:val="103"/>
            </w:pPr>
            <w:r>
              <w:rPr>
                <w:rFonts w:eastAsia="微软雅黑" w:cs="Arial"/>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rPr>
                <w:b/>
              </w:rPr>
            </w:pPr>
            <w:r>
              <w:rPr>
                <w:rFonts w:eastAsia="微软雅黑" w:cs="Arial"/>
                <w:b/>
                <w:bCs/>
              </w:rPr>
              <w:t>Configuration ID</w:t>
            </w:r>
          </w:p>
        </w:tc>
        <w:tc>
          <w:tcPr>
            <w:tcW w:w="2410" w:type="dxa"/>
          </w:tcPr>
          <w:p>
            <w:pPr>
              <w:pStyle w:val="103"/>
              <w:jc w:val="center"/>
              <w:rPr>
                <w:b/>
              </w:rPr>
            </w:pPr>
            <w:r>
              <w:rPr>
                <w:b/>
              </w:rPr>
              <w:t>Downlink Configuration</w:t>
            </w:r>
          </w:p>
        </w:tc>
        <w:tc>
          <w:tcPr>
            <w:tcW w:w="5494" w:type="dxa"/>
            <w:gridSpan w:val="3"/>
          </w:tcPr>
          <w:p>
            <w:pPr>
              <w:pStyle w:val="103"/>
              <w:jc w:val="center"/>
              <w:rPr>
                <w:b/>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p>
        </w:tc>
        <w:tc>
          <w:tcPr>
            <w:tcW w:w="2410" w:type="dxa"/>
            <w:vMerge w:val="restart"/>
          </w:tcPr>
          <w:p>
            <w:pPr>
              <w:pStyle w:val="103"/>
              <w:jc w:val="center"/>
            </w:pPr>
            <w:r>
              <w:t>N/A</w:t>
            </w:r>
          </w:p>
        </w:tc>
        <w:tc>
          <w:tcPr>
            <w:tcW w:w="1275" w:type="dxa"/>
          </w:tcPr>
          <w:p>
            <w:pPr>
              <w:pStyle w:val="103"/>
              <w:jc w:val="center"/>
            </w:pPr>
            <w:r>
              <w:rPr>
                <w:rFonts w:eastAsia="微软雅黑" w:cs="Arial"/>
              </w:rPr>
              <w:t>Modulation</w:t>
            </w:r>
          </w:p>
        </w:tc>
        <w:tc>
          <w:tcPr>
            <w:tcW w:w="1843" w:type="dxa"/>
          </w:tcPr>
          <w:p>
            <w:pPr>
              <w:pStyle w:val="103"/>
              <w:jc w:val="center"/>
            </w:pPr>
            <w:r>
              <w:rPr>
                <w:rFonts w:eastAsia="微软雅黑" w:cs="Arial"/>
              </w:rPr>
              <w:t>N</w:t>
            </w:r>
            <w:r>
              <w:rPr>
                <w:rFonts w:eastAsia="微软雅黑" w:cs="Arial"/>
                <w:vertAlign w:val="subscript"/>
              </w:rPr>
              <w:t>tones</w:t>
            </w:r>
            <w:r>
              <w:rPr>
                <w:rFonts w:eastAsia="微软雅黑" w:cs="Arial"/>
              </w:rPr>
              <w:t>, start position</w:t>
            </w:r>
          </w:p>
        </w:tc>
        <w:tc>
          <w:tcPr>
            <w:tcW w:w="2376" w:type="dxa"/>
          </w:tcPr>
          <w:p>
            <w:pPr>
              <w:pStyle w:val="103"/>
              <w:jc w:val="center"/>
            </w:pPr>
            <w:r>
              <w:rPr>
                <w:rFonts w:eastAsia="微软雅黑" w:cs="Arial"/>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1</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eastAsia="微软雅黑" w:cs="Arial"/>
              </w:rPr>
              <w:t>1@0</w:t>
            </w:r>
          </w:p>
        </w:tc>
        <w:tc>
          <w:tcPr>
            <w:tcW w:w="2376" w:type="dxa"/>
          </w:tcPr>
          <w:p>
            <w:pPr>
              <w:pStyle w:val="103"/>
              <w:jc w:val="cente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2</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1@47</w:t>
            </w:r>
          </w:p>
        </w:tc>
        <w:tc>
          <w:tcPr>
            <w:tcW w:w="2376" w:type="dxa"/>
          </w:tcPr>
          <w:p>
            <w:pPr>
              <w:pStyle w:val="103"/>
              <w:jc w:val="cente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3</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eastAsia="微软雅黑" w:cs="Arial"/>
              </w:rPr>
              <w:t>1@0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4</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1@11</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 xml:space="preserve">5 </w:t>
            </w:r>
            <w:r>
              <w:rPr>
                <w:rFonts w:cs="Arial"/>
              </w:rPr>
              <w:t>(</w:t>
            </w:r>
            <w:r>
              <w:rPr>
                <w:rFonts w:eastAsia="微软雅黑" w:cs="Arial"/>
              </w:rPr>
              <w:t>Note 1</w:t>
            </w:r>
            <w:r>
              <w:rPr>
                <w:rFonts w:cs="Arial"/>
              </w:rPr>
              <w:t>)</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12@0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pPr>
            <w:r>
              <w:rPr>
                <w:rFonts w:eastAsia="微软雅黑"/>
              </w:rPr>
              <w:t>Note 1: Applicable to UE supporting UL multi-tone transmissions</w:t>
            </w:r>
          </w:p>
        </w:tc>
      </w:tr>
    </w:tbl>
    <w:p/>
    <w:p>
      <w:pPr>
        <w:pStyle w:val="113"/>
      </w:pPr>
      <w:r>
        <w:t xml:space="preserve">Table 6.4B.2.1.4.1-2: Test Configuration for NPRACH for FDD </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2"/>
          </w:tcPr>
          <w:p>
            <w:pPr>
              <w:keepNext/>
              <w:keepLines/>
              <w:spacing w:after="0"/>
              <w:jc w:val="center"/>
              <w:rPr>
                <w:rFonts w:ascii="Arial" w:hAnsi="Arial"/>
                <w:b/>
                <w:sz w:val="18"/>
              </w:rPr>
            </w:pPr>
            <w:r>
              <w:rPr>
                <w:rFonts w:ascii="Arial" w:hAnsi="Arial" w:cs="v5.0.0"/>
                <w:b/>
                <w:bCs/>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keepNext/>
              <w:keepLines/>
              <w:spacing w:after="0"/>
              <w:rPr>
                <w:rFonts w:ascii="Arial" w:hAnsi="Arial"/>
                <w:sz w:val="18"/>
              </w:rPr>
            </w:pPr>
            <w:r>
              <w:rPr>
                <w:rFonts w:ascii="Arial" w:hAnsi="Arial"/>
                <w:sz w:val="18"/>
              </w:rPr>
              <w:t>Test Environment</w:t>
            </w:r>
          </w:p>
          <w:p>
            <w:pPr>
              <w:keepNext/>
              <w:keepLines/>
              <w:spacing w:after="0"/>
              <w:rPr>
                <w:rFonts w:ascii="Arial" w:hAnsi="Arial"/>
                <w:bCs/>
                <w:sz w:val="18"/>
              </w:rPr>
            </w:pPr>
            <w:r>
              <w:rPr>
                <w:rFonts w:ascii="Arial" w:hAnsi="Arial"/>
                <w:sz w:val="18"/>
              </w:rPr>
              <w:t>(as specified in TS 36.508 [12] subclause 8.1.1)</w:t>
            </w:r>
          </w:p>
        </w:tc>
        <w:tc>
          <w:tcPr>
            <w:tcW w:w="3495" w:type="dxa"/>
            <w:vAlign w:val="center"/>
          </w:tcPr>
          <w:p>
            <w:pPr>
              <w:keepNext/>
              <w:keepLines/>
              <w:spacing w:after="0"/>
              <w:rPr>
                <w:rFonts w:ascii="Arial" w:hAnsi="Arial"/>
                <w:sz w:val="18"/>
              </w:rPr>
            </w:pPr>
            <w:r>
              <w:rPr>
                <w:rFonts w:ascii="Arial" w:hAnsi="Arial"/>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keepNext/>
              <w:keepLines/>
              <w:spacing w:after="0"/>
              <w:rPr>
                <w:rFonts w:ascii="Arial" w:hAnsi="Arial"/>
                <w:sz w:val="18"/>
              </w:rPr>
            </w:pPr>
            <w:r>
              <w:rPr>
                <w:rFonts w:ascii="Arial" w:hAnsi="Arial"/>
                <w:bCs/>
                <w:sz w:val="18"/>
              </w:rPr>
              <w:t>Test Frequencies</w:t>
            </w:r>
          </w:p>
          <w:p>
            <w:pPr>
              <w:keepNext/>
              <w:keepLines/>
              <w:spacing w:after="0"/>
              <w:rPr>
                <w:rFonts w:ascii="Arial" w:hAnsi="Arial"/>
                <w:sz w:val="18"/>
              </w:rPr>
            </w:pPr>
            <w:r>
              <w:rPr>
                <w:rFonts w:ascii="Arial" w:hAnsi="Arial"/>
                <w:sz w:val="18"/>
              </w:rPr>
              <w:t>(as specified in TS36.508 [12] subclause 8.1.3.1)</w:t>
            </w:r>
          </w:p>
        </w:tc>
        <w:tc>
          <w:tcPr>
            <w:tcW w:w="3495" w:type="dxa"/>
            <w:vAlign w:val="center"/>
          </w:tcPr>
          <w:p>
            <w:pPr>
              <w:keepNext/>
              <w:keepLines/>
              <w:spacing w:after="0"/>
              <w:rPr>
                <w:rFonts w:ascii="Arial" w:hAnsi="Arial"/>
                <w:sz w:val="18"/>
              </w:rPr>
            </w:pPr>
            <w:r>
              <w:rPr>
                <w:rFonts w:ascii="Arial" w:hAnsi="Arial"/>
                <w:sz w:val="18"/>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keepNext/>
              <w:keepLines/>
              <w:spacing w:after="0"/>
              <w:rPr>
                <w:rFonts w:ascii="Arial" w:hAnsi="Arial"/>
                <w:sz w:val="18"/>
              </w:rPr>
            </w:pPr>
            <w:r>
              <w:rPr>
                <w:rFonts w:ascii="Arial" w:hAnsi="Arial"/>
                <w:bCs/>
                <w:sz w:val="18"/>
              </w:rPr>
              <w:t>NPRACH preamble format</w:t>
            </w:r>
          </w:p>
        </w:tc>
        <w:tc>
          <w:tcPr>
            <w:tcW w:w="3495" w:type="dxa"/>
            <w:vAlign w:val="center"/>
          </w:tcPr>
          <w:p>
            <w:pPr>
              <w:keepNext/>
              <w:keepLines/>
              <w:spacing w:after="0"/>
              <w:rPr>
                <w:rFonts w:ascii="Arial" w:hAnsi="Arial"/>
                <w:sz w:val="18"/>
              </w:rPr>
            </w:pPr>
            <w:r>
              <w:rPr>
                <w:rFonts w:ascii="Arial" w:hAnsi="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keepNext/>
              <w:keepLines/>
              <w:spacing w:after="0"/>
              <w:rPr>
                <w:rFonts w:ascii="Arial" w:hAnsi="Arial"/>
                <w:sz w:val="18"/>
              </w:rPr>
            </w:pPr>
            <w:r>
              <w:rPr>
                <w:rFonts w:ascii="Arial" w:hAnsi="Arial"/>
                <w:sz w:val="18"/>
              </w:rPr>
              <w:t>NRS EPRE setting for test point (dBm/15kHz)</w:t>
            </w:r>
          </w:p>
        </w:tc>
        <w:tc>
          <w:tcPr>
            <w:tcW w:w="3495" w:type="dxa"/>
            <w:vAlign w:val="center"/>
          </w:tcPr>
          <w:p>
            <w:pPr>
              <w:keepNext/>
              <w:keepLines/>
              <w:spacing w:after="0"/>
              <w:rPr>
                <w:rFonts w:ascii="Arial" w:hAnsi="Arial"/>
                <w:sz w:val="18"/>
              </w:rPr>
            </w:pPr>
            <w:r>
              <w:rPr>
                <w:rFonts w:ascii="Arial" w:hAnsi="Arial"/>
                <w:sz w:val="18"/>
              </w:rPr>
              <w:t>-110</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 and uplink signals according to Annex H.</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6.4B.2.1.4.1-1.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color w:val="000000" w:themeColor="text1"/>
          <w:lang w:eastAsia="en-GB"/>
          <w14:textFill>
            <w14:solidFill>
              <w14:schemeClr w14:val="tx1"/>
            </w14:solidFill>
          </w14:textFill>
        </w:rPr>
      </w:pPr>
      <w:r>
        <w:rPr>
          <w:rFonts w:hint="eastAsia"/>
          <w:lang w:eastAsia="en-GB"/>
        </w:rPr>
        <w:t>6</w:t>
      </w:r>
      <w:r>
        <w:rPr>
          <w:lang w:eastAsia="en-GB"/>
        </w:rPr>
        <w:t>.</w:t>
      </w:r>
      <w:r>
        <w:rPr>
          <w:lang w:eastAsia="en-GB"/>
        </w:rPr>
        <w:tab/>
      </w:r>
      <w:r>
        <w:rPr>
          <w:rFonts w:hint="eastAsia"/>
          <w:lang w:eastAsia="en-GB"/>
        </w:rPr>
        <w:t>UE location accordin</w:t>
      </w:r>
      <w:r>
        <w:rPr>
          <w:rFonts w:hint="eastAsia"/>
          <w:color w:val="000000" w:themeColor="text1"/>
          <w:lang w:eastAsia="en-GB"/>
          <w14:textFill>
            <w14:solidFill>
              <w14:schemeClr w14:val="tx1"/>
            </w14:solidFill>
          </w14:textFill>
        </w:rPr>
        <w:t>g to TS 36.508 [12] clause 8.2.6.1 is provided to the UE through any preconfigured means.</w:t>
      </w:r>
    </w:p>
    <w:p>
      <w:pPr>
        <w:pStyle w:val="111"/>
        <w:overflowPunct w:val="0"/>
        <w:autoSpaceDE w:val="0"/>
        <w:autoSpaceDN w:val="0"/>
        <w:adjustRightInd w:val="0"/>
        <w:contextualSpacing w:val="0"/>
        <w:textAlignment w:val="baseline"/>
      </w:pPr>
      <w:r>
        <w:rPr>
          <w:rFonts w:hint="eastAsia"/>
          <w:color w:val="000000" w:themeColor="text1"/>
          <w:lang w:eastAsia="en-GB"/>
          <w14:textFill>
            <w14:solidFill>
              <w14:schemeClr w14:val="tx1"/>
            </w14:solidFill>
          </w14:textFill>
        </w:rPr>
        <w:t>7</w:t>
      </w:r>
      <w:r>
        <w:rPr>
          <w:color w:val="000000" w:themeColor="text1"/>
          <w:lang w:eastAsia="en-GB"/>
          <w14:textFill>
            <w14:solidFill>
              <w14:schemeClr w14:val="tx1"/>
            </w14:solidFill>
          </w14:textFill>
        </w:rPr>
        <w:t>.</w:t>
      </w:r>
      <w:r>
        <w:rPr>
          <w:color w:val="000000" w:themeColor="text1"/>
          <w:lang w:eastAsia="en-GB"/>
          <w14:textFill>
            <w14:solidFill>
              <w14:schemeClr w14:val="tx1"/>
            </w14:solidFill>
          </w14:textFill>
        </w:rPr>
        <w:tab/>
      </w:r>
      <w:r>
        <w:rPr>
          <w:color w:val="000000" w:themeColor="text1"/>
          <w14:textFill>
            <w14:solidFill>
              <w14:schemeClr w14:val="tx1"/>
            </w14:solidFill>
          </w14:textFill>
        </w:rPr>
        <w:t xml:space="preserve">Test equipment shall emulate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w:t>
      </w:r>
      <w:r>
        <w:t>ring the duration of the test as define in TS 36.508[12] clause 8.2.6.3.1</w:t>
      </w:r>
    </w:p>
    <w:p>
      <w:pPr>
        <w:pStyle w:val="111"/>
        <w:overflowPunct w:val="0"/>
        <w:autoSpaceDE w:val="0"/>
        <w:autoSpaceDN w:val="0"/>
        <w:adjustRightInd w:val="0"/>
        <w:contextualSpacing w:val="0"/>
        <w:textAlignment w:val="baseline"/>
        <w:rPr>
          <w:lang w:eastAsia="en-GB"/>
        </w:rPr>
      </w:pPr>
      <w:r>
        <w:rPr>
          <w:rFonts w:hint="eastAsia"/>
        </w:rPr>
        <w:t>8</w:t>
      </w:r>
      <w:r>
        <w:t>.</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State 2A-NB with CP CIoT Optimisation to TS 36.508 [12] clause 8.1.5. Message contents are defined in clause 6.4B.2.1.4.3.</w:t>
      </w:r>
    </w:p>
    <w:p>
      <w:pPr>
        <w:pStyle w:val="9"/>
      </w:pPr>
      <w:r>
        <w:t>6.4B.2.1.4.2</w:t>
      </w:r>
      <w:r>
        <w:tab/>
      </w:r>
      <w:r>
        <w:t>Test procedure</w:t>
      </w:r>
    </w:p>
    <w:p>
      <w:r>
        <w:t>Test procedure for NPUSCH:</w:t>
      </w:r>
    </w:p>
    <w:p>
      <w:pPr>
        <w:pStyle w:val="111"/>
        <w:overflowPunct w:val="0"/>
        <w:autoSpaceDE w:val="0"/>
        <w:autoSpaceDN w:val="0"/>
        <w:adjustRightInd w:val="0"/>
        <w:contextualSpacing w:val="0"/>
        <w:textAlignment w:val="baseline"/>
        <w:rPr>
          <w:lang w:eastAsia="en-GB"/>
        </w:rPr>
      </w:pPr>
      <w:r>
        <w:rPr>
          <w:rFonts w:hint="eastAsia"/>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r>
      <w:r>
        <w:rPr>
          <w:rFonts w:hint="eastAsia"/>
          <w:lang w:eastAsia="en-GB"/>
        </w:rPr>
        <w:t>Configure the UE to transmit at PUMAX level.</w:t>
      </w:r>
    </w:p>
    <w:p>
      <w:pPr>
        <w:pStyle w:val="11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r>
      <w:r>
        <w:rPr>
          <w:rFonts w:hint="eastAsia"/>
          <w:lang w:eastAsia="en-GB"/>
        </w:rPr>
        <w:t xml:space="preserve">Measure the EVM and </w:t>
      </w:r>
      <w:r>
        <w:rPr>
          <w:rFonts w:hint="eastAsia"/>
          <w:lang w:eastAsia="en-GB"/>
        </w:rPr>
        <w:object>
          <v:shape id="_x0000_i1057"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57" DrawAspect="Content" ObjectID="_1468075757" r:id="rId71">
            <o:LockedField>false</o:LockedField>
          </o:OLEObject>
        </w:object>
      </w:r>
      <w:r>
        <w:rPr>
          <w:rFonts w:hint="eastAsia"/>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pPr>
        <w:pStyle w:val="111"/>
        <w:overflowPunct w:val="0"/>
        <w:autoSpaceDE w:val="0"/>
        <w:autoSpaceDN w:val="0"/>
        <w:adjustRightInd w:val="0"/>
        <w:textAlignment w:val="baseline"/>
        <w:rPr>
          <w:lang w:eastAsia="en-GB"/>
        </w:rPr>
      </w:pPr>
      <w:r>
        <w:rPr>
          <w:rFonts w:hint="eastAsia"/>
          <w:lang w:eastAsia="en-GB"/>
        </w:rPr>
        <w:t>1.4 Release the connection through State 3A-NB.</w:t>
      </w:r>
    </w:p>
    <w:p>
      <w:pPr>
        <w:pStyle w:val="111"/>
        <w:overflowPunct w:val="0"/>
        <w:autoSpaceDE w:val="0"/>
        <w:autoSpaceDN w:val="0"/>
        <w:adjustRightInd w:val="0"/>
        <w:textAlignment w:val="baseline"/>
        <w:rPr>
          <w:lang w:eastAsia="en-GB"/>
        </w:rPr>
      </w:pPr>
      <w:r>
        <w:rPr>
          <w:rFonts w:hint="eastAsia"/>
          <w:lang w:eastAsia="en-GB"/>
        </w:rPr>
        <w:t>1.5 Modify system information elements according to Table 6.4B.2.1.4.3-1 and Table 6.4B.2.1.4.3-2 and notify the UE via paging message with SystemInformationModification included (test point 2).</w:t>
      </w:r>
    </w:p>
    <w:p>
      <w:pPr>
        <w:pStyle w:val="111"/>
        <w:overflowPunct w:val="0"/>
        <w:autoSpaceDE w:val="0"/>
        <w:autoSpaceDN w:val="0"/>
        <w:adjustRightInd w:val="0"/>
        <w:textAlignment w:val="baseline"/>
        <w:rPr>
          <w:lang w:eastAsia="en-GB"/>
        </w:rPr>
      </w:pPr>
      <w:r>
        <w:rPr>
          <w:rFonts w:hint="eastAsia"/>
          <w:lang w:eastAsia="en-GB"/>
        </w:rPr>
        <w:t>1.6 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lang w:eastAsia="en-GB"/>
        </w:rPr>
      </w:pPr>
      <w:r>
        <w:rPr>
          <w:rFonts w:hint="eastAsia"/>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1.8</w:t>
      </w:r>
      <w:r>
        <w:rPr>
          <w:rFonts w:hint="eastAsia"/>
          <w:lang w:eastAsia="en-GB"/>
        </w:rPr>
        <w:tab/>
      </w:r>
      <w:r>
        <w:rPr>
          <w:rFonts w:hint="eastAsia"/>
          <w:lang w:eastAsia="en-GB"/>
        </w:rPr>
        <w:t xml:space="preserve">Measure the EVM and </w:t>
      </w:r>
      <w:r>
        <w:rPr>
          <w:rFonts w:hint="eastAsia"/>
          <w:lang w:eastAsia="en-GB"/>
        </w:rPr>
        <w:object>
          <v:shape id="_x0000_i1058"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58" DrawAspect="Content" ObjectID="_1468075758" r:id="rId72">
            <o:LockedField>false</o:LockedField>
          </o:OLEObject>
        </w:object>
      </w:r>
      <w:r>
        <w:rPr>
          <w:rFonts w:hint="eastAsia"/>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r>
        <w:t>Test procedure for NPRACH:</w:t>
      </w:r>
    </w:p>
    <w:p>
      <w:pPr>
        <w:pStyle w:val="11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r>
      <w:r>
        <w:rPr>
          <w:rFonts w:hint="eastAsia"/>
          <w:lang w:eastAsia="en-GB"/>
        </w:rPr>
        <w:t>The SS shall set RS EPRE according to Table 6.4B.2.1.4.1-2.</w:t>
      </w:r>
    </w:p>
    <w:p>
      <w:pPr>
        <w:pStyle w:val="11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r>
      <w:r>
        <w:rPr>
          <w:rFonts w:hint="eastAsia"/>
          <w:lang w:eastAsia="en-GB"/>
        </w:rPr>
        <w:t>NPRACH is set according to Table 6.4B.2.1.4.1-2.</w:t>
      </w:r>
    </w:p>
    <w:p>
      <w:pPr>
        <w:pStyle w:val="11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r>
      <w:r>
        <w:rPr>
          <w:rFonts w:hint="eastAsia"/>
          <w:lang w:eastAsia="en-GB"/>
        </w:rPr>
        <w:t>The UE shall send a preamble to the SS.</w:t>
      </w:r>
    </w:p>
    <w:p>
      <w:pPr>
        <w:pStyle w:val="11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r>
      <w:r>
        <w:rPr>
          <w:rFonts w:hint="eastAsia"/>
          <w:lang w:eastAsia="en-GB"/>
        </w:rPr>
        <w:t>In response to the preamble, the SS shall transmit a random access response not corresponding to the transmitted random access preamble, or send no response.</w:t>
      </w:r>
    </w:p>
    <w:p>
      <w:pPr>
        <w:pStyle w:val="11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r>
      <w:r>
        <w:rPr>
          <w:rFonts w:hint="eastAsia"/>
          <w:lang w:eastAsia="en-GB"/>
        </w:rPr>
        <w:t>The UE shall consider the random access response reception not successful then re-transmit the preamble with the calculated NPRACH transmission power.</w:t>
      </w:r>
    </w:p>
    <w:p>
      <w:pPr>
        <w:pStyle w:val="11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r>
      <w:r>
        <w:rPr>
          <w:rFonts w:hint="eastAsia"/>
          <w:lang w:eastAsia="en-GB"/>
        </w:rPr>
        <w:t>Repeat step 4 and 5 until the SS collect enough NPRACH preambles (64 preambles). Measure the EVM in NPRACH channel using Global In-Channel Tx-Test (Annex E).</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
      <w:pPr>
        <w:pStyle w:val="9"/>
      </w:pPr>
      <w:r>
        <w:t>6.4B.2.1.4.3</w:t>
      </w:r>
      <w:r>
        <w:tab/>
      </w:r>
      <w:r>
        <w:t>Message contents</w:t>
      </w:r>
    </w:p>
    <w:p>
      <w:r>
        <w:t>Message contents are according to TS 36.508 [12] subclause 8.1.6 with the following exceptions:</w:t>
      </w:r>
    </w:p>
    <w:p>
      <w:pPr>
        <w:pStyle w:val="113"/>
      </w:pPr>
      <w:r>
        <w:t>Table 6.4B.2.1.4.3-1: P0-NominalNPUSCH-r13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Derivation Path: TS 36.508 [12]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-117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al1 (1)</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bl>
    <w:p/>
    <w:p>
      <w:pPr>
        <w:pStyle w:val="113"/>
      </w:pPr>
      <w:r>
        <w:t>Table 6.4B.2.1.4.3-2: NPDSCH-ConfigCommon-NB-DEFAULT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Derivation Path: TS 36.508 [12]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 xml:space="preserve">  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21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bl>
    <w:p/>
    <w:p>
      <w:pPr>
        <w:pStyle w:val="113"/>
      </w:pPr>
      <w:r>
        <w:t>Table 6.4B.2.1.4.3-3: RACH-ConfigCommon-NB-DEFAULT NPRACH EVM Measurement</w:t>
      </w:r>
    </w:p>
    <w:tbl>
      <w:tblPr>
        <w:tblStyle w:val="89"/>
        <w:tblW w:w="9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 xml:space="preserve">Derivation Path: TS 36.508 [12] clause </w:t>
            </w:r>
            <w:r>
              <w:rPr>
                <w:rFonts w:eastAsia="PMingLiU"/>
                <w:lang w:eastAsia="zh-TW"/>
              </w:rPr>
              <w:t>8.1.6.3</w:t>
            </w:r>
            <w:r>
              <w:t>,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rPr>
                <w:rFonts w:eastAsia="PMingLiU"/>
                <w:lang w:eastAsia="zh-TW"/>
              </w:rPr>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powerRampingParameters-r13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powerRampingStep</w:t>
            </w:r>
          </w:p>
        </w:tc>
        <w:tc>
          <w:tcPr>
            <w:tcW w:w="2268" w:type="dxa"/>
            <w:shd w:val="clear" w:color="auto" w:fill="auto"/>
          </w:tcPr>
          <w:p>
            <w:pPr>
              <w:pStyle w:val="103"/>
              <w:rPr>
                <w:rFonts w:eastAsia="PMingLiU"/>
                <w:lang w:eastAsia="zh-TW"/>
              </w:rPr>
            </w:pPr>
            <w:r>
              <w:rPr>
                <w:rFonts w:eastAsia="PMingLiU"/>
                <w:lang w:eastAsia="zh-TW"/>
              </w:rPr>
              <w:t>dB0</w:t>
            </w:r>
          </w:p>
        </w:tc>
        <w:tc>
          <w:tcPr>
            <w:tcW w:w="1701" w:type="dxa"/>
            <w:shd w:val="clear" w:color="auto" w:fill="auto"/>
          </w:tcPr>
          <w:p>
            <w:pPr>
              <w:pStyle w:val="103"/>
            </w:pPr>
            <w:r>
              <w:t>0 dB</w:t>
            </w: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bl>
    <w:p/>
    <w:p>
      <w:pPr>
        <w:pStyle w:val="113"/>
      </w:pPr>
      <w:r>
        <w:t>Table 6.4B.2.1.4.3-4: NPRACH-ConfigSIB-NB-DEFAULT for NPRACH EVM Measurement</w:t>
      </w:r>
    </w:p>
    <w:tbl>
      <w:tblPr>
        <w:tblStyle w:val="89"/>
        <w:tblW w:w="97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6"/>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 xml:space="preserve">Derivation Path: TS 36.508 [12] clause </w:t>
            </w:r>
            <w:r>
              <w:rPr>
                <w:rFonts w:eastAsia="PMingLiU"/>
                <w:lang w:eastAsia="zh-TW"/>
              </w:rPr>
              <w:t>8.1.6</w:t>
            </w:r>
            <w:r>
              <w:t>.3, Table 8.1.6.3-5 NPRACH-ConfigSIB-NB-DEFAULT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NPRACH-ConfigSIB-NB-DEFAULT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nil"/>
              <w:right w:val="single" w:color="auto" w:sz="4" w:space="0"/>
            </w:tcBorders>
            <w:tcMar>
              <w:top w:w="0" w:type="dxa"/>
              <w:left w:w="108" w:type="dxa"/>
              <w:bottom w:w="0" w:type="dxa"/>
              <w:right w:w="108" w:type="dxa"/>
            </w:tcMar>
          </w:tcPr>
          <w:p>
            <w:pPr>
              <w:pStyle w:val="103"/>
            </w:pPr>
            <w:r>
              <w:t xml:space="preserve">  n</w:t>
            </w:r>
            <w:r>
              <w:rPr>
                <w:rFonts w:cs="Courier New"/>
                <w:szCs w:val="16"/>
              </w:rPr>
              <w:t>prach-CP-Length-r13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us266dot7</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8192*Ts</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MS Mincho"/>
              </w:rPr>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9"/>
      </w:pPr>
      <w:r>
        <w:t>6.4B.2.1.5</w:t>
      </w:r>
      <w:r>
        <w:tab/>
      </w:r>
      <w:r>
        <w:t>Test requirement</w:t>
      </w:r>
    </w:p>
    <w:p>
      <w:r>
        <w:t>The NPUSCH EVM derived in E.8.1 shall not exceed 17,5% for BPSK</w:t>
      </w:r>
      <w:r>
        <w:rPr>
          <w:rFonts w:cs="v5.0.0"/>
        </w:rPr>
        <w:t xml:space="preserve"> and QPSK</w:t>
      </w:r>
      <w:r>
        <w:t>.</w:t>
      </w:r>
    </w:p>
    <w:p>
      <w:r>
        <w:t>The NPUSCH</w:t>
      </w:r>
      <w:r>
        <w:rPr>
          <w:position w:val="-6"/>
        </w:rPr>
        <w:object>
          <v:shape id="_x0000_i1059"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59" DrawAspect="Content" ObjectID="_1468075759" r:id="rId73">
            <o:LockedField>false</o:LockedField>
          </o:OLEObject>
        </w:object>
      </w:r>
      <w:r>
        <w:t xml:space="preserve"> derived in E.8.2 shall not exceed 17,5 % when embedded with data symbols of BPSK</w:t>
      </w:r>
      <w:r>
        <w:rPr>
          <w:rFonts w:cs="v5.0.0"/>
        </w:rPr>
        <w:t xml:space="preserve"> and QPSK</w:t>
      </w:r>
      <w:r>
        <w:t>.</w:t>
      </w:r>
    </w:p>
    <w:p>
      <w:r>
        <w:t>The NPRACH EVM derived in E.8.3 shall not exceed 17.5%.</w:t>
      </w:r>
    </w:p>
    <w:p>
      <w:pPr>
        <w:pStyle w:val="6"/>
        <w:rPr>
          <w:lang w:val="en-US"/>
        </w:rPr>
      </w:pPr>
      <w:bookmarkStart w:id="748" w:name="_Toc3324"/>
      <w:bookmarkStart w:id="749" w:name="_Toc24872"/>
      <w:bookmarkStart w:id="750" w:name="_Toc28054"/>
      <w:bookmarkStart w:id="751" w:name="_Toc3086"/>
      <w:bookmarkStart w:id="752" w:name="_Toc1709"/>
      <w:r>
        <w:t>6.4B.2.2</w:t>
      </w:r>
      <w:r>
        <w:tab/>
      </w:r>
      <w:r>
        <w:t>Carrier leakage for Category NB1 and NB2</w:t>
      </w:r>
      <w:bookmarkEnd w:id="748"/>
      <w:bookmarkEnd w:id="749"/>
      <w:bookmarkEnd w:id="750"/>
      <w:bookmarkEnd w:id="751"/>
      <w:bookmarkEnd w:id="752"/>
    </w:p>
    <w:p>
      <w:pPr>
        <w:pStyle w:val="112"/>
        <w:rPr>
          <w:lang w:val="en-US"/>
        </w:rPr>
      </w:pPr>
      <w:r>
        <w:t>Editor’s Note: Addition to applicability spec is pending.</w:t>
      </w:r>
    </w:p>
    <w:p>
      <w:pPr>
        <w:pStyle w:val="9"/>
      </w:pPr>
      <w:r>
        <w:t>6.4B.2.</w:t>
      </w:r>
      <w:r>
        <w:rPr>
          <w:rFonts w:hint="eastAsia"/>
        </w:rPr>
        <w:t>2</w:t>
      </w:r>
      <w:r>
        <w:t>.1</w:t>
      </w:r>
      <w:r>
        <w:tab/>
      </w:r>
      <w:r>
        <w:t>Test purpose</w:t>
      </w:r>
    </w:p>
    <w:p>
      <w:r>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pPr>
        <w:rPr>
          <w:rFonts w:cs="v5.0.0"/>
        </w:rPr>
      </w:pPr>
      <w:r>
        <w:rPr>
          <w:rFonts w:cs="v5.0.0"/>
        </w:rPr>
        <w:t>The purpose of this test is to exercise the UE transmitter to verify its modulation quality in terms of carrier leakage.</w:t>
      </w:r>
    </w:p>
    <w:p>
      <w:pPr>
        <w:pStyle w:val="9"/>
      </w:pPr>
      <w:r>
        <w:t>6.4B.2.</w:t>
      </w:r>
      <w:r>
        <w:rPr>
          <w:rFonts w:hint="eastAsia"/>
        </w:rPr>
        <w:t>2</w:t>
      </w:r>
      <w:r>
        <w:t>.2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6.4B.2.</w:t>
      </w:r>
      <w:r>
        <w:rPr>
          <w:rFonts w:hint="eastAsia"/>
        </w:rPr>
        <w:t>2</w:t>
      </w:r>
      <w:r>
        <w:t>.3</w:t>
      </w:r>
      <w:r>
        <w:tab/>
      </w:r>
      <w:r>
        <w:t>Minimum conformance requirements</w:t>
      </w:r>
    </w:p>
    <w:p>
      <w:pPr>
        <w:rPr>
          <w:rFonts w:cs="v5.0.0"/>
        </w:rPr>
      </w:pPr>
      <w:r>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Pr>
          <w:rFonts w:cs="v5.0.0"/>
        </w:rPr>
        <w:t>.</w:t>
      </w:r>
    </w:p>
    <w:p>
      <w:pPr>
        <w:pStyle w:val="113"/>
      </w:pPr>
      <w:r>
        <w:t>Table 6.4B2.2.3-1: Minimum requirements for relative carrier leakage power</w:t>
      </w:r>
    </w:p>
    <w:tbl>
      <w:tblPr>
        <w:tblStyle w:val="89"/>
        <w:tblW w:w="49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8"/>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118" w:type="dxa"/>
          </w:tcPr>
          <w:p>
            <w:pPr>
              <w:pStyle w:val="104"/>
              <w:rPr>
                <w:rFonts w:cs="Arial"/>
              </w:rPr>
            </w:pPr>
            <w:r>
              <w:rPr>
                <w:rFonts w:cs="Arial"/>
              </w:rPr>
              <w:t>Parameters</w:t>
            </w:r>
          </w:p>
        </w:tc>
        <w:tc>
          <w:tcPr>
            <w:tcW w:w="1843" w:type="dxa"/>
            <w:shd w:val="clear" w:color="auto" w:fill="auto"/>
          </w:tcPr>
          <w:p>
            <w:pPr>
              <w:pStyle w:val="104"/>
              <w:rPr>
                <w:rFonts w:cs="Arial"/>
              </w:rPr>
            </w:pPr>
            <w:r>
              <w:rPr>
                <w:rFonts w:cs="Arial"/>
              </w:rPr>
              <w:t>Relative limit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118" w:type="dxa"/>
          </w:tcPr>
          <w:p>
            <w:pPr>
              <w:pStyle w:val="105"/>
              <w:rPr>
                <w:rFonts w:cs="Arial"/>
              </w:rPr>
            </w:pPr>
            <w:r>
              <w:rPr>
                <w:rFonts w:cs="Arial"/>
              </w:rPr>
              <w:t>0 dBm ≤ Output power</w:t>
            </w:r>
          </w:p>
        </w:tc>
        <w:tc>
          <w:tcPr>
            <w:tcW w:w="1843" w:type="dxa"/>
            <w:shd w:val="clear" w:color="auto" w:fill="auto"/>
          </w:tcPr>
          <w:p>
            <w:pPr>
              <w:pStyle w:val="105"/>
              <w:rPr>
                <w:rFonts w:cs="Arial"/>
              </w:rPr>
            </w:pPr>
            <w:r>
              <w:rPr>
                <w:rFonts w:cs="Arial"/>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118" w:type="dxa"/>
          </w:tcPr>
          <w:p>
            <w:pPr>
              <w:pStyle w:val="105"/>
              <w:rPr>
                <w:rFonts w:cs="Arial"/>
              </w:rPr>
            </w:pPr>
            <w:r>
              <w:rPr>
                <w:rFonts w:cs="Arial"/>
              </w:rPr>
              <w:t>-30 dBm ≤ Output power ≤ 0 dBm</w:t>
            </w:r>
          </w:p>
        </w:tc>
        <w:tc>
          <w:tcPr>
            <w:tcW w:w="1843" w:type="dxa"/>
            <w:shd w:val="clear" w:color="auto" w:fill="auto"/>
          </w:tcPr>
          <w:p>
            <w:pPr>
              <w:pStyle w:val="105"/>
              <w:rPr>
                <w:rFonts w:cs="Arial"/>
              </w:rPr>
            </w:pPr>
            <w:r>
              <w:rPr>
                <w:rFonts w:cs="Aria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 xml:space="preserve">-40 dBm </w:t>
            </w:r>
            <w:r>
              <w:rPr>
                <w:rFonts w:cs="Arial"/>
              </w:rPr>
              <w:sym w:font="Symbol" w:char="F0A3"/>
            </w:r>
            <w:r>
              <w:rPr>
                <w:rFonts w:cs="Arial"/>
              </w:rPr>
              <w:t xml:space="preserve"> Output power &lt; -30 dBm</w:t>
            </w:r>
          </w:p>
        </w:tc>
        <w:tc>
          <w:tcPr>
            <w:tcW w:w="1843" w:type="dxa"/>
            <w:shd w:val="clear" w:color="auto" w:fill="auto"/>
          </w:tcPr>
          <w:p>
            <w:pPr>
              <w:pStyle w:val="105"/>
              <w:rPr>
                <w:rFonts w:cs="Arial"/>
              </w:rPr>
            </w:pPr>
            <w:r>
              <w:rPr>
                <w:rFonts w:cs="Arial"/>
              </w:rPr>
              <w:t>-10</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6.4B.2.</w:t>
      </w:r>
    </w:p>
    <w:p>
      <w:pPr>
        <w:pStyle w:val="9"/>
      </w:pPr>
      <w:r>
        <w:t>6.4B.2.</w:t>
      </w:r>
      <w:r>
        <w:rPr>
          <w:rFonts w:hint="eastAsia"/>
        </w:rPr>
        <w:t>2</w:t>
      </w:r>
      <w:r>
        <w:t>.4</w:t>
      </w:r>
      <w:r>
        <w:tab/>
      </w:r>
      <w:r>
        <w:t>Test description</w:t>
      </w:r>
    </w:p>
    <w:p>
      <w:pPr>
        <w:pStyle w:val="9"/>
      </w:pPr>
      <w:r>
        <w:t>6.4B.2.</w:t>
      </w:r>
      <w:r>
        <w:rPr>
          <w:rFonts w:hint="eastAsia"/>
        </w:rPr>
        <w:t>2</w:t>
      </w:r>
      <w:r>
        <w:t>.4.1</w:t>
      </w:r>
      <w:r>
        <w:tab/>
      </w:r>
      <w:r>
        <w:t>Initial conditions</w:t>
      </w:r>
    </w:p>
    <w:p>
      <w:r>
        <w:t>Initial conditions are a set of test configurations the UE needs to be tested in and the steps for the SS to take with the UE to reach the correct measurement state.</w:t>
      </w:r>
    </w:p>
    <w:p>
      <w:pPr>
        <w:rPr>
          <w:rFonts w:cs="v5.0.0"/>
        </w:rPr>
      </w:pPr>
      <w:r>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w:t>
      </w:r>
      <w:r>
        <w:rPr>
          <w:rFonts w:hint="eastAsia"/>
        </w:rPr>
        <w:t>2</w:t>
      </w:r>
      <w:r>
        <w:t xml:space="preserve">.4.1-1. The details of the uplink reference measurement channels (RMCs) are specified in Annex A.2.4. </w:t>
      </w:r>
      <w:r>
        <w:rPr>
          <w:rFonts w:cs="v5.0.0"/>
        </w:rPr>
        <w:t>Configurations of NPDSCH and NPDCCH before measurement are specified in Annex TBD.</w:t>
      </w:r>
    </w:p>
    <w:p/>
    <w:p>
      <w:pPr>
        <w:pStyle w:val="113"/>
      </w:pPr>
      <w:r>
        <w:t xml:space="preserve">Table 6.4B.2.2.4.1-1: Test Configuration Table for FDD </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2410"/>
        <w:gridCol w:w="1275"/>
        <w:gridCol w:w="1843"/>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Environment as specified in</w:t>
            </w:r>
          </w:p>
          <w:p>
            <w:pPr>
              <w:pStyle w:val="103"/>
            </w:pPr>
            <w:r>
              <w:rPr>
                <w:rFonts w:eastAsia="微软雅黑" w:cs="Arial"/>
              </w:rPr>
              <w:t>TS 36.508[12] subclause 8.1.1</w:t>
            </w:r>
          </w:p>
        </w:tc>
        <w:tc>
          <w:tcPr>
            <w:tcW w:w="5494"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Frequencies as specified in</w:t>
            </w:r>
          </w:p>
          <w:p>
            <w:pPr>
              <w:pStyle w:val="103"/>
            </w:pPr>
            <w:r>
              <w:rPr>
                <w:rFonts w:eastAsia="微软雅黑" w:cs="Arial"/>
              </w:rPr>
              <w:t>TS 36.508 [12] subclause 8.1.3.1</w:t>
            </w:r>
          </w:p>
        </w:tc>
        <w:tc>
          <w:tcPr>
            <w:tcW w:w="5494" w:type="dxa"/>
            <w:gridSpan w:val="3"/>
          </w:tcPr>
          <w:p>
            <w:pPr>
              <w:pStyle w:val="103"/>
            </w:pPr>
            <w:r>
              <w:rPr>
                <w:rFonts w:eastAsia="微软雅黑" w:cs="Arial"/>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rPr>
                <w:b/>
              </w:rPr>
            </w:pPr>
            <w:r>
              <w:rPr>
                <w:rFonts w:eastAsia="微软雅黑" w:cs="Arial"/>
                <w:b/>
                <w:bCs/>
              </w:rPr>
              <w:t>Configuration ID</w:t>
            </w:r>
          </w:p>
        </w:tc>
        <w:tc>
          <w:tcPr>
            <w:tcW w:w="2410" w:type="dxa"/>
          </w:tcPr>
          <w:p>
            <w:pPr>
              <w:pStyle w:val="103"/>
              <w:jc w:val="center"/>
              <w:rPr>
                <w:b/>
              </w:rPr>
            </w:pPr>
            <w:r>
              <w:rPr>
                <w:b/>
              </w:rPr>
              <w:t>Downlink Configuration</w:t>
            </w:r>
          </w:p>
        </w:tc>
        <w:tc>
          <w:tcPr>
            <w:tcW w:w="5494" w:type="dxa"/>
            <w:gridSpan w:val="3"/>
          </w:tcPr>
          <w:p>
            <w:pPr>
              <w:pStyle w:val="103"/>
              <w:jc w:val="center"/>
              <w:rPr>
                <w:b/>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p>
        </w:tc>
        <w:tc>
          <w:tcPr>
            <w:tcW w:w="2410" w:type="dxa"/>
            <w:vMerge w:val="restart"/>
          </w:tcPr>
          <w:p>
            <w:pPr>
              <w:pStyle w:val="103"/>
              <w:jc w:val="center"/>
            </w:pPr>
            <w:r>
              <w:t>N/A</w:t>
            </w:r>
          </w:p>
        </w:tc>
        <w:tc>
          <w:tcPr>
            <w:tcW w:w="1275" w:type="dxa"/>
          </w:tcPr>
          <w:p>
            <w:pPr>
              <w:pStyle w:val="103"/>
              <w:jc w:val="center"/>
            </w:pPr>
            <w:r>
              <w:rPr>
                <w:rFonts w:eastAsia="微软雅黑" w:cs="Arial"/>
              </w:rPr>
              <w:t>Modulation</w:t>
            </w:r>
          </w:p>
        </w:tc>
        <w:tc>
          <w:tcPr>
            <w:tcW w:w="1843" w:type="dxa"/>
          </w:tcPr>
          <w:p>
            <w:pPr>
              <w:pStyle w:val="103"/>
              <w:jc w:val="center"/>
            </w:pPr>
            <w:r>
              <w:rPr>
                <w:rFonts w:eastAsia="微软雅黑" w:cs="Arial"/>
              </w:rPr>
              <w:t>N</w:t>
            </w:r>
            <w:r>
              <w:rPr>
                <w:rFonts w:eastAsia="微软雅黑" w:cs="Arial"/>
                <w:vertAlign w:val="subscript"/>
              </w:rPr>
              <w:t>tones</w:t>
            </w:r>
            <w:r>
              <w:rPr>
                <w:rFonts w:eastAsia="微软雅黑" w:cs="Arial"/>
              </w:rPr>
              <w:t>, start position</w:t>
            </w:r>
          </w:p>
        </w:tc>
        <w:tc>
          <w:tcPr>
            <w:tcW w:w="2376" w:type="dxa"/>
          </w:tcPr>
          <w:p>
            <w:pPr>
              <w:pStyle w:val="103"/>
              <w:jc w:val="center"/>
            </w:pPr>
            <w:r>
              <w:rPr>
                <w:rFonts w:eastAsia="微软雅黑" w:cs="Arial"/>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1</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eastAsia="微软雅黑" w:cs="Arial"/>
              </w:rPr>
              <w:t>1@0</w:t>
            </w:r>
          </w:p>
        </w:tc>
        <w:tc>
          <w:tcPr>
            <w:tcW w:w="2376" w:type="dxa"/>
          </w:tcPr>
          <w:p>
            <w:pPr>
              <w:pStyle w:val="103"/>
              <w:jc w:val="cente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2</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1@47</w:t>
            </w:r>
          </w:p>
        </w:tc>
        <w:tc>
          <w:tcPr>
            <w:tcW w:w="2376" w:type="dxa"/>
          </w:tcPr>
          <w:p>
            <w:pPr>
              <w:pStyle w:val="103"/>
              <w:jc w:val="cente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3</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eastAsia="微软雅黑" w:cs="Arial"/>
              </w:rPr>
              <w:t>1@0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4</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1@11</w:t>
            </w:r>
          </w:p>
        </w:tc>
        <w:tc>
          <w:tcPr>
            <w:tcW w:w="2376" w:type="dxa"/>
          </w:tcPr>
          <w:p>
            <w:pPr>
              <w:pStyle w:val="103"/>
              <w:jc w:val="center"/>
            </w:pPr>
            <w:r>
              <w:t>15</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 and uplink signals according to Annex H.</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6.4B.2.2.4.1-1.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UE location according to TS 36.508 [12] clause 8.2.6.1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7</w:t>
      </w:r>
      <w:r>
        <w:rPr>
          <w:lang w:eastAsia="en-GB"/>
        </w:rPr>
        <w:t>.</w:t>
      </w:r>
      <w:r>
        <w:rPr>
          <w:lang w:eastAsia="en-GB"/>
        </w:rPr>
        <w:tab/>
      </w:r>
      <w:r>
        <w:t>Test equipment shall em</w:t>
      </w:r>
      <w:r>
        <w:rPr>
          <w:color w:val="000000" w:themeColor="text1"/>
          <w14:textFill>
            <w14:solidFill>
              <w14:schemeClr w14:val="tx1"/>
            </w14:solidFill>
          </w14:textFill>
        </w:rPr>
        <w:t xml:space="preserve">ulate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w:t>
      </w:r>
      <w:r>
        <w:t>ing the duration of the test as define in TS 36.508[12] clause 8.2.6.3.1</w:t>
      </w:r>
    </w:p>
    <w:p>
      <w:pPr>
        <w:pStyle w:val="111"/>
        <w:overflowPunct w:val="0"/>
        <w:autoSpaceDE w:val="0"/>
        <w:autoSpaceDN w:val="0"/>
        <w:adjustRightInd w:val="0"/>
        <w:contextualSpacing w:val="0"/>
        <w:textAlignment w:val="baseline"/>
        <w:rPr>
          <w:lang w:eastAsia="en-GB"/>
        </w:rPr>
      </w:pPr>
      <w:r>
        <w:rPr>
          <w:rFonts w:hint="eastAsia"/>
        </w:rPr>
        <w:t>8</w:t>
      </w:r>
      <w:r>
        <w:t>.</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State 2A-NB with CP CIoT Optimisation to TS 36.508 [12] clause 8.1.5. Message contents are defined in clause 6.4B.2.2.4.3.</w:t>
      </w:r>
    </w:p>
    <w:p>
      <w:pPr>
        <w:pStyle w:val="9"/>
      </w:pPr>
      <w:r>
        <w:t>6.4B.2.</w:t>
      </w:r>
      <w:r>
        <w:rPr>
          <w:rFonts w:hint="eastAsia"/>
        </w:rPr>
        <w:t>2</w:t>
      </w:r>
      <w:r>
        <w:t>.4.2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UL HARQ process via NPDCCH DCI format N0 for C_RNTI to schedule the UL RMC according to Table 6.4B.2.2.4.1-1.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Configure UE to transmit at PUMAX level.</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 xml:space="preserve">Measure carrier leakage using Global In-Channel Tx-Test (Annex E). </w:t>
      </w:r>
    </w:p>
    <w:p>
      <w:pPr>
        <w:pStyle w:val="111"/>
        <w:overflowPunct w:val="0"/>
        <w:autoSpaceDE w:val="0"/>
        <w:autoSpaceDN w:val="0"/>
        <w:adjustRightInd w:val="0"/>
        <w:textAlignment w:val="baseline"/>
        <w:rPr>
          <w:lang w:eastAsia="en-GB"/>
        </w:rPr>
      </w:pPr>
      <w:r>
        <w:rPr>
          <w:rFonts w:hint="eastAsia"/>
          <w:lang w:eastAsia="en-GB"/>
        </w:rPr>
        <w:t>4. Release the connection through State 3A-NB.</w:t>
      </w:r>
    </w:p>
    <w:p>
      <w:pPr>
        <w:pStyle w:val="111"/>
        <w:overflowPunct w:val="0"/>
        <w:autoSpaceDE w:val="0"/>
        <w:autoSpaceDN w:val="0"/>
        <w:adjustRightInd w:val="0"/>
        <w:textAlignment w:val="baseline"/>
        <w:rPr>
          <w:lang w:eastAsia="en-GB"/>
        </w:rPr>
      </w:pPr>
      <w:r>
        <w:rPr>
          <w:rFonts w:hint="eastAsia"/>
          <w:lang w:eastAsia="en-GB"/>
        </w:rPr>
        <w:t>5. Modify system information elements according to Table 6.4B.2.2.4.3-1 and Table 6.4B.2.2.4.3-2 and notify the UE via paging message with SystemInformationModification included (test point 2).</w:t>
      </w:r>
    </w:p>
    <w:p>
      <w:pPr>
        <w:pStyle w:val="111"/>
        <w:overflowPunct w:val="0"/>
        <w:autoSpaceDE w:val="0"/>
        <w:autoSpaceDN w:val="0"/>
        <w:adjustRightInd w:val="0"/>
        <w:textAlignment w:val="baseline"/>
        <w:rPr>
          <w:lang w:eastAsia="en-GB"/>
        </w:rPr>
      </w:pPr>
      <w:r>
        <w:rPr>
          <w:rFonts w:hint="eastAsia"/>
          <w:lang w:eastAsia="en-GB"/>
        </w:rPr>
        <w:t>6. 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lang w:eastAsia="en-GB"/>
        </w:rPr>
      </w:pPr>
      <w:r>
        <w:rPr>
          <w:rFonts w:hint="eastAsia"/>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r>
      <w:r>
        <w:rPr>
          <w:rFonts w:hint="eastAsia"/>
          <w:lang w:eastAsia="en-GB"/>
        </w:rPr>
        <w:t xml:space="preserve">Measure carrier leakage using Global In-Channel Tx-Test (Annex E). </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
      <w:pPr>
        <w:pStyle w:val="9"/>
      </w:pPr>
      <w:r>
        <w:t>6.4B.2.</w:t>
      </w:r>
      <w:r>
        <w:rPr>
          <w:rFonts w:hint="eastAsia"/>
        </w:rPr>
        <w:t>2</w:t>
      </w:r>
      <w:r>
        <w:t>.4.3</w:t>
      </w:r>
      <w:r>
        <w:tab/>
      </w:r>
      <w:r>
        <w:t>Message contents</w:t>
      </w:r>
    </w:p>
    <w:p>
      <w:r>
        <w:t>Message contents are according to TS 36.508 [12] subclause 8.1.6 with the following exceptions:</w:t>
      </w:r>
    </w:p>
    <w:p>
      <w:pPr>
        <w:pStyle w:val="113"/>
      </w:pPr>
      <w:r>
        <w:t>Table 6.4B.2.2.4.3-1: P0-NominalNPUSCH-r13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-117 (dBm)</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al1 (1)</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bl>
    <w:p/>
    <w:p>
      <w:pPr>
        <w:pStyle w:val="113"/>
      </w:pPr>
      <w:r>
        <w:t>Table 6.4B.2.2.4.3-2: NPDSCH-ConfigCommon-NB-DEFAULT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keepNext/>
              <w:keepLines/>
              <w:spacing w:after="0"/>
              <w:rPr>
                <w:rFonts w:ascii="Arial" w:hAnsi="Arial"/>
                <w:sz w:val="18"/>
              </w:rPr>
            </w:pPr>
            <w:r>
              <w:rPr>
                <w:rFonts w:ascii="Arial" w:hAnsi="Arial"/>
                <w:sz w:val="18"/>
              </w:rPr>
              <w:t>Derivation Path: 36.508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bottom w:val="single" w:color="auto" w:sz="4" w:space="0"/>
            </w:tcBorders>
          </w:tcPr>
          <w:p>
            <w:pPr>
              <w:keepNext/>
              <w:keepLines/>
              <w:spacing w:after="0"/>
              <w:rPr>
                <w:rFonts w:ascii="Arial" w:hAnsi="Arial"/>
                <w:sz w:val="18"/>
              </w:rPr>
            </w:pPr>
            <w:r>
              <w:rPr>
                <w:rFonts w:ascii="Arial" w:hAnsi="Arial"/>
                <w:sz w:val="18"/>
              </w:rPr>
              <w:t xml:space="preserve">  nrs-Power-r13</w:t>
            </w:r>
          </w:p>
        </w:tc>
        <w:tc>
          <w:tcPr>
            <w:tcW w:w="2268" w:type="dxa"/>
          </w:tcPr>
          <w:p>
            <w:pPr>
              <w:keepNext/>
              <w:keepLines/>
              <w:spacing w:after="0"/>
              <w:rPr>
                <w:rFonts w:ascii="Arial" w:hAnsi="Arial"/>
                <w:sz w:val="18"/>
              </w:rPr>
            </w:pPr>
            <w:r>
              <w:rPr>
                <w:rFonts w:ascii="Arial" w:hAnsi="Arial"/>
                <w:sz w:val="18"/>
              </w:rPr>
              <w:t>21 (dBm)</w:t>
            </w:r>
          </w:p>
        </w:tc>
        <w:tc>
          <w:tcPr>
            <w:tcW w:w="1701" w:type="dxa"/>
          </w:tcPr>
          <w:p>
            <w:pPr>
              <w:keepNext/>
              <w:keepLines/>
              <w:spacing w:after="0"/>
              <w:rPr>
                <w:rFonts w:ascii="Arial" w:hAnsi="Arial"/>
                <w:sz w:val="18"/>
              </w:rPr>
            </w:pPr>
          </w:p>
        </w:tc>
        <w:tc>
          <w:tcPr>
            <w:tcW w:w="1275" w:type="dxa"/>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keepNext/>
              <w:keepLines/>
              <w:spacing w:after="0"/>
              <w:rPr>
                <w:rFonts w:ascii="Arial" w:hAnsi="Arial"/>
                <w:sz w:val="18"/>
              </w:rPr>
            </w:pPr>
            <w:r>
              <w:rPr>
                <w:rFonts w:ascii="Arial" w:hAnsi="Arial"/>
                <w:sz w:val="18"/>
              </w:rPr>
              <w:t>}</w:t>
            </w:r>
          </w:p>
        </w:tc>
        <w:tc>
          <w:tcPr>
            <w:tcW w:w="2268" w:type="dxa"/>
          </w:tcPr>
          <w:p>
            <w:pPr>
              <w:keepNext/>
              <w:keepLines/>
              <w:spacing w:after="0"/>
              <w:rPr>
                <w:rFonts w:ascii="Arial" w:hAnsi="Arial"/>
                <w:sz w:val="18"/>
              </w:rPr>
            </w:pPr>
          </w:p>
        </w:tc>
        <w:tc>
          <w:tcPr>
            <w:tcW w:w="1701" w:type="dxa"/>
          </w:tcPr>
          <w:p>
            <w:pPr>
              <w:keepNext/>
              <w:keepLines/>
              <w:spacing w:after="0"/>
              <w:rPr>
                <w:rFonts w:ascii="Arial" w:hAnsi="Arial"/>
                <w:sz w:val="18"/>
              </w:rPr>
            </w:pPr>
          </w:p>
        </w:tc>
        <w:tc>
          <w:tcPr>
            <w:tcW w:w="1275" w:type="dxa"/>
          </w:tcPr>
          <w:p>
            <w:pPr>
              <w:keepNext/>
              <w:keepLines/>
              <w:spacing w:after="0"/>
              <w:rPr>
                <w:rFonts w:ascii="Arial" w:hAnsi="Arial"/>
                <w:sz w:val="18"/>
              </w:rPr>
            </w:pPr>
          </w:p>
        </w:tc>
      </w:tr>
    </w:tbl>
    <w:p/>
    <w:p>
      <w:pPr>
        <w:pStyle w:val="9"/>
      </w:pPr>
      <w:r>
        <w:t>6.4B.2.</w:t>
      </w:r>
      <w:r>
        <w:rPr>
          <w:rFonts w:hint="eastAsia"/>
        </w:rPr>
        <w:t>2</w:t>
      </w:r>
      <w:r>
        <w:t>.5</w:t>
      </w:r>
      <w:r>
        <w:tab/>
      </w:r>
      <w:r>
        <w:t>Test requirement</w:t>
      </w:r>
    </w:p>
    <w:p>
      <w:pPr>
        <w:tabs>
          <w:tab w:val="left" w:pos="3450"/>
        </w:tabs>
      </w:pPr>
      <w:r>
        <w:t>Each of the carrier leakage results, derived in Annex E.3.1, shall not exceed the values in table 6.4A.2.2.5-1</w:t>
      </w:r>
    </w:p>
    <w:p>
      <w:pPr>
        <w:pStyle w:val="113"/>
        <w:rPr>
          <w:rFonts w:eastAsia="Osaka"/>
        </w:rPr>
      </w:pPr>
      <w:r>
        <w:rPr>
          <w:rFonts w:eastAsia="Osaka"/>
        </w:rPr>
        <w:t>Table 6.4A.2.2</w:t>
      </w:r>
      <w:r>
        <w:t>.5-1</w:t>
      </w:r>
      <w:r>
        <w:rPr>
          <w:rFonts w:eastAsia="Osaka"/>
        </w:rPr>
        <w:t xml:space="preserve">: </w:t>
      </w:r>
      <w:r>
        <w:rPr>
          <w:rFonts w:cs="Arial"/>
        </w:rPr>
        <w:t xml:space="preserve">Test requirements for </w:t>
      </w:r>
      <w:r>
        <w:rPr>
          <w:rFonts w:eastAsia="Osaka"/>
        </w:rPr>
        <w:t>Relative Carrier Leakage Power</w:t>
      </w:r>
    </w:p>
    <w:tbl>
      <w:tblPr>
        <w:tblStyle w:val="89"/>
        <w:tblW w:w="65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2"/>
        <w:gridCol w:w="3195"/>
        <w:gridCol w:w="2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2" w:type="dxa"/>
            <w:vMerge w:val="restart"/>
            <w:shd w:val="clear" w:color="auto" w:fill="auto"/>
          </w:tcPr>
          <w:p>
            <w:pPr>
              <w:keepNext/>
              <w:keepLines/>
              <w:spacing w:after="0"/>
              <w:jc w:val="center"/>
              <w:rPr>
                <w:rFonts w:ascii="Arial" w:hAnsi="Arial"/>
                <w:b/>
                <w:sz w:val="18"/>
              </w:rPr>
            </w:pPr>
            <w:r>
              <w:rPr>
                <w:rFonts w:ascii="Arial" w:hAnsi="Arial"/>
                <w:b/>
                <w:sz w:val="18"/>
              </w:rPr>
              <w:t>LO Leakage</w:t>
            </w:r>
          </w:p>
        </w:tc>
        <w:tc>
          <w:tcPr>
            <w:tcW w:w="3195" w:type="dxa"/>
          </w:tcPr>
          <w:p>
            <w:pPr>
              <w:keepNext/>
              <w:keepLines/>
              <w:spacing w:after="0"/>
              <w:jc w:val="center"/>
              <w:rPr>
                <w:rFonts w:ascii="Arial" w:hAnsi="Arial"/>
                <w:b/>
                <w:sz w:val="18"/>
              </w:rPr>
            </w:pPr>
            <w:r>
              <w:rPr>
                <w:rFonts w:ascii="Arial" w:hAnsi="Arial"/>
                <w:b/>
                <w:sz w:val="18"/>
              </w:rPr>
              <w:t>Parameters</w:t>
            </w:r>
          </w:p>
        </w:tc>
        <w:tc>
          <w:tcPr>
            <w:tcW w:w="2002" w:type="dxa"/>
            <w:shd w:val="clear" w:color="auto" w:fill="auto"/>
          </w:tcPr>
          <w:p>
            <w:pPr>
              <w:keepNext/>
              <w:keepLines/>
              <w:spacing w:after="0"/>
              <w:jc w:val="center"/>
              <w:rPr>
                <w:rFonts w:ascii="Arial" w:hAnsi="Arial"/>
                <w:b/>
                <w:sz w:val="18"/>
              </w:rPr>
            </w:pPr>
            <w:r>
              <w:rPr>
                <w:rFonts w:ascii="Arial" w:hAnsi="Arial"/>
                <w:b/>
                <w:sz w:val="18"/>
              </w:rPr>
              <w:t>Relative Limit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2" w:type="dxa"/>
            <w:vMerge w:val="continue"/>
            <w:shd w:val="clear" w:color="auto" w:fill="auto"/>
          </w:tcPr>
          <w:p>
            <w:pPr>
              <w:jc w:val="center"/>
              <w:rPr>
                <w:rFonts w:ascii="Arial" w:hAnsi="Arial" w:cs="Arial"/>
                <w:sz w:val="18"/>
                <w:szCs w:val="18"/>
              </w:rPr>
            </w:pPr>
          </w:p>
        </w:tc>
        <w:tc>
          <w:tcPr>
            <w:tcW w:w="3195" w:type="dxa"/>
          </w:tcPr>
          <w:p>
            <w:pPr>
              <w:keepNext/>
              <w:keepLines/>
              <w:spacing w:after="0"/>
              <w:jc w:val="center"/>
              <w:rPr>
                <w:rFonts w:ascii="Arial" w:hAnsi="Arial"/>
                <w:sz w:val="18"/>
              </w:rPr>
            </w:pPr>
            <w:r>
              <w:rPr>
                <w:rFonts w:ascii="Arial" w:hAnsi="Arial"/>
                <w:sz w:val="18"/>
              </w:rPr>
              <w:t>Test point 1</w:t>
            </w:r>
          </w:p>
        </w:tc>
        <w:tc>
          <w:tcPr>
            <w:tcW w:w="2002" w:type="dxa"/>
            <w:shd w:val="clear" w:color="auto" w:fill="auto"/>
          </w:tcPr>
          <w:p>
            <w:pPr>
              <w:keepNext/>
              <w:keepLines/>
              <w:spacing w:after="0"/>
              <w:jc w:val="center"/>
              <w:rPr>
                <w:rFonts w:ascii="Arial" w:hAnsi="Arial"/>
                <w:sz w:val="18"/>
              </w:rPr>
            </w:pPr>
            <w:r>
              <w:rPr>
                <w:rFonts w:ascii="Arial" w:hAnsi="Arial"/>
                <w:sz w:val="18"/>
              </w:rPr>
              <w:t>-24.2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2" w:type="dxa"/>
            <w:vMerge w:val="continue"/>
            <w:shd w:val="clear" w:color="auto" w:fill="auto"/>
          </w:tcPr>
          <w:p>
            <w:pPr>
              <w:jc w:val="center"/>
              <w:rPr>
                <w:rFonts w:ascii="Arial" w:hAnsi="Arial" w:cs="Arial"/>
                <w:sz w:val="18"/>
                <w:szCs w:val="18"/>
              </w:rPr>
            </w:pPr>
          </w:p>
        </w:tc>
        <w:tc>
          <w:tcPr>
            <w:tcW w:w="3195" w:type="dxa"/>
          </w:tcPr>
          <w:p>
            <w:pPr>
              <w:keepNext/>
              <w:keepLines/>
              <w:spacing w:after="0"/>
              <w:jc w:val="center"/>
              <w:rPr>
                <w:rFonts w:ascii="Arial" w:hAnsi="Arial"/>
                <w:sz w:val="18"/>
              </w:rPr>
            </w:pPr>
            <w:r>
              <w:rPr>
                <w:rFonts w:ascii="Arial" w:hAnsi="Arial"/>
                <w:sz w:val="18"/>
              </w:rPr>
              <w:t>Test point 2</w:t>
            </w:r>
          </w:p>
        </w:tc>
        <w:tc>
          <w:tcPr>
            <w:tcW w:w="2002" w:type="dxa"/>
            <w:shd w:val="clear" w:color="auto" w:fill="auto"/>
          </w:tcPr>
          <w:p>
            <w:pPr>
              <w:keepNext/>
              <w:keepLines/>
              <w:spacing w:after="0"/>
              <w:jc w:val="center"/>
              <w:rPr>
                <w:rFonts w:ascii="Arial" w:hAnsi="Arial"/>
                <w:sz w:val="18"/>
              </w:rPr>
            </w:pPr>
            <w:r>
              <w:rPr>
                <w:rFonts w:ascii="Arial" w:hAnsi="Arial"/>
                <w:sz w:val="18"/>
              </w:rPr>
              <w:t>-19.2</w:t>
            </w:r>
          </w:p>
        </w:tc>
      </w:tr>
    </w:tbl>
    <w:p/>
    <w:p>
      <w:pPr>
        <w:pStyle w:val="6"/>
      </w:pPr>
      <w:bookmarkStart w:id="753" w:name="_Toc6393"/>
      <w:bookmarkStart w:id="754" w:name="_Toc3810"/>
      <w:bookmarkStart w:id="755" w:name="_Toc27569"/>
      <w:bookmarkStart w:id="756" w:name="_Toc14378"/>
      <w:bookmarkStart w:id="757" w:name="_Toc24534"/>
      <w:r>
        <w:t>6.4B.2.3</w:t>
      </w:r>
      <w:r>
        <w:tab/>
      </w:r>
      <w:r>
        <w:t>In-band emissions for Category NB1 and NB2</w:t>
      </w:r>
      <w:bookmarkEnd w:id="753"/>
      <w:bookmarkEnd w:id="754"/>
      <w:bookmarkEnd w:id="755"/>
      <w:bookmarkEnd w:id="756"/>
      <w:bookmarkEnd w:id="757"/>
    </w:p>
    <w:p>
      <w:pPr>
        <w:pStyle w:val="112"/>
        <w:rPr>
          <w:lang w:val="en-US"/>
        </w:rPr>
      </w:pPr>
      <w:r>
        <w:t>Editor’s Note: Addition to applicability spec is pending.</w:t>
      </w:r>
    </w:p>
    <w:p>
      <w:pPr>
        <w:pStyle w:val="9"/>
      </w:pPr>
      <w:r>
        <w:t>6.4B.2.3.1</w:t>
      </w:r>
      <w:r>
        <w:tab/>
      </w:r>
      <w:r>
        <w:t>Test purpose</w:t>
      </w:r>
    </w:p>
    <w:p>
      <w:r>
        <w:t>The in-band emissions are a measure of the interference falling into the non-allocated tones.</w:t>
      </w:r>
    </w:p>
    <w:p>
      <w:r>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pPr>
        <w:pStyle w:val="9"/>
      </w:pPr>
      <w:r>
        <w:t>6.4B.2.3.2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6.4B.2.3.3</w:t>
      </w:r>
      <w:r>
        <w:tab/>
      </w:r>
      <w:r>
        <w:t>Minimum conformance requirements</w:t>
      </w:r>
    </w:p>
    <w:p>
      <w:pPr>
        <w:rPr>
          <w:rFonts w:cs="v5.0.0"/>
        </w:rPr>
      </w:pPr>
      <w:r>
        <w:t>The category NB1 and NB2 UE relative in-band emission shall not exceed the values specified in Table 6.4B.2.3.3-1</w:t>
      </w:r>
      <w:r>
        <w:rPr>
          <w:rFonts w:cs="v5.0.0"/>
        </w:rPr>
        <w:t>.</w:t>
      </w:r>
    </w:p>
    <w:p>
      <w:pPr>
        <w:pStyle w:val="113"/>
      </w:pPr>
      <w:r>
        <w:t>Table 6.</w:t>
      </w:r>
      <w:r>
        <w:rPr>
          <w:rFonts w:hint="eastAsia"/>
        </w:rPr>
        <w:t>4</w:t>
      </w:r>
      <w:r>
        <w:t>B.2.3.3-1: Minimum requirements for in-band emissions</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4"/>
        <w:gridCol w:w="1828"/>
        <w:gridCol w:w="1134"/>
        <w:gridCol w:w="3260"/>
        <w:gridCol w:w="1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4" w:type="dxa"/>
            <w:tcBorders>
              <w:bottom w:val="single" w:color="auto" w:sz="4" w:space="0"/>
              <w:right w:val="single" w:color="auto" w:sz="4" w:space="0"/>
            </w:tcBorders>
            <w:shd w:val="clear" w:color="auto" w:fill="auto"/>
            <w:vAlign w:val="center"/>
          </w:tcPr>
          <w:p>
            <w:pPr>
              <w:pStyle w:val="104"/>
              <w:rPr>
                <w:rFonts w:cs="Arial"/>
                <w:i/>
                <w:iCs/>
              </w:rPr>
            </w:pPr>
            <w:r>
              <w:rPr>
                <w:rFonts w:cs="Arial"/>
              </w:rPr>
              <w:t>Parameter description</w:t>
            </w:r>
          </w:p>
        </w:tc>
        <w:tc>
          <w:tcPr>
            <w:tcW w:w="1828"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Unit</w:t>
            </w:r>
          </w:p>
        </w:tc>
        <w:tc>
          <w:tcPr>
            <w:tcW w:w="4394" w:type="dxa"/>
            <w:gridSpan w:val="2"/>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Limit (NOTE 1)</w:t>
            </w:r>
          </w:p>
        </w:tc>
        <w:tc>
          <w:tcPr>
            <w:tcW w:w="1964"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414" w:type="dxa"/>
            <w:tcBorders>
              <w:top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General</w:t>
            </w:r>
          </w:p>
        </w:tc>
        <w:tc>
          <w:tcPr>
            <w:tcW w:w="1828"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w:t>
            </w:r>
          </w:p>
        </w:tc>
        <w:tc>
          <w:tcPr>
            <w:tcW w:w="4394" w:type="dxa"/>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position w:val="-50"/>
              </w:rPr>
              <w:object>
                <v:shape id="_x0000_i1060" o:spt="75" type="#_x0000_t75" style="height:47.4pt;width:161.4pt;" o:ole="t" filled="f" o:preferrelative="t" stroked="f" coordsize="21600,21600">
                  <v:path/>
                  <v:fill on="f" focussize="0,0"/>
                  <v:stroke on="f" joinstyle="miter"/>
                  <v:imagedata r:id="rId75" o:title=""/>
                  <o:lock v:ext="edit" aspectratio="t"/>
                  <w10:wrap type="none"/>
                  <w10:anchorlock/>
                </v:shape>
                <o:OLEObject Type="Embed" ProgID="Equation.3" ShapeID="_x0000_i1060" DrawAspect="Content" ObjectID="_1468075760" r:id="rId74">
                  <o:LockedField>false</o:LockedField>
                </o:OLEObject>
              </w:object>
            </w:r>
          </w:p>
        </w:tc>
        <w:tc>
          <w:tcPr>
            <w:tcW w:w="196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1414" w:type="dxa"/>
            <w:tcBorders>
              <w:top w:val="single" w:color="auto" w:sz="4" w:space="0"/>
              <w:right w:val="single" w:color="auto" w:sz="4" w:space="0"/>
            </w:tcBorders>
            <w:shd w:val="clear" w:color="auto" w:fill="auto"/>
            <w:vAlign w:val="center"/>
          </w:tcPr>
          <w:p>
            <w:pPr>
              <w:pStyle w:val="104"/>
              <w:rPr>
                <w:rFonts w:cs="Arial"/>
              </w:rPr>
            </w:pPr>
            <w:r>
              <w:rPr>
                <w:rFonts w:cs="Arial"/>
              </w:rPr>
              <w:t>IQ Image</w:t>
            </w:r>
          </w:p>
        </w:tc>
        <w:tc>
          <w:tcPr>
            <w:tcW w:w="1828" w:type="dxa"/>
            <w:tcBorders>
              <w:top w:val="single" w:color="auto" w:sz="4" w:space="0"/>
              <w:left w:val="single" w:color="auto" w:sz="4" w:space="0"/>
              <w:right w:val="single" w:color="auto" w:sz="4" w:space="0"/>
            </w:tcBorders>
            <w:vAlign w:val="center"/>
          </w:tcPr>
          <w:p>
            <w:pPr>
              <w:pStyle w:val="105"/>
              <w:rPr>
                <w:rFonts w:cs="Arial"/>
              </w:rPr>
            </w:pPr>
            <w:r>
              <w:rPr>
                <w:rFonts w:cs="Arial"/>
              </w:rPr>
              <w:t>dB</w:t>
            </w:r>
          </w:p>
        </w:tc>
        <w:tc>
          <w:tcPr>
            <w:tcW w:w="4394" w:type="dxa"/>
            <w:gridSpan w:val="2"/>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1964" w:type="dxa"/>
            <w:tcBorders>
              <w:top w:val="single" w:color="auto" w:sz="4" w:space="0"/>
              <w:left w:val="single" w:color="auto" w:sz="4" w:space="0"/>
              <w:right w:val="single" w:color="auto" w:sz="4" w:space="0"/>
            </w:tcBorders>
            <w:vAlign w:val="center"/>
          </w:tcPr>
          <w:p>
            <w:pPr>
              <w:pStyle w:val="105"/>
              <w:rPr>
                <w:rFonts w:cs="Arial"/>
              </w:rPr>
            </w:pPr>
            <w:r>
              <w:rPr>
                <w:rFonts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1414"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Carrier leakage</w:t>
            </w:r>
          </w:p>
        </w:tc>
        <w:tc>
          <w:tcPr>
            <w:tcW w:w="1828"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dBc</w:t>
            </w: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0 dBm ≤ Output power</w:t>
            </w:r>
          </w:p>
        </w:tc>
        <w:tc>
          <w:tcPr>
            <w:tcW w:w="1964"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Carrier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1414" w:type="dxa"/>
            <w:vMerge w:val="continue"/>
            <w:tcBorders>
              <w:right w:val="single" w:color="auto" w:sz="4" w:space="0"/>
            </w:tcBorders>
            <w:shd w:val="clear" w:color="auto" w:fill="auto"/>
            <w:vAlign w:val="center"/>
          </w:tcPr>
          <w:p>
            <w:pPr>
              <w:pStyle w:val="104"/>
              <w:rPr>
                <w:rFonts w:cs="Arial"/>
              </w:rPr>
            </w:pPr>
          </w:p>
        </w:tc>
        <w:tc>
          <w:tcPr>
            <w:tcW w:w="1828" w:type="dxa"/>
            <w:vMerge w:val="continue"/>
            <w:tcBorders>
              <w:left w:val="single" w:color="auto" w:sz="4" w:space="0"/>
              <w:right w:val="single" w:color="auto" w:sz="4" w:space="0"/>
            </w:tcBorders>
            <w:vAlign w:val="center"/>
          </w:tcPr>
          <w:p>
            <w:pPr>
              <w:pStyle w:val="105"/>
              <w:rPr>
                <w:rFonts w:cs="Arial"/>
              </w:rPr>
            </w:pP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-20</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-30 dBm ≤ Output power ≤ 0 dBm</w:t>
            </w:r>
          </w:p>
        </w:tc>
        <w:tc>
          <w:tcPr>
            <w:tcW w:w="1964"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1414" w:type="dxa"/>
            <w:vMerge w:val="continue"/>
            <w:tcBorders>
              <w:right w:val="single" w:color="auto" w:sz="4" w:space="0"/>
            </w:tcBorders>
            <w:shd w:val="clear" w:color="auto" w:fill="auto"/>
            <w:vAlign w:val="center"/>
          </w:tcPr>
          <w:p>
            <w:pPr>
              <w:pStyle w:val="104"/>
              <w:rPr>
                <w:rFonts w:cs="Arial"/>
              </w:rPr>
            </w:pPr>
          </w:p>
        </w:tc>
        <w:tc>
          <w:tcPr>
            <w:tcW w:w="1828" w:type="dxa"/>
            <w:vMerge w:val="continue"/>
            <w:tcBorders>
              <w:left w:val="single" w:color="auto" w:sz="4" w:space="0"/>
              <w:right w:val="single" w:color="auto" w:sz="4" w:space="0"/>
            </w:tcBorders>
            <w:vAlign w:val="center"/>
          </w:tcPr>
          <w:p>
            <w:pPr>
              <w:pStyle w:val="105"/>
              <w:rPr>
                <w:rFonts w:cs="Arial"/>
              </w:rPr>
            </w:pP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-10</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 xml:space="preserve">-40 dBm </w:t>
            </w:r>
            <w:r>
              <w:rPr>
                <w:rFonts w:cs="Arial"/>
              </w:rPr>
              <w:sym w:font="Symbol" w:char="F0A3"/>
            </w:r>
            <w:r>
              <w:rPr>
                <w:rFonts w:cs="Arial"/>
              </w:rPr>
              <w:t xml:space="preserve"> Output power &lt; -30 dBm</w:t>
            </w:r>
          </w:p>
        </w:tc>
        <w:tc>
          <w:tcPr>
            <w:tcW w:w="1964"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5"/>
            <w:tcBorders>
              <w:right w:val="single" w:color="auto" w:sz="4" w:space="0"/>
            </w:tcBorders>
            <w:shd w:val="clear" w:color="auto" w:fill="auto"/>
            <w:vAlign w:val="center"/>
          </w:tcPr>
          <w:p>
            <w:pPr>
              <w:pStyle w:val="118"/>
              <w:rPr>
                <w:rFonts w:cs="Arial"/>
              </w:rPr>
            </w:pPr>
            <w:r>
              <w:rPr>
                <w:rFonts w:cs="Arial"/>
              </w:rPr>
              <w:t>NOTE 1:</w:t>
            </w:r>
            <w:r>
              <w:rPr>
                <w:rFonts w:cs="Arial"/>
              </w:rPr>
              <w:tab/>
            </w:r>
            <w:r>
              <w:rPr>
                <w:rFonts w:cs="Arial"/>
              </w:rPr>
              <w:t xml:space="preserve">An in-band emissions combined limit is evaluated in each non-allocated tone. For each such tone, the minimum requirement is calculated as the higher of </w:t>
            </w:r>
            <w:r>
              <w:rPr>
                <w:rFonts w:cs="Arial"/>
                <w:i/>
              </w:rPr>
              <w:t>P</w:t>
            </w:r>
            <w:r>
              <w:rPr>
                <w:rFonts w:cs="Arial"/>
                <w:i/>
                <w:vertAlign w:val="subscript"/>
              </w:rPr>
              <w:t xml:space="preserve">tone </w:t>
            </w:r>
            <w:r>
              <w:rPr>
                <w:rFonts w:cs="Arial"/>
              </w:rPr>
              <w:t xml:space="preserve">- 30 dB and the power sum of all limit values (General, IQ Image or Carrier leakage) that apply. </w:t>
            </w:r>
            <w:r>
              <w:rPr>
                <w:rFonts w:cs="Arial"/>
                <w:i/>
              </w:rPr>
              <w:t>P</w:t>
            </w:r>
            <w:r>
              <w:rPr>
                <w:rFonts w:cs="Arial"/>
                <w:i/>
                <w:vertAlign w:val="subscript"/>
              </w:rPr>
              <w:t>tone</w:t>
            </w:r>
            <w:r>
              <w:rPr>
                <w:rFonts w:cs="Arial"/>
                <w:i/>
              </w:rPr>
              <w:t xml:space="preserve"> </w:t>
            </w:r>
            <w:r>
              <w:rPr>
                <w:rFonts w:cs="Arial"/>
              </w:rPr>
              <w:t>is defined in NOTE 10.</w:t>
            </w:r>
          </w:p>
          <w:p>
            <w:pPr>
              <w:pStyle w:val="118"/>
              <w:rPr>
                <w:rFonts w:cs="Arial"/>
              </w:rPr>
            </w:pPr>
            <w:r>
              <w:rPr>
                <w:rFonts w:cs="Arial"/>
              </w:rPr>
              <w:t>NOTE 2:</w:t>
            </w:r>
            <w:r>
              <w:rPr>
                <w:rFonts w:cs="Arial"/>
              </w:rPr>
              <w:tab/>
            </w:r>
            <w:r>
              <w:rPr>
                <w:rFonts w:cs="Arial"/>
              </w:rPr>
              <w:t>The measurement bandwidth is 1 tone and the limit is expressed as a ratio of measured power in one non-allocated tone to the measured average power per allocated tone, where the averaging is done across all allocated tones.</w:t>
            </w:r>
          </w:p>
          <w:p>
            <w:pPr>
              <w:pStyle w:val="118"/>
              <w:rPr>
                <w:rFonts w:cs="Arial"/>
              </w:rPr>
            </w:pPr>
            <w:r>
              <w:rPr>
                <w:rFonts w:cs="Arial"/>
              </w:rPr>
              <w:t>NOTE 3:</w:t>
            </w:r>
            <w:r>
              <w:rPr>
                <w:rFonts w:cs="Arial"/>
              </w:rPr>
              <w:tab/>
            </w:r>
            <w:r>
              <w:rPr>
                <w:rFonts w:cs="Arial"/>
              </w:rPr>
              <w:t>The applicable frequencies for this limit are those that are enclosed in the reflection of the allocated bandwidth, based on symmetry with respect to the centre carrier frequency, but excluding any allocated tones.</w:t>
            </w:r>
          </w:p>
          <w:p>
            <w:pPr>
              <w:pStyle w:val="118"/>
              <w:rPr>
                <w:rFonts w:cs="Arial"/>
              </w:rPr>
            </w:pPr>
            <w:r>
              <w:rPr>
                <w:rFonts w:cs="Arial"/>
              </w:rPr>
              <w:t>NOTE 4:</w:t>
            </w:r>
            <w:r>
              <w:rPr>
                <w:rFonts w:cs="Arial"/>
              </w:rPr>
              <w:tab/>
            </w:r>
            <w:r>
              <w:rPr>
                <w:rFonts w:cs="Arial"/>
              </w:rPr>
              <w:t>The measurement bandwidth is 1 tone and the limit is expressed as a ratio of measured power in one non-allocated tone to the measured total power in all allocated tones.</w:t>
            </w:r>
          </w:p>
          <w:p>
            <w:pPr>
              <w:pStyle w:val="118"/>
              <w:rPr>
                <w:rFonts w:cs="Arial"/>
              </w:rPr>
            </w:pPr>
            <w:r>
              <w:rPr>
                <w:rFonts w:cs="Arial"/>
              </w:rPr>
              <w:t>NOTE 5:</w:t>
            </w:r>
            <w:r>
              <w:rPr>
                <w:rFonts w:cs="Arial"/>
              </w:rPr>
              <w:tab/>
            </w:r>
            <w:r>
              <w:rPr>
                <w:rFonts w:cs="Arial"/>
              </w:rPr>
              <w:t xml:space="preserve">The applicable frequencies for this limit are those that are enclosed in the tones containing the DC frequency if </w:t>
            </w:r>
            <w:r>
              <w:rPr>
                <w:rFonts w:cs="Arial"/>
                <w:position w:val="-12"/>
              </w:rPr>
              <w:object>
                <v:shape id="_x0000_i1061" o:spt="75" type="#_x0000_t75" style="height:19.2pt;width:24.6pt;" o:ole="t" filled="f" o:preferrelative="t" stroked="f" coordsize="21600,21600">
                  <v:path/>
                  <v:fill on="f" focussize="0,0"/>
                  <v:stroke on="f" joinstyle="miter"/>
                  <v:imagedata r:id="rId77" o:title=""/>
                  <o:lock v:ext="edit" aspectratio="t"/>
                  <w10:wrap type="none"/>
                  <w10:anchorlock/>
                </v:shape>
                <o:OLEObject Type="Embed" ProgID="Equation.3" ShapeID="_x0000_i1061" DrawAspect="Content" ObjectID="_1468075761" r:id="rId76">
                  <o:LockedField>false</o:LockedField>
                </o:OLEObject>
              </w:object>
            </w:r>
            <w:r>
              <w:rPr>
                <w:rFonts w:cs="Arial"/>
              </w:rPr>
              <w:t xml:space="preserve"> is odd, or in the two tones immediately adjacent to the DC frequency if </w:t>
            </w:r>
            <w:r>
              <w:rPr>
                <w:rFonts w:cs="Arial"/>
                <w:position w:val="-12"/>
              </w:rPr>
              <w:object>
                <v:shape id="_x0000_i1062" o:spt="75" type="#_x0000_t75" style="height:19.2pt;width:24.6pt;" o:ole="t" filled="f" o:preferrelative="t" stroked="f" coordsize="21600,21600">
                  <v:path/>
                  <v:fill on="f" focussize="0,0"/>
                  <v:stroke on="f" joinstyle="miter"/>
                  <v:imagedata r:id="rId79" o:title=""/>
                  <o:lock v:ext="edit" aspectratio="t"/>
                  <w10:wrap type="none"/>
                  <w10:anchorlock/>
                </v:shape>
                <o:OLEObject Type="Embed" ProgID="Equation.3" ShapeID="_x0000_i1062" DrawAspect="Content" ObjectID="_1468075762" r:id="rId78">
                  <o:LockedField>false</o:LockedField>
                </o:OLEObject>
              </w:object>
            </w:r>
            <w:r>
              <w:rPr>
                <w:rFonts w:cs="Arial"/>
              </w:rPr>
              <w:t xml:space="preserve"> is even, but excluding any allocated tone.</w:t>
            </w:r>
          </w:p>
          <w:p>
            <w:pPr>
              <w:pStyle w:val="118"/>
              <w:rPr>
                <w:rFonts w:cs="Arial"/>
              </w:rPr>
            </w:pPr>
            <w:r>
              <w:rPr>
                <w:rFonts w:cs="Arial"/>
              </w:rPr>
              <w:t>NOTE 6:</w:t>
            </w:r>
            <w:r>
              <w:rPr>
                <w:rFonts w:cs="Arial"/>
              </w:rPr>
              <w:tab/>
            </w:r>
            <w:r>
              <w:rPr>
                <w:rFonts w:cs="Arial"/>
                <w:position w:val="-12"/>
              </w:rPr>
              <w:object>
                <v:shape id="_x0000_i1063" o:spt="75" type="#_x0000_t75" style="height:19.2pt;width:27.6pt;" o:ole="t" filled="f" o:preferrelative="t" stroked="f" coordsize="21600,21600">
                  <v:path/>
                  <v:fill on="f" focussize="0,0"/>
                  <v:stroke on="f" joinstyle="miter"/>
                  <v:imagedata r:id="rId81" o:title=""/>
                  <o:lock v:ext="edit" aspectratio="t"/>
                  <w10:wrap type="none"/>
                  <w10:anchorlock/>
                </v:shape>
                <o:OLEObject Type="Embed" ProgID="Equation.3" ShapeID="_x0000_i1063" DrawAspect="Content" ObjectID="_1468075763" r:id="rId80">
                  <o:LockedField>false</o:LockedField>
                </o:OLEObject>
              </w:object>
            </w:r>
            <w:r>
              <w:rPr>
                <w:rFonts w:cs="Arial"/>
              </w:rPr>
              <w:t xml:space="preserve"> is the Transmission Bandwidth (tones).</w:t>
            </w:r>
          </w:p>
          <w:p>
            <w:pPr>
              <w:pStyle w:val="118"/>
              <w:rPr>
                <w:rFonts w:cs="Arial"/>
              </w:rPr>
            </w:pPr>
            <w:r>
              <w:rPr>
                <w:rFonts w:cs="Arial"/>
              </w:rPr>
              <w:t>NOTE 7:</w:t>
            </w:r>
            <w:r>
              <w:rPr>
                <w:rFonts w:cs="Arial"/>
              </w:rPr>
              <w:tab/>
            </w:r>
            <w:r>
              <w:rPr>
                <w:rFonts w:cs="Arial"/>
                <w:position w:val="-12"/>
              </w:rPr>
              <w:object>
                <v:shape id="_x0000_i1064" o:spt="75" type="#_x0000_t75" style="height:19.2pt;width:24.6pt;" o:ole="t" filled="f" o:preferrelative="t" stroked="f" coordsize="21600,21600">
                  <v:path/>
                  <v:fill on="f" focussize="0,0"/>
                  <v:stroke on="f" joinstyle="miter"/>
                  <v:imagedata r:id="rId83" o:title=""/>
                  <o:lock v:ext="edit" aspectratio="t"/>
                  <w10:wrap type="none"/>
                  <w10:anchorlock/>
                </v:shape>
                <o:OLEObject Type="Embed" ProgID="Equation.3" ShapeID="_x0000_i1064" DrawAspect="Content" ObjectID="_1468075764" r:id="rId82">
                  <o:LockedField>false</o:LockedField>
                </o:OLEObject>
              </w:object>
            </w:r>
            <w:r>
              <w:rPr>
                <w:rFonts w:cs="Arial"/>
              </w:rPr>
              <w:t xml:space="preserve"> is the Transmission Bandwidth Configuration (tones).</w:t>
            </w:r>
          </w:p>
          <w:p>
            <w:pPr>
              <w:pStyle w:val="118"/>
              <w:rPr>
                <w:rFonts w:cs="Arial"/>
              </w:rPr>
            </w:pPr>
            <w:r>
              <w:rPr>
                <w:rFonts w:cs="Arial"/>
              </w:rPr>
              <w:t>NOTE 8:</w:t>
            </w:r>
            <w:r>
              <w:rPr>
                <w:rFonts w:cs="Arial"/>
              </w:rPr>
              <w:tab/>
            </w:r>
            <w:r>
              <w:rPr>
                <w:rFonts w:cs="Arial"/>
                <w:position w:val="-12"/>
              </w:rPr>
              <w:object>
                <v:shape id="_x0000_i1065" o:spt="75" type="#_x0000_t75" style="height:19.2pt;width:24.6pt;" o:ole="t" filled="f" o:preferrelative="t" stroked="f" coordsize="21600,21600">
                  <v:path/>
                  <v:fill on="f" focussize="0,0"/>
                  <v:stroke on="f" joinstyle="miter"/>
                  <v:imagedata r:id="rId85" o:title=""/>
                  <o:lock v:ext="edit" aspectratio="t"/>
                  <w10:wrap type="none"/>
                  <w10:anchorlock/>
                </v:shape>
                <o:OLEObject Type="Embed" ProgID="Equation.3" ShapeID="_x0000_i1065" DrawAspect="Content" ObjectID="_1468075765" r:id="rId84">
                  <o:LockedField>false</o:LockedField>
                </o:OLEObject>
              </w:object>
            </w:r>
            <w:r>
              <w:rPr>
                <w:rFonts w:cs="Arial"/>
              </w:rPr>
              <w:t xml:space="preserve"> is the starting frequency offset between the allocated tone and the measured non-allocated tone. (e.g. </w:t>
            </w:r>
            <w:r>
              <w:rPr>
                <w:rFonts w:cs="Arial"/>
                <w:position w:val="-12"/>
              </w:rPr>
              <w:object>
                <v:shape id="_x0000_i1066" o:spt="75" type="#_x0000_t75" style="height:19.2pt;width:40.2pt;" o:ole="t" filled="f" o:preferrelative="t" stroked="f" coordsize="21600,21600">
                  <v:path/>
                  <v:fill on="f" focussize="0,0"/>
                  <v:stroke on="f" joinstyle="miter"/>
                  <v:imagedata r:id="rId87" o:title=""/>
                  <o:lock v:ext="edit" aspectratio="t"/>
                  <w10:wrap type="none"/>
                  <w10:anchorlock/>
                </v:shape>
                <o:OLEObject Type="Embed" ProgID="Equation.3" ShapeID="_x0000_i1066" DrawAspect="Content" ObjectID="_1468075766" r:id="rId86">
                  <o:LockedField>false</o:LockedField>
                </o:OLEObject>
              </w:object>
            </w:r>
            <w:r>
              <w:rPr>
                <w:rFonts w:cs="Arial"/>
              </w:rPr>
              <w:t xml:space="preserve"> or </w:t>
            </w:r>
            <w:r>
              <w:rPr>
                <w:rFonts w:cs="Arial"/>
                <w:position w:val="-12"/>
              </w:rPr>
              <w:object>
                <v:shape id="_x0000_i1067" o:spt="75" type="#_x0000_t75" style="height:19.2pt;width:47.4pt;" o:ole="t" filled="f" o:preferrelative="t" stroked="f" coordsize="21600,21600">
                  <v:path/>
                  <v:fill on="f" focussize="0,0"/>
                  <v:stroke on="f" joinstyle="miter"/>
                  <v:imagedata r:id="rId89" o:title=""/>
                  <o:lock v:ext="edit" aspectratio="t"/>
                  <w10:wrap type="none"/>
                  <w10:anchorlock/>
                </v:shape>
                <o:OLEObject Type="Embed" ProgID="Equation.3" ShapeID="_x0000_i1067" DrawAspect="Content" ObjectID="_1468075767" r:id="rId88">
                  <o:LockedField>false</o:LockedField>
                </o:OLEObject>
              </w:object>
            </w:r>
            <w:r>
              <w:rPr>
                <w:rFonts w:cs="Arial"/>
              </w:rPr>
              <w:t xml:space="preserve"> for the first adjacent tone outside of the allocated bandwidth.</w:t>
            </w:r>
          </w:p>
          <w:p>
            <w:pPr>
              <w:pStyle w:val="118"/>
              <w:rPr>
                <w:rFonts w:cs="Arial"/>
              </w:rPr>
            </w:pPr>
            <w:r>
              <w:rPr>
                <w:rFonts w:cs="Arial"/>
              </w:rPr>
              <w:t>NOTE 9:</w:t>
            </w:r>
            <w:r>
              <w:rPr>
                <w:rFonts w:cs="Arial"/>
              </w:rPr>
              <w:tab/>
            </w:r>
            <w:r>
              <w:rPr>
                <w:rFonts w:cs="Arial"/>
                <w:position w:val="-12"/>
              </w:rPr>
              <w:object>
                <v:shape id="_x0000_i1068" o:spt="75" type="#_x0000_t75" style="height:19.2pt;width:22.2pt;" o:ole="t" filled="f" o:preferrelative="t" stroked="f" coordsize="21600,21600">
                  <v:path/>
                  <v:fill on="f" focussize="0,0"/>
                  <v:stroke on="f" joinstyle="miter"/>
                  <v:imagedata r:id="rId91" o:title=""/>
                  <o:lock v:ext="edit" aspectratio="t"/>
                  <w10:wrap type="none"/>
                  <w10:anchorlock/>
                </v:shape>
                <o:OLEObject Type="Embed" ProgID="Equation.3" ShapeID="_x0000_i1068" DrawAspect="Content" ObjectID="_1468075768" r:id="rId90">
                  <o:LockedField>false</o:LockedField>
                </o:OLEObject>
              </w:object>
            </w:r>
            <w:r>
              <w:rPr>
                <w:rFonts w:cs="Arial"/>
              </w:rPr>
              <w:t xml:space="preserve"> is the transmitted power per 3.75 kHz or 15 kHz in allocated tones, measured in dBm.</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6.4B.2.</w:t>
      </w:r>
    </w:p>
    <w:p>
      <w:pPr>
        <w:pStyle w:val="9"/>
      </w:pPr>
      <w:r>
        <w:t>6.4B.2.3.4</w:t>
      </w:r>
      <w:r>
        <w:tab/>
      </w:r>
      <w:r>
        <w:t>Test description</w:t>
      </w:r>
    </w:p>
    <w:p>
      <w:pPr>
        <w:pStyle w:val="9"/>
      </w:pPr>
      <w:r>
        <w:t>6.4B.2.3.4.1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pPr>
        <w:rPr>
          <w:rFonts w:cs="v5.0.0"/>
        </w:rPr>
      </w:pPr>
    </w:p>
    <w:p>
      <w:pPr>
        <w:pStyle w:val="113"/>
      </w:pPr>
      <w:r>
        <w:t xml:space="preserve">Table 6.4B.2.3.4.1-1: Test Configuration Table for FDD </w:t>
      </w:r>
    </w:p>
    <w:tbl>
      <w:tblPr>
        <w:tblStyle w:val="89"/>
        <w:tblW w:w="9340" w:type="dxa"/>
        <w:jc w:val="center"/>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rPr>
                <w:highlight w:val="green"/>
              </w:rPr>
            </w:pPr>
            <w:r>
              <w:t>Initial Conditions</w:t>
            </w:r>
          </w:p>
        </w:tc>
      </w:tr>
      <w:tr>
        <w:tblPrEx>
          <w:shd w:val="clear" w:color="auto" w:fill="FFFFFF"/>
          <w:tblCellMar>
            <w:top w:w="0" w:type="dxa"/>
            <w:left w:w="0" w:type="dxa"/>
            <w:bottom w:w="0" w:type="dxa"/>
            <w:right w:w="0" w:type="dxa"/>
          </w:tblCellMar>
        </w:tblPrEx>
        <w:trPr>
          <w:cantSplit/>
          <w:jc w:val="center"/>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5"/>
            </w:pPr>
            <w:r>
              <w:t>Test Environment as specified in</w:t>
            </w:r>
          </w:p>
          <w:p>
            <w:pPr>
              <w:pStyle w:val="105"/>
            </w:pPr>
            <w:r>
              <w:t>TS 36.508[7] subclause 8.1.1</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jc w:val="left"/>
            </w:pPr>
            <w:r>
              <w:rPr>
                <w:bCs/>
              </w:rPr>
              <w:t>Normal</w:t>
            </w:r>
          </w:p>
        </w:tc>
      </w:tr>
      <w:tr>
        <w:tblPrEx>
          <w:shd w:val="clear" w:color="auto" w:fill="FFFFFF"/>
          <w:tblCellMar>
            <w:top w:w="0" w:type="dxa"/>
            <w:left w:w="0" w:type="dxa"/>
            <w:bottom w:w="0" w:type="dxa"/>
            <w:right w:w="0" w:type="dxa"/>
          </w:tblCellMar>
        </w:tblPrEx>
        <w:trPr>
          <w:cantSplit/>
          <w:jc w:val="center"/>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5"/>
            </w:pPr>
            <w:r>
              <w:t>Test Frequencies as specified in</w:t>
            </w:r>
          </w:p>
          <w:p>
            <w:pPr>
              <w:pStyle w:val="105"/>
            </w:pPr>
            <w:r>
              <w:t>TS 36.508 [7] subclause 8.1.3.1</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jc w:val="left"/>
            </w:pPr>
            <w:r>
              <w:rPr>
                <w:rFonts w:eastAsia="微软雅黑" w:cs="Arial"/>
              </w:rPr>
              <w:t>Frequency ranges defined in Annex K.1.1</w:t>
            </w:r>
            <w:r>
              <w:t xml:space="preserve"> </w:t>
            </w:r>
          </w:p>
        </w:tc>
      </w:tr>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pPr>
            <w:r>
              <w:t>Test Parameters</w:t>
            </w:r>
          </w:p>
        </w:tc>
      </w:tr>
      <w:tr>
        <w:tblPrEx>
          <w:shd w:val="clear" w:color="auto" w:fill="FFFFFF"/>
          <w:tblCellMar>
            <w:top w:w="0" w:type="dxa"/>
            <w:left w:w="0" w:type="dxa"/>
            <w:bottom w:w="0" w:type="dxa"/>
            <w:right w:w="0" w:type="dxa"/>
          </w:tblCellMar>
        </w:tblPrEx>
        <w:trPr>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4"/>
            </w:pPr>
            <w:r>
              <w:t>Configuration ID</w:t>
            </w:r>
          </w:p>
        </w:tc>
        <w:tc>
          <w:tcPr>
            <w:tcW w:w="2616"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pPr>
            <w:r>
              <w:t>Downlink Configuration</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pPr>
            <w:r>
              <w:t>Uplink Configuration</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pPr>
          </w:p>
        </w:tc>
        <w:tc>
          <w:tcPr>
            <w:tcW w:w="2616" w:type="dxa"/>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vAlign w:val="center"/>
          </w:tcPr>
          <w:p>
            <w:pPr>
              <w:pStyle w:val="105"/>
            </w:pPr>
            <w:r>
              <w:t>N/A</w:t>
            </w: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Modulation</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N</w:t>
            </w:r>
            <w:r>
              <w:rPr>
                <w:vertAlign w:val="subscript"/>
              </w:rPr>
              <w:t>tones</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Sub-carrier spacing (kHz)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pPr>
            <w:r>
              <w:rPr>
                <w:rFonts w:cs="Arial"/>
              </w:rPr>
              <w:t>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3.75kHz</w:t>
            </w:r>
          </w:p>
        </w:tc>
      </w:tr>
      <w:tr>
        <w:tblPrEx>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pPr>
            <w:r>
              <w:rPr>
                <w:rFonts w:cs="Arial"/>
              </w:rPr>
              <w:t>2</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1@47</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3.75kHz</w:t>
            </w:r>
          </w:p>
        </w:tc>
      </w:tr>
      <w:tr>
        <w:tblPrEx>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rPr>
                <w:rFonts w:cs="Arial"/>
              </w:rPr>
            </w:pPr>
            <w:r>
              <w:rPr>
                <w:rFonts w:cs="Arial"/>
              </w:rPr>
              <w:t>3</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rPr>
                <w:rFonts w:cs="Arial"/>
              </w:rPr>
            </w:pPr>
            <w:r>
              <w:rPr>
                <w:rFonts w:cs="Arial"/>
              </w:rPr>
              <w:t>4</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1@11</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15kHz</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 and uplink signals according to Annex H.1 and H.4.0.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6.4B.2.3.4.1-1.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color w:val="000000" w:themeColor="text1"/>
          <w:lang w:eastAsia="en-GB"/>
          <w14:textFill>
            <w14:solidFill>
              <w14:schemeClr w14:val="tx1"/>
            </w14:solidFill>
          </w14:textFill>
        </w:rPr>
      </w:pPr>
      <w:r>
        <w:rPr>
          <w:rFonts w:hint="eastAsia"/>
          <w:lang w:eastAsia="en-GB"/>
        </w:rPr>
        <w:t>6</w:t>
      </w:r>
      <w:r>
        <w:rPr>
          <w:lang w:eastAsia="en-GB"/>
        </w:rPr>
        <w:t>.</w:t>
      </w:r>
      <w:r>
        <w:rPr>
          <w:lang w:eastAsia="en-GB"/>
        </w:rPr>
        <w:tab/>
      </w:r>
      <w:r>
        <w:rPr>
          <w:rFonts w:hint="eastAsia"/>
          <w:lang w:eastAsia="en-GB"/>
        </w:rPr>
        <w:t>UE location accordin</w:t>
      </w:r>
      <w:r>
        <w:rPr>
          <w:rFonts w:hint="eastAsia"/>
          <w:color w:val="000000" w:themeColor="text1"/>
          <w:lang w:eastAsia="en-GB"/>
          <w14:textFill>
            <w14:solidFill>
              <w14:schemeClr w14:val="tx1"/>
            </w14:solidFill>
          </w14:textFill>
        </w:rPr>
        <w:t>g to TS 36.508 [12] clause 8.2.6.1 is provided to the UE through any preconfigured means.</w:t>
      </w:r>
    </w:p>
    <w:p>
      <w:pPr>
        <w:pStyle w:val="111"/>
        <w:overflowPunct w:val="0"/>
        <w:autoSpaceDE w:val="0"/>
        <w:autoSpaceDN w:val="0"/>
        <w:adjustRightInd w:val="0"/>
        <w:contextualSpacing w:val="0"/>
        <w:textAlignment w:val="baseline"/>
      </w:pPr>
      <w:r>
        <w:rPr>
          <w:rFonts w:hint="eastAsia"/>
          <w:color w:val="000000" w:themeColor="text1"/>
          <w:lang w:eastAsia="en-GB"/>
          <w14:textFill>
            <w14:solidFill>
              <w14:schemeClr w14:val="tx1"/>
            </w14:solidFill>
          </w14:textFill>
        </w:rPr>
        <w:t>7</w:t>
      </w:r>
      <w:r>
        <w:rPr>
          <w:color w:val="000000" w:themeColor="text1"/>
          <w:lang w:eastAsia="en-GB"/>
          <w14:textFill>
            <w14:solidFill>
              <w14:schemeClr w14:val="tx1"/>
            </w14:solidFill>
          </w14:textFill>
        </w:rPr>
        <w:t>.</w:t>
      </w:r>
      <w:r>
        <w:rPr>
          <w:color w:val="000000" w:themeColor="text1"/>
          <w:lang w:eastAsia="en-GB"/>
          <w14:textFill>
            <w14:solidFill>
              <w14:schemeClr w14:val="tx1"/>
            </w14:solidFill>
          </w14:textFill>
        </w:rPr>
        <w:tab/>
      </w:r>
      <w:r>
        <w:rPr>
          <w:color w:val="000000" w:themeColor="text1"/>
          <w14:textFill>
            <w14:solidFill>
              <w14:schemeClr w14:val="tx1"/>
            </w14:solidFill>
          </w14:textFill>
        </w:rPr>
        <w:t xml:space="preserve">Test equipment shall emulate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w:t>
      </w:r>
      <w:r>
        <w:t>uring the duration of the test as define in TS 36.508[12] clause 8.2.6.3.1</w:t>
      </w:r>
    </w:p>
    <w:p>
      <w:pPr>
        <w:pStyle w:val="111"/>
        <w:overflowPunct w:val="0"/>
        <w:autoSpaceDE w:val="0"/>
        <w:autoSpaceDN w:val="0"/>
        <w:adjustRightInd w:val="0"/>
        <w:contextualSpacing w:val="0"/>
        <w:textAlignment w:val="baseline"/>
        <w:rPr>
          <w:lang w:eastAsia="en-GB"/>
        </w:rPr>
      </w:pPr>
      <w:r>
        <w:rPr>
          <w:rFonts w:hint="eastAsia"/>
        </w:rPr>
        <w:t>8</w:t>
      </w:r>
      <w:r>
        <w:t>.</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State 2A-NB with CP CIoT Optimisation to TS 36.508 [12] clause 8.1.5. Message contents are defined in clause 6.4B.2.2.4.3.</w:t>
      </w:r>
    </w:p>
    <w:p>
      <w:pPr>
        <w:pStyle w:val="9"/>
      </w:pPr>
      <w:r>
        <w:t>6.4B.2.3.4.2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 xml:space="preserve">1. </w:t>
      </w:r>
      <w:r>
        <w:rPr>
          <w:rFonts w:hint="eastAsia"/>
          <w:lang w:eastAsia="en-GB"/>
        </w:rPr>
        <w:tab/>
      </w:r>
      <w:r>
        <w:rPr>
          <w:rFonts w:hint="eastAsia"/>
          <w:lang w:eastAsia="en-GB"/>
        </w:rPr>
        <w:t>SS sends uplink scheduling information via NPDCCH DCI format 0 for C_RNTI to schedule the UL RMC according to Table 6.4B.2.3.4.1-1.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 xml:space="preserve">Measure In-band emission using Global In-Channel Tx-Test (Annex E). </w:t>
      </w:r>
    </w:p>
    <w:p>
      <w:pPr>
        <w:pStyle w:val="111"/>
        <w:shd w:val="clear" w:color="auto" w:fill="FFFFFF"/>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Release the connection through State 3A-NB.</w:t>
      </w:r>
    </w:p>
    <w:p>
      <w:pPr>
        <w:pStyle w:val="111"/>
        <w:shd w:val="clear" w:color="auto" w:fill="FFFFFF"/>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Modify system information elements according to Table 6.4B.2.3.4.3-1 and Table 6.4B.2.3.4.3-2 and notify the UE via paging message with SystemInformationModification included.</w:t>
      </w:r>
    </w:p>
    <w:p>
      <w:pPr>
        <w:pStyle w:val="111"/>
        <w:shd w:val="clear" w:color="auto" w:fill="FFFFFF"/>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SS sends uplink scheduling information for UL HARQ process via NPDCCH DCI format 0 for C_RNTI to schedule the UL RMC according to Table 6.4B.2.3.4.1-1.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 xml:space="preserve">Measure In-band emission using Global In-Channel Tx-Test (Annex E). </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
      <w:pPr>
        <w:pStyle w:val="9"/>
      </w:pPr>
      <w:r>
        <w:t>6.4B.2.3.4.3</w:t>
      </w:r>
      <w:r>
        <w:tab/>
      </w:r>
      <w:r>
        <w:t>Message contents</w:t>
      </w:r>
    </w:p>
    <w:p>
      <w:r>
        <w:t>Message contents are according to TS 36.508 [12] subclause 8.1.6 with the following exceptions:</w:t>
      </w:r>
    </w:p>
    <w:p>
      <w:pPr>
        <w:pStyle w:val="113"/>
      </w:pPr>
      <w:r>
        <w:t>Table 6.4B.2.3.4.3-1: P0-NominalNPUSCH-r13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-117 (dBm)</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al1 (1)</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bl>
    <w:p/>
    <w:p>
      <w:pPr>
        <w:pStyle w:val="113"/>
      </w:pPr>
      <w:r>
        <w:t>Table 6.4B.2.3.4.3-2: NPDSCH-ConfigCommon-NB-DEFAULT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keepNext/>
              <w:keepLines/>
              <w:spacing w:after="0"/>
              <w:rPr>
                <w:rFonts w:ascii="Arial" w:hAnsi="Arial"/>
                <w:sz w:val="18"/>
              </w:rPr>
            </w:pPr>
            <w:r>
              <w:rPr>
                <w:rFonts w:ascii="Arial" w:hAnsi="Arial"/>
                <w:sz w:val="18"/>
              </w:rPr>
              <w:t>Derivation Path: 36.508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bottom w:val="single" w:color="auto" w:sz="4" w:space="0"/>
            </w:tcBorders>
          </w:tcPr>
          <w:p>
            <w:pPr>
              <w:keepNext/>
              <w:keepLines/>
              <w:spacing w:after="0"/>
              <w:rPr>
                <w:rFonts w:ascii="Arial" w:hAnsi="Arial"/>
                <w:sz w:val="18"/>
              </w:rPr>
            </w:pPr>
            <w:r>
              <w:rPr>
                <w:rFonts w:ascii="Arial" w:hAnsi="Arial"/>
                <w:sz w:val="18"/>
              </w:rPr>
              <w:t xml:space="preserve">  nrs-Power-r13</w:t>
            </w:r>
          </w:p>
        </w:tc>
        <w:tc>
          <w:tcPr>
            <w:tcW w:w="2268" w:type="dxa"/>
          </w:tcPr>
          <w:p>
            <w:pPr>
              <w:keepNext/>
              <w:keepLines/>
              <w:spacing w:after="0"/>
              <w:rPr>
                <w:rFonts w:ascii="Arial" w:hAnsi="Arial"/>
                <w:sz w:val="18"/>
              </w:rPr>
            </w:pPr>
            <w:r>
              <w:rPr>
                <w:rFonts w:ascii="Arial" w:hAnsi="Arial"/>
                <w:sz w:val="18"/>
              </w:rPr>
              <w:t>21 (dBm)</w:t>
            </w:r>
          </w:p>
        </w:tc>
        <w:tc>
          <w:tcPr>
            <w:tcW w:w="1701" w:type="dxa"/>
          </w:tcPr>
          <w:p>
            <w:pPr>
              <w:keepNext/>
              <w:keepLines/>
              <w:spacing w:after="0"/>
              <w:rPr>
                <w:rFonts w:ascii="Arial" w:hAnsi="Arial"/>
                <w:sz w:val="18"/>
              </w:rPr>
            </w:pPr>
          </w:p>
        </w:tc>
        <w:tc>
          <w:tcPr>
            <w:tcW w:w="1275" w:type="dxa"/>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keepNext/>
              <w:keepLines/>
              <w:spacing w:after="0"/>
              <w:rPr>
                <w:rFonts w:ascii="Arial" w:hAnsi="Arial"/>
                <w:sz w:val="18"/>
              </w:rPr>
            </w:pPr>
            <w:r>
              <w:rPr>
                <w:rFonts w:ascii="Arial" w:hAnsi="Arial"/>
                <w:sz w:val="18"/>
              </w:rPr>
              <w:t>}</w:t>
            </w:r>
          </w:p>
        </w:tc>
        <w:tc>
          <w:tcPr>
            <w:tcW w:w="2268" w:type="dxa"/>
          </w:tcPr>
          <w:p>
            <w:pPr>
              <w:keepNext/>
              <w:keepLines/>
              <w:spacing w:after="0"/>
              <w:rPr>
                <w:rFonts w:ascii="Arial" w:hAnsi="Arial"/>
                <w:sz w:val="18"/>
              </w:rPr>
            </w:pPr>
          </w:p>
        </w:tc>
        <w:tc>
          <w:tcPr>
            <w:tcW w:w="1701" w:type="dxa"/>
          </w:tcPr>
          <w:p>
            <w:pPr>
              <w:keepNext/>
              <w:keepLines/>
              <w:spacing w:after="0"/>
              <w:rPr>
                <w:rFonts w:ascii="Arial" w:hAnsi="Arial"/>
                <w:sz w:val="18"/>
              </w:rPr>
            </w:pPr>
          </w:p>
        </w:tc>
        <w:tc>
          <w:tcPr>
            <w:tcW w:w="1275" w:type="dxa"/>
          </w:tcPr>
          <w:p>
            <w:pPr>
              <w:keepNext/>
              <w:keepLines/>
              <w:spacing w:after="0"/>
              <w:rPr>
                <w:rFonts w:ascii="Arial" w:hAnsi="Arial"/>
                <w:sz w:val="18"/>
              </w:rPr>
            </w:pPr>
          </w:p>
        </w:tc>
      </w:tr>
    </w:tbl>
    <w:p/>
    <w:p>
      <w:pPr>
        <w:pStyle w:val="9"/>
      </w:pPr>
      <w:r>
        <w:t>6.4B.2.3.5</w:t>
      </w:r>
      <w:r>
        <w:tab/>
      </w:r>
      <w:r>
        <w:t>Test requirement</w:t>
      </w:r>
    </w:p>
    <w:p>
      <w:r>
        <w:t>Each of the 20 In-band emissions results, derived in [Annex E.4.3] shall not exceed the corresponding values in Table 6.4B.2.3.5-1 based on supported UE release version.</w:t>
      </w:r>
    </w:p>
    <w:p>
      <w:pPr>
        <w:pStyle w:val="113"/>
      </w:pPr>
      <w:r>
        <w:rPr>
          <w:rFonts w:eastAsia="Osaka"/>
        </w:rPr>
        <w:t xml:space="preserve">Table 6.4B.2.3.5-1: Test requirements for in-band emissions for UE </w:t>
      </w:r>
      <w:r>
        <w:t>category NB1 and NB2</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4"/>
        <w:gridCol w:w="914"/>
        <w:gridCol w:w="914"/>
        <w:gridCol w:w="1134"/>
        <w:gridCol w:w="3260"/>
        <w:gridCol w:w="1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4" w:type="dxa"/>
            <w:tcBorders>
              <w:bottom w:val="single" w:color="auto" w:sz="4" w:space="0"/>
              <w:right w:val="single" w:color="auto" w:sz="4" w:space="0"/>
            </w:tcBorders>
            <w:shd w:val="clear" w:color="auto" w:fill="auto"/>
            <w:vAlign w:val="center"/>
          </w:tcPr>
          <w:p>
            <w:pPr>
              <w:pStyle w:val="104"/>
              <w:rPr>
                <w:rFonts w:cs="Arial"/>
                <w:i/>
                <w:iCs/>
              </w:rPr>
            </w:pPr>
            <w:r>
              <w:rPr>
                <w:rFonts w:cs="Arial"/>
              </w:rPr>
              <w:t>Parameter description</w:t>
            </w:r>
          </w:p>
        </w:tc>
        <w:tc>
          <w:tcPr>
            <w:tcW w:w="914"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Test point</w:t>
            </w:r>
          </w:p>
        </w:tc>
        <w:tc>
          <w:tcPr>
            <w:tcW w:w="914"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Unit</w:t>
            </w:r>
          </w:p>
        </w:tc>
        <w:tc>
          <w:tcPr>
            <w:tcW w:w="4394" w:type="dxa"/>
            <w:gridSpan w:val="2"/>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Limit (NOTE 1)</w:t>
            </w:r>
          </w:p>
        </w:tc>
        <w:tc>
          <w:tcPr>
            <w:tcW w:w="1964"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414" w:type="dxa"/>
            <w:tcBorders>
              <w:top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General</w:t>
            </w:r>
          </w:p>
        </w:tc>
        <w:tc>
          <w:tcPr>
            <w:tcW w:w="914"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1, 2</w:t>
            </w:r>
          </w:p>
        </w:tc>
        <w:tc>
          <w:tcPr>
            <w:tcW w:w="91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w:t>
            </w:r>
          </w:p>
        </w:tc>
        <w:tc>
          <w:tcPr>
            <w:tcW w:w="4394" w:type="dxa"/>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position w:val="-50"/>
              </w:rPr>
              <w:object>
                <v:shape id="_x0000_i1069" o:spt="75" type="#_x0000_t75" style="height:47.4pt;width:161.4pt;" o:ole="t" filled="f" o:preferrelative="t" stroked="f" coordsize="21600,21600">
                  <v:path/>
                  <v:fill on="f" focussize="0,0"/>
                  <v:stroke on="f" joinstyle="miter"/>
                  <v:imagedata r:id="rId75" o:title=""/>
                  <o:lock v:ext="edit" aspectratio="t"/>
                  <w10:wrap type="none"/>
                  <w10:anchorlock/>
                </v:shape>
                <o:OLEObject Type="Embed" ProgID="Equation.3" ShapeID="_x0000_i1069" DrawAspect="Content" ObjectID="_1468075769" r:id="rId92">
                  <o:LockedField>false</o:LockedField>
                </o:OLEObject>
              </w:object>
            </w:r>
            <w:r>
              <w:rPr>
                <w:rFonts w:cs="Arial"/>
              </w:rPr>
              <w:t>+0.8</w:t>
            </w:r>
          </w:p>
        </w:tc>
        <w:tc>
          <w:tcPr>
            <w:tcW w:w="196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1414" w:type="dxa"/>
            <w:tcBorders>
              <w:top w:val="single" w:color="auto" w:sz="4" w:space="0"/>
              <w:right w:val="single" w:color="auto" w:sz="4" w:space="0"/>
            </w:tcBorders>
            <w:shd w:val="clear" w:color="auto" w:fill="auto"/>
            <w:vAlign w:val="center"/>
          </w:tcPr>
          <w:p>
            <w:pPr>
              <w:pStyle w:val="104"/>
              <w:rPr>
                <w:rFonts w:cs="Arial"/>
              </w:rPr>
            </w:pPr>
            <w:r>
              <w:rPr>
                <w:rFonts w:cs="Arial"/>
              </w:rPr>
              <w:t>IQ Image</w:t>
            </w:r>
          </w:p>
        </w:tc>
        <w:tc>
          <w:tcPr>
            <w:tcW w:w="914" w:type="dxa"/>
            <w:vMerge w:val="continue"/>
            <w:tcBorders>
              <w:left w:val="single" w:color="auto" w:sz="4" w:space="0"/>
              <w:right w:val="single" w:color="auto" w:sz="4" w:space="0"/>
            </w:tcBorders>
            <w:vAlign w:val="center"/>
          </w:tcPr>
          <w:p>
            <w:pPr>
              <w:pStyle w:val="105"/>
              <w:rPr>
                <w:rFonts w:cs="Arial"/>
              </w:rPr>
            </w:pPr>
          </w:p>
        </w:tc>
        <w:tc>
          <w:tcPr>
            <w:tcW w:w="914" w:type="dxa"/>
            <w:tcBorders>
              <w:top w:val="single" w:color="auto" w:sz="4" w:space="0"/>
              <w:left w:val="single" w:color="auto" w:sz="4" w:space="0"/>
              <w:right w:val="single" w:color="auto" w:sz="4" w:space="0"/>
            </w:tcBorders>
            <w:vAlign w:val="center"/>
          </w:tcPr>
          <w:p>
            <w:pPr>
              <w:pStyle w:val="105"/>
              <w:rPr>
                <w:rFonts w:cs="Arial"/>
              </w:rPr>
            </w:pPr>
            <w:r>
              <w:rPr>
                <w:rFonts w:cs="Arial"/>
              </w:rPr>
              <w:t>dB</w:t>
            </w:r>
          </w:p>
        </w:tc>
        <w:tc>
          <w:tcPr>
            <w:tcW w:w="4394" w:type="dxa"/>
            <w:gridSpan w:val="2"/>
            <w:tcBorders>
              <w:top w:val="single" w:color="auto" w:sz="4" w:space="0"/>
              <w:left w:val="single" w:color="auto" w:sz="4" w:space="0"/>
              <w:right w:val="single" w:color="auto" w:sz="4" w:space="0"/>
            </w:tcBorders>
            <w:vAlign w:val="center"/>
          </w:tcPr>
          <w:p>
            <w:pPr>
              <w:pStyle w:val="105"/>
              <w:rPr>
                <w:rFonts w:cs="Arial"/>
              </w:rPr>
            </w:pPr>
            <w:r>
              <w:rPr>
                <w:rFonts w:cs="Arial"/>
              </w:rPr>
              <w:t>-24.2</w:t>
            </w:r>
          </w:p>
        </w:tc>
        <w:tc>
          <w:tcPr>
            <w:tcW w:w="1964" w:type="dxa"/>
            <w:tcBorders>
              <w:top w:val="single" w:color="auto" w:sz="4" w:space="0"/>
              <w:left w:val="single" w:color="auto" w:sz="4" w:space="0"/>
              <w:right w:val="single" w:color="auto" w:sz="4" w:space="0"/>
            </w:tcBorders>
            <w:vAlign w:val="center"/>
          </w:tcPr>
          <w:p>
            <w:pPr>
              <w:pStyle w:val="105"/>
              <w:rPr>
                <w:rFonts w:cs="Arial"/>
              </w:rPr>
            </w:pPr>
            <w:r>
              <w:rPr>
                <w:rFonts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1414"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Carrier leakage</w:t>
            </w:r>
          </w:p>
        </w:tc>
        <w:tc>
          <w:tcPr>
            <w:tcW w:w="914" w:type="dxa"/>
            <w:tcBorders>
              <w:top w:val="single" w:color="auto" w:sz="4" w:space="0"/>
              <w:left w:val="single" w:color="auto" w:sz="4" w:space="0"/>
              <w:right w:val="single" w:color="auto" w:sz="4" w:space="0"/>
            </w:tcBorders>
            <w:vAlign w:val="center"/>
          </w:tcPr>
          <w:p>
            <w:pPr>
              <w:pStyle w:val="105"/>
              <w:rPr>
                <w:rFonts w:cs="Arial"/>
              </w:rPr>
            </w:pPr>
            <w:r>
              <w:rPr>
                <w:rFonts w:cs="Arial"/>
              </w:rPr>
              <w:t>1</w:t>
            </w:r>
          </w:p>
        </w:tc>
        <w:tc>
          <w:tcPr>
            <w:tcW w:w="914"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dBc</w:t>
            </w: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-24.2</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0 dBm ≤ Output power</w:t>
            </w:r>
          </w:p>
          <w:p>
            <w:pPr>
              <w:pStyle w:val="105"/>
              <w:rPr>
                <w:rFonts w:cs="Arial"/>
              </w:rPr>
            </w:pPr>
            <w:r>
              <w:t xml:space="preserve">f </w:t>
            </w:r>
            <w:r>
              <w:rPr>
                <w:rFonts w:cs="Arial"/>
              </w:rPr>
              <w:t>≤</w:t>
            </w:r>
            <w:r>
              <w:t xml:space="preserve"> 3.0GHz: 3.2dBm ±3.2dB</w:t>
            </w:r>
          </w:p>
        </w:tc>
        <w:tc>
          <w:tcPr>
            <w:tcW w:w="1964"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Carrier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1414" w:type="dxa"/>
            <w:vMerge w:val="continue"/>
            <w:tcBorders>
              <w:right w:val="single" w:color="auto" w:sz="4" w:space="0"/>
            </w:tcBorders>
            <w:shd w:val="clear" w:color="auto" w:fill="auto"/>
            <w:vAlign w:val="center"/>
          </w:tcPr>
          <w:p>
            <w:pPr>
              <w:pStyle w:val="104"/>
              <w:rPr>
                <w:rFonts w:cs="Arial"/>
              </w:rPr>
            </w:pPr>
          </w:p>
        </w:tc>
        <w:tc>
          <w:tcPr>
            <w:tcW w:w="914" w:type="dxa"/>
            <w:tcBorders>
              <w:left w:val="single" w:color="auto" w:sz="4" w:space="0"/>
              <w:right w:val="single" w:color="auto" w:sz="4" w:space="0"/>
            </w:tcBorders>
            <w:vAlign w:val="center"/>
          </w:tcPr>
          <w:p>
            <w:pPr>
              <w:pStyle w:val="105"/>
              <w:rPr>
                <w:rFonts w:cs="Arial"/>
              </w:rPr>
            </w:pPr>
            <w:r>
              <w:rPr>
                <w:rFonts w:cs="Arial"/>
              </w:rPr>
              <w:t>2</w:t>
            </w:r>
          </w:p>
        </w:tc>
        <w:tc>
          <w:tcPr>
            <w:tcW w:w="914" w:type="dxa"/>
            <w:vMerge w:val="continue"/>
            <w:tcBorders>
              <w:left w:val="single" w:color="auto" w:sz="4" w:space="0"/>
              <w:right w:val="single" w:color="auto" w:sz="4" w:space="0"/>
            </w:tcBorders>
            <w:vAlign w:val="center"/>
          </w:tcPr>
          <w:p>
            <w:pPr>
              <w:pStyle w:val="105"/>
              <w:rPr>
                <w:rFonts w:cs="Arial"/>
              </w:rPr>
            </w:pP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-19.2</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-30 dBm ≤ Output power ≤ 0 dBm</w:t>
            </w:r>
          </w:p>
          <w:p>
            <w:pPr>
              <w:pStyle w:val="105"/>
              <w:rPr>
                <w:rFonts w:cs="Arial"/>
              </w:rPr>
            </w:pPr>
            <w:r>
              <w:rPr>
                <w:rFonts w:cs="v4.2.0"/>
              </w:rPr>
              <w:t xml:space="preserve">f </w:t>
            </w:r>
            <w:r>
              <w:rPr>
                <w:rFonts w:cs="Arial"/>
              </w:rPr>
              <w:t>≤</w:t>
            </w:r>
            <w:r>
              <w:rPr>
                <w:rFonts w:cs="v4.2.0"/>
              </w:rPr>
              <w:t xml:space="preserve"> 3.0GHz: </w:t>
            </w:r>
            <w:r>
              <w:t>-26.8 dBm ±3.</w:t>
            </w:r>
            <w:r>
              <w:rPr>
                <w:rFonts w:cs="v4.2.0"/>
              </w:rPr>
              <w:t>2dB</w:t>
            </w:r>
          </w:p>
        </w:tc>
        <w:tc>
          <w:tcPr>
            <w:tcW w:w="1964"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6"/>
            <w:tcBorders>
              <w:right w:val="single" w:color="auto" w:sz="4" w:space="0"/>
            </w:tcBorders>
            <w:shd w:val="clear" w:color="auto" w:fill="auto"/>
            <w:vAlign w:val="center"/>
          </w:tcPr>
          <w:p>
            <w:pPr>
              <w:pStyle w:val="118"/>
              <w:rPr>
                <w:rFonts w:cs="Arial"/>
              </w:rPr>
            </w:pPr>
            <w:r>
              <w:rPr>
                <w:rFonts w:cs="Arial"/>
              </w:rPr>
              <w:t>NOTE 1:</w:t>
            </w:r>
            <w:r>
              <w:rPr>
                <w:rFonts w:cs="Arial"/>
              </w:rPr>
              <w:tab/>
            </w:r>
            <w:r>
              <w:rPr>
                <w:rFonts w:cs="Arial"/>
              </w:rPr>
              <w:t xml:space="preserve">An in-band emissions combined limit is evaluated in each non-allocated tone. For each such tone, the minimum requirement is calculated as the higher of </w:t>
            </w:r>
            <w:r>
              <w:rPr>
                <w:rFonts w:cs="Arial"/>
                <w:i/>
              </w:rPr>
              <w:t>P</w:t>
            </w:r>
            <w:r>
              <w:rPr>
                <w:rFonts w:cs="Arial"/>
                <w:i/>
                <w:vertAlign w:val="subscript"/>
              </w:rPr>
              <w:t xml:space="preserve">tone </w:t>
            </w:r>
            <w:r>
              <w:rPr>
                <w:rFonts w:cs="Arial"/>
              </w:rPr>
              <w:t xml:space="preserve">- 30 dB and the power sum of all limit values (General, IQ Image or Carrier leakage) that apply. </w:t>
            </w:r>
            <w:r>
              <w:rPr>
                <w:rFonts w:cs="Arial"/>
                <w:i/>
              </w:rPr>
              <w:t>P</w:t>
            </w:r>
            <w:r>
              <w:rPr>
                <w:rFonts w:cs="Arial"/>
                <w:i/>
                <w:vertAlign w:val="subscript"/>
              </w:rPr>
              <w:t>tone</w:t>
            </w:r>
            <w:r>
              <w:rPr>
                <w:rFonts w:cs="Arial"/>
                <w:i/>
              </w:rPr>
              <w:t xml:space="preserve"> </w:t>
            </w:r>
            <w:r>
              <w:rPr>
                <w:rFonts w:cs="Arial"/>
              </w:rPr>
              <w:t>is defined in NOTE 10.</w:t>
            </w:r>
          </w:p>
          <w:p>
            <w:pPr>
              <w:pStyle w:val="118"/>
              <w:rPr>
                <w:rFonts w:cs="Arial"/>
              </w:rPr>
            </w:pPr>
            <w:r>
              <w:rPr>
                <w:rFonts w:cs="Arial"/>
              </w:rPr>
              <w:t>NOTE 2:</w:t>
            </w:r>
            <w:r>
              <w:rPr>
                <w:rFonts w:cs="Arial"/>
              </w:rPr>
              <w:tab/>
            </w:r>
            <w:r>
              <w:rPr>
                <w:rFonts w:cs="Arial"/>
              </w:rPr>
              <w:t>The measurement bandwidth is 1 tone and the limit is expressed as a ratio of measured power in one non-allocated tone to the measured average power per allocated tone, where the averaging is done across all allocated tones.</w:t>
            </w:r>
          </w:p>
          <w:p>
            <w:pPr>
              <w:pStyle w:val="118"/>
              <w:rPr>
                <w:rFonts w:cs="Arial"/>
              </w:rPr>
            </w:pPr>
            <w:r>
              <w:rPr>
                <w:rFonts w:cs="Arial"/>
              </w:rPr>
              <w:t>NOTE 3:</w:t>
            </w:r>
            <w:r>
              <w:rPr>
                <w:rFonts w:cs="Arial"/>
              </w:rPr>
              <w:tab/>
            </w:r>
            <w:r>
              <w:rPr>
                <w:rFonts w:cs="Arial"/>
              </w:rPr>
              <w:t>The applicable frequencies for this limit are those that are enclosed in the reflection of the allocated bandwidth, based on symmetry with respect to the centre carrier frequency, but excluding any allocated tones.</w:t>
            </w:r>
          </w:p>
          <w:p>
            <w:pPr>
              <w:pStyle w:val="118"/>
              <w:rPr>
                <w:rFonts w:cs="Arial"/>
              </w:rPr>
            </w:pPr>
            <w:r>
              <w:rPr>
                <w:rFonts w:cs="Arial"/>
              </w:rPr>
              <w:t>NOTE 4:</w:t>
            </w:r>
            <w:r>
              <w:rPr>
                <w:rFonts w:cs="Arial"/>
              </w:rPr>
              <w:tab/>
            </w:r>
            <w:r>
              <w:rPr>
                <w:rFonts w:cs="Arial"/>
              </w:rPr>
              <w:t>The measurement bandwidth is 1 tone and the limit is expressed as a ratio of measured power in one non-allocated tone to the measured total power in all allocated tones.</w:t>
            </w:r>
          </w:p>
          <w:p>
            <w:pPr>
              <w:pStyle w:val="118"/>
              <w:rPr>
                <w:rFonts w:cs="Arial"/>
              </w:rPr>
            </w:pPr>
            <w:r>
              <w:rPr>
                <w:rFonts w:cs="Arial"/>
              </w:rPr>
              <w:t>NOTE 5:</w:t>
            </w:r>
            <w:r>
              <w:rPr>
                <w:rFonts w:cs="Arial"/>
              </w:rPr>
              <w:tab/>
            </w:r>
            <w:r>
              <w:rPr>
                <w:rFonts w:cs="Arial"/>
              </w:rPr>
              <w:t xml:space="preserve">The applicable frequencies for this limit are those that are enclosed in the tones containing the DC frequency if </w:t>
            </w:r>
            <w:r>
              <w:rPr>
                <w:rFonts w:cs="Arial"/>
                <w:position w:val="-12"/>
              </w:rPr>
              <w:object>
                <v:shape id="_x0000_i1070" o:spt="75" type="#_x0000_t75" style="height:19.2pt;width:24.6pt;" o:ole="t" filled="f" o:preferrelative="t" stroked="f" coordsize="21600,21600">
                  <v:path/>
                  <v:fill on="f" focussize="0,0"/>
                  <v:stroke on="f" joinstyle="miter"/>
                  <v:imagedata r:id="rId77" o:title=""/>
                  <o:lock v:ext="edit" aspectratio="t"/>
                  <w10:wrap type="none"/>
                  <w10:anchorlock/>
                </v:shape>
                <o:OLEObject Type="Embed" ProgID="Equation.3" ShapeID="_x0000_i1070" DrawAspect="Content" ObjectID="_1468075770" r:id="rId93">
                  <o:LockedField>false</o:LockedField>
                </o:OLEObject>
              </w:object>
            </w:r>
            <w:r>
              <w:rPr>
                <w:rFonts w:cs="Arial"/>
              </w:rPr>
              <w:t xml:space="preserve"> is odd, or in the two tones immediately adjacent to the DC frequency if </w:t>
            </w:r>
            <w:r>
              <w:rPr>
                <w:rFonts w:cs="Arial"/>
                <w:position w:val="-12"/>
              </w:rPr>
              <w:object>
                <v:shape id="_x0000_i1071" o:spt="75" type="#_x0000_t75" style="height:19.2pt;width:24.6pt;" o:ole="t" filled="f" o:preferrelative="t" stroked="f" coordsize="21600,21600">
                  <v:path/>
                  <v:fill on="f" focussize="0,0"/>
                  <v:stroke on="f" joinstyle="miter"/>
                  <v:imagedata r:id="rId79" o:title=""/>
                  <o:lock v:ext="edit" aspectratio="t"/>
                  <w10:wrap type="none"/>
                  <w10:anchorlock/>
                </v:shape>
                <o:OLEObject Type="Embed" ProgID="Equation.3" ShapeID="_x0000_i1071" DrawAspect="Content" ObjectID="_1468075771" r:id="rId94">
                  <o:LockedField>false</o:LockedField>
                </o:OLEObject>
              </w:object>
            </w:r>
            <w:r>
              <w:rPr>
                <w:rFonts w:cs="Arial"/>
              </w:rPr>
              <w:t xml:space="preserve"> is even, but excluding any allocated tone.</w:t>
            </w:r>
          </w:p>
          <w:p>
            <w:pPr>
              <w:pStyle w:val="118"/>
              <w:rPr>
                <w:rFonts w:cs="Arial"/>
              </w:rPr>
            </w:pPr>
            <w:r>
              <w:rPr>
                <w:rFonts w:cs="Arial"/>
              </w:rPr>
              <w:t>NOTE 6:</w:t>
            </w:r>
            <w:r>
              <w:rPr>
                <w:rFonts w:cs="Arial"/>
              </w:rPr>
              <w:tab/>
            </w:r>
            <w:r>
              <w:rPr>
                <w:rFonts w:cs="Arial"/>
                <w:position w:val="-12"/>
              </w:rPr>
              <w:object>
                <v:shape id="_x0000_i1072" o:spt="75" type="#_x0000_t75" style="height:19.2pt;width:27.6pt;" o:ole="t" filled="f" o:preferrelative="t" stroked="f" coordsize="21600,21600">
                  <v:path/>
                  <v:fill on="f" focussize="0,0"/>
                  <v:stroke on="f" joinstyle="miter"/>
                  <v:imagedata r:id="rId81" o:title=""/>
                  <o:lock v:ext="edit" aspectratio="t"/>
                  <w10:wrap type="none"/>
                  <w10:anchorlock/>
                </v:shape>
                <o:OLEObject Type="Embed" ProgID="Equation.3" ShapeID="_x0000_i1072" DrawAspect="Content" ObjectID="_1468075772" r:id="rId95">
                  <o:LockedField>false</o:LockedField>
                </o:OLEObject>
              </w:object>
            </w:r>
            <w:r>
              <w:rPr>
                <w:rFonts w:cs="Arial"/>
              </w:rPr>
              <w:t xml:space="preserve"> is the Transmission Bandwidth (tones).</w:t>
            </w:r>
          </w:p>
          <w:p>
            <w:pPr>
              <w:pStyle w:val="118"/>
              <w:rPr>
                <w:rFonts w:cs="Arial"/>
              </w:rPr>
            </w:pPr>
            <w:r>
              <w:rPr>
                <w:rFonts w:cs="Arial"/>
              </w:rPr>
              <w:t>NOTE 7:</w:t>
            </w:r>
            <w:r>
              <w:rPr>
                <w:rFonts w:cs="Arial"/>
              </w:rPr>
              <w:tab/>
            </w:r>
            <w:r>
              <w:rPr>
                <w:rFonts w:cs="Arial"/>
                <w:position w:val="-12"/>
              </w:rPr>
              <w:object>
                <v:shape id="_x0000_i1073" o:spt="75" type="#_x0000_t75" style="height:19.2pt;width:24.6pt;" o:ole="t" filled="f" o:preferrelative="t" stroked="f" coordsize="21600,21600">
                  <v:path/>
                  <v:fill on="f" focussize="0,0"/>
                  <v:stroke on="f" joinstyle="miter"/>
                  <v:imagedata r:id="rId83" o:title=""/>
                  <o:lock v:ext="edit" aspectratio="t"/>
                  <w10:wrap type="none"/>
                  <w10:anchorlock/>
                </v:shape>
                <o:OLEObject Type="Embed" ProgID="Equation.3" ShapeID="_x0000_i1073" DrawAspect="Content" ObjectID="_1468075773" r:id="rId96">
                  <o:LockedField>false</o:LockedField>
                </o:OLEObject>
              </w:object>
            </w:r>
            <w:r>
              <w:rPr>
                <w:rFonts w:cs="Arial"/>
              </w:rPr>
              <w:t xml:space="preserve"> is the Transmission Bandwidth Configuration (tones).</w:t>
            </w:r>
          </w:p>
          <w:p>
            <w:pPr>
              <w:pStyle w:val="118"/>
              <w:rPr>
                <w:rFonts w:cs="Arial"/>
              </w:rPr>
            </w:pPr>
            <w:r>
              <w:rPr>
                <w:rFonts w:cs="Arial"/>
              </w:rPr>
              <w:t>NOTE 8:</w:t>
            </w:r>
            <w:r>
              <w:rPr>
                <w:rFonts w:cs="Arial"/>
              </w:rPr>
              <w:tab/>
            </w:r>
            <w:r>
              <w:rPr>
                <w:rFonts w:cs="Arial"/>
                <w:position w:val="-12"/>
              </w:rPr>
              <w:object>
                <v:shape id="_x0000_i1074" o:spt="75" type="#_x0000_t75" style="height:19.2pt;width:24.6pt;" o:ole="t" filled="f" o:preferrelative="t" stroked="f" coordsize="21600,21600">
                  <v:path/>
                  <v:fill on="f" focussize="0,0"/>
                  <v:stroke on="f" joinstyle="miter"/>
                  <v:imagedata r:id="rId85" o:title=""/>
                  <o:lock v:ext="edit" aspectratio="t"/>
                  <w10:wrap type="none"/>
                  <w10:anchorlock/>
                </v:shape>
                <o:OLEObject Type="Embed" ProgID="Equation.3" ShapeID="_x0000_i1074" DrawAspect="Content" ObjectID="_1468075774" r:id="rId97">
                  <o:LockedField>false</o:LockedField>
                </o:OLEObject>
              </w:object>
            </w:r>
            <w:r>
              <w:rPr>
                <w:rFonts w:cs="Arial"/>
              </w:rPr>
              <w:t xml:space="preserve"> is the starting frequency offset between the allocated tone and the measured non-allocated tone. (e.g. </w:t>
            </w:r>
            <w:r>
              <w:rPr>
                <w:rFonts w:cs="Arial"/>
                <w:position w:val="-12"/>
              </w:rPr>
              <w:object>
                <v:shape id="_x0000_i1075" o:spt="75" type="#_x0000_t75" style="height:19.2pt;width:40.2pt;" o:ole="t" filled="f" o:preferrelative="t" stroked="f" coordsize="21600,21600">
                  <v:path/>
                  <v:fill on="f" focussize="0,0"/>
                  <v:stroke on="f" joinstyle="miter"/>
                  <v:imagedata r:id="rId87" o:title=""/>
                  <o:lock v:ext="edit" aspectratio="t"/>
                  <w10:wrap type="none"/>
                  <w10:anchorlock/>
                </v:shape>
                <o:OLEObject Type="Embed" ProgID="Equation.3" ShapeID="_x0000_i1075" DrawAspect="Content" ObjectID="_1468075775" r:id="rId98">
                  <o:LockedField>false</o:LockedField>
                </o:OLEObject>
              </w:object>
            </w:r>
            <w:r>
              <w:rPr>
                <w:rFonts w:cs="Arial"/>
              </w:rPr>
              <w:t xml:space="preserve"> or </w:t>
            </w:r>
            <w:r>
              <w:rPr>
                <w:rFonts w:cs="Arial"/>
                <w:position w:val="-12"/>
              </w:rPr>
              <w:object>
                <v:shape id="_x0000_i1076" o:spt="75" type="#_x0000_t75" style="height:19.2pt;width:47.4pt;" o:ole="t" filled="f" o:preferrelative="t" stroked="f" coordsize="21600,21600">
                  <v:path/>
                  <v:fill on="f" focussize="0,0"/>
                  <v:stroke on="f" joinstyle="miter"/>
                  <v:imagedata r:id="rId89" o:title=""/>
                  <o:lock v:ext="edit" aspectratio="t"/>
                  <w10:wrap type="none"/>
                  <w10:anchorlock/>
                </v:shape>
                <o:OLEObject Type="Embed" ProgID="Equation.3" ShapeID="_x0000_i1076" DrawAspect="Content" ObjectID="_1468075776" r:id="rId99">
                  <o:LockedField>false</o:LockedField>
                </o:OLEObject>
              </w:object>
            </w:r>
            <w:r>
              <w:rPr>
                <w:rFonts w:cs="Arial"/>
              </w:rPr>
              <w:t xml:space="preserve"> for the first adjacent tone outside of the allocated bandwidth.</w:t>
            </w:r>
          </w:p>
          <w:p>
            <w:pPr>
              <w:pStyle w:val="118"/>
              <w:rPr>
                <w:rFonts w:cs="Arial"/>
              </w:rPr>
            </w:pPr>
            <w:r>
              <w:rPr>
                <w:rFonts w:cs="Arial"/>
              </w:rPr>
              <w:t>NOTE 9:</w:t>
            </w:r>
            <w:r>
              <w:rPr>
                <w:rFonts w:cs="Arial"/>
              </w:rPr>
              <w:tab/>
            </w:r>
            <w:r>
              <w:rPr>
                <w:rFonts w:cs="Arial"/>
                <w:position w:val="-12"/>
              </w:rPr>
              <w:object>
                <v:shape id="_x0000_i1077" o:spt="75" type="#_x0000_t75" style="height:19.2pt;width:22.2pt;" o:ole="t" filled="f" o:preferrelative="t" stroked="f" coordsize="21600,21600">
                  <v:path/>
                  <v:fill on="f" focussize="0,0"/>
                  <v:stroke on="f" joinstyle="miter"/>
                  <v:imagedata r:id="rId91" o:title=""/>
                  <o:lock v:ext="edit" aspectratio="t"/>
                  <w10:wrap type="none"/>
                  <w10:anchorlock/>
                </v:shape>
                <o:OLEObject Type="Embed" ProgID="Equation.3" ShapeID="_x0000_i1077" DrawAspect="Content" ObjectID="_1468075777" r:id="rId100">
                  <o:LockedField>false</o:LockedField>
                </o:OLEObject>
              </w:object>
            </w:r>
            <w:r>
              <w:rPr>
                <w:rFonts w:cs="Arial"/>
              </w:rPr>
              <w:t xml:space="preserve"> is the transmitted power per 3.75 kHz or 15 kHz in allocated tones, measured in dBm.</w:t>
            </w:r>
          </w:p>
        </w:tc>
      </w:tr>
    </w:tbl>
    <w:p/>
    <w:p>
      <w:pPr>
        <w:pStyle w:val="4"/>
      </w:pPr>
      <w:bookmarkStart w:id="758" w:name="_Toc15558"/>
      <w:bookmarkStart w:id="759" w:name="_Toc120570052"/>
      <w:bookmarkStart w:id="760" w:name="_Toc27731"/>
      <w:bookmarkStart w:id="761" w:name="_Toc3436"/>
      <w:bookmarkStart w:id="762" w:name="_Toc368026297"/>
      <w:bookmarkStart w:id="763" w:name="_Toc121162844"/>
      <w:bookmarkStart w:id="764" w:name="_Toc25461"/>
      <w:bookmarkStart w:id="765" w:name="_Toc20766"/>
      <w:bookmarkStart w:id="766" w:name="_Toc15241"/>
      <w:bookmarkStart w:id="767" w:name="_Toc20991"/>
      <w:bookmarkStart w:id="768" w:name="_Toc111062056"/>
      <w:r>
        <w:t>6.5</w:t>
      </w:r>
      <w:r>
        <w:tab/>
      </w:r>
      <w:r>
        <w:t>Output RF spectrum emissions</w:t>
      </w:r>
      <w:bookmarkEnd w:id="758"/>
      <w:bookmarkEnd w:id="759"/>
      <w:bookmarkEnd w:id="760"/>
      <w:bookmarkEnd w:id="761"/>
      <w:bookmarkEnd w:id="762"/>
      <w:bookmarkEnd w:id="763"/>
      <w:bookmarkEnd w:id="764"/>
      <w:bookmarkEnd w:id="765"/>
      <w:bookmarkEnd w:id="766"/>
      <w:bookmarkEnd w:id="767"/>
      <w:bookmarkEnd w:id="768"/>
    </w:p>
    <w:p>
      <w:pPr>
        <w:rPr>
          <w:rFonts w:cs="v5.0.0"/>
        </w:rPr>
      </w:pPr>
      <w:bookmarkStart w:id="769" w:name="_Toc121162845"/>
      <w:bookmarkStart w:id="770" w:name="_Toc120570053"/>
      <w:r>
        <w:rPr>
          <w:rFonts w:cs="v5.0.0"/>
        </w:rPr>
        <w:t>The output UE transmitter spectrum consists of the three components; the emission within the occupied bandwidth (channel bandwidth), the Out Of Band (OOB) emissions and the far out spurious emission domain.</w:t>
      </w:r>
    </w:p>
    <w:p>
      <w:pPr>
        <w:pStyle w:val="113"/>
      </w:pPr>
      <w:r>
        <w:drawing>
          <wp:inline distT="0" distB="0" distL="0" distR="0">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pPr>
        <w:pStyle w:val="120"/>
      </w:pPr>
      <w:r>
        <w:t>Figure 6.5-1: Transmitter RF spectrum</w:t>
      </w:r>
    </w:p>
    <w:p>
      <w:pPr>
        <w:pStyle w:val="4"/>
      </w:pPr>
      <w:bookmarkStart w:id="771" w:name="_Toc17952"/>
      <w:bookmarkStart w:id="772" w:name="_Toc18588"/>
      <w:bookmarkStart w:id="773" w:name="_Toc25256"/>
      <w:bookmarkStart w:id="774" w:name="_Toc6629"/>
      <w:bookmarkStart w:id="775" w:name="_Toc15578"/>
      <w:bookmarkStart w:id="776" w:name="_Toc3082"/>
      <w:bookmarkStart w:id="777" w:name="_Toc5575"/>
      <w:r>
        <w:t>6.5A</w:t>
      </w:r>
      <w:r>
        <w:tab/>
      </w:r>
      <w:r>
        <w:t>Output RF spectrum emissions for category M1</w:t>
      </w:r>
      <w:bookmarkEnd w:id="769"/>
      <w:bookmarkEnd w:id="770"/>
      <w:bookmarkEnd w:id="771"/>
      <w:bookmarkEnd w:id="772"/>
      <w:bookmarkEnd w:id="773"/>
      <w:bookmarkEnd w:id="774"/>
      <w:bookmarkEnd w:id="775"/>
      <w:bookmarkEnd w:id="776"/>
      <w:bookmarkEnd w:id="777"/>
    </w:p>
    <w:p>
      <w:pPr>
        <w:pStyle w:val="5"/>
      </w:pPr>
      <w:bookmarkStart w:id="778" w:name="_Toc20171"/>
      <w:bookmarkStart w:id="779" w:name="_Toc6414"/>
      <w:bookmarkStart w:id="780" w:name="_Toc11578"/>
      <w:bookmarkStart w:id="781" w:name="_Toc15279"/>
      <w:bookmarkStart w:id="782" w:name="_Toc2875"/>
      <w:bookmarkStart w:id="783" w:name="_Toc120570054"/>
      <w:bookmarkStart w:id="784" w:name="_Toc121162846"/>
      <w:bookmarkStart w:id="785" w:name="_Toc7704"/>
      <w:bookmarkStart w:id="786" w:name="_Toc22069"/>
      <w:r>
        <w:t>6.5A.1</w:t>
      </w:r>
      <w:r>
        <w:tab/>
      </w:r>
      <w:r>
        <w:t>General</w:t>
      </w:r>
      <w:bookmarkEnd w:id="778"/>
      <w:bookmarkEnd w:id="779"/>
      <w:bookmarkEnd w:id="780"/>
      <w:bookmarkEnd w:id="781"/>
      <w:bookmarkEnd w:id="782"/>
      <w:bookmarkEnd w:id="783"/>
      <w:bookmarkEnd w:id="784"/>
      <w:bookmarkEnd w:id="785"/>
      <w:bookmarkEnd w:id="786"/>
    </w:p>
    <w:p>
      <w:pPr>
        <w:rPr>
          <w:lang w:val="en-US"/>
        </w:rPr>
      </w:pPr>
      <w:r>
        <w:t>The definitions in clause 6.5 shall apply</w:t>
      </w:r>
      <w:r>
        <w:rPr>
          <w:lang w:val="en-US"/>
        </w:rPr>
        <w:t>.</w:t>
      </w:r>
    </w:p>
    <w:p>
      <w:pPr>
        <w:pStyle w:val="5"/>
      </w:pPr>
      <w:bookmarkStart w:id="787" w:name="_Toc26371"/>
      <w:bookmarkStart w:id="788" w:name="_Toc15266"/>
      <w:bookmarkStart w:id="789" w:name="_Toc8125"/>
      <w:bookmarkStart w:id="790" w:name="_Toc9469"/>
      <w:bookmarkStart w:id="791" w:name="_Toc7038"/>
      <w:bookmarkStart w:id="792" w:name="_Toc27665"/>
      <w:bookmarkStart w:id="793" w:name="_Toc120570055"/>
      <w:bookmarkStart w:id="794" w:name="_Toc29738"/>
      <w:bookmarkStart w:id="795" w:name="_Toc121162847"/>
      <w:r>
        <w:t>6.5A.2</w:t>
      </w:r>
      <w:r>
        <w:tab/>
      </w:r>
      <w:r>
        <w:t>Occupied bandwidth for category M1</w:t>
      </w:r>
      <w:bookmarkEnd w:id="787"/>
      <w:bookmarkEnd w:id="788"/>
      <w:bookmarkEnd w:id="789"/>
      <w:bookmarkEnd w:id="790"/>
      <w:bookmarkEnd w:id="791"/>
      <w:bookmarkEnd w:id="792"/>
      <w:bookmarkEnd w:id="793"/>
      <w:bookmarkEnd w:id="794"/>
      <w:bookmarkEnd w:id="795"/>
    </w:p>
    <w:p>
      <w:pPr>
        <w:pStyle w:val="112"/>
        <w:rPr>
          <w:lang w:val="en-US"/>
        </w:rPr>
      </w:pPr>
      <w:r>
        <w:t>Editor’s Note: Addition to applicability spec is pending.</w:t>
      </w:r>
    </w:p>
    <w:p>
      <w:pPr>
        <w:pStyle w:val="9"/>
        <w:rPr>
          <w:rFonts w:eastAsiaTheme="minorEastAsia"/>
        </w:rPr>
      </w:pPr>
      <w:r>
        <w:rPr>
          <w:rFonts w:hint="eastAsia" w:eastAsiaTheme="minorEastAsia"/>
        </w:rPr>
        <w:t>6</w:t>
      </w:r>
      <w:r>
        <w:rPr>
          <w:rFonts w:eastAsiaTheme="minorEastAsia"/>
        </w:rPr>
        <w:t>.5A.2.1</w:t>
      </w:r>
      <w:r>
        <w:rPr>
          <w:rFonts w:eastAsiaTheme="minorEastAsia"/>
        </w:rPr>
        <w:tab/>
      </w:r>
      <w:r>
        <w:rPr>
          <w:rFonts w:eastAsiaTheme="minorEastAsia"/>
        </w:rPr>
        <w:t>Test purpose</w:t>
      </w:r>
    </w:p>
    <w:p>
      <w:pPr>
        <w:rPr>
          <w:rFonts w:eastAsiaTheme="minorEastAsia"/>
        </w:rPr>
      </w:pPr>
      <w:r>
        <w:rPr>
          <w:rFonts w:eastAsiaTheme="minorEastAsia"/>
        </w:rPr>
        <w:t>To verify that the UE occupied bandwidth for all transmission bandwidth configurations supported by the UE are less than their specific limits.</w:t>
      </w:r>
    </w:p>
    <w:p>
      <w:pPr>
        <w:pStyle w:val="9"/>
        <w:rPr>
          <w:rFonts w:eastAsiaTheme="minorEastAsia"/>
        </w:rPr>
      </w:pPr>
      <w:r>
        <w:rPr>
          <w:rFonts w:hint="eastAsia" w:eastAsiaTheme="minorEastAsia"/>
        </w:rPr>
        <w:t>6</w:t>
      </w:r>
      <w:r>
        <w:rPr>
          <w:rFonts w:eastAsiaTheme="minorEastAsia"/>
        </w:rPr>
        <w:t>.5A.2.2</w:t>
      </w:r>
      <w:r>
        <w:rPr>
          <w:rFonts w:eastAsiaTheme="minorEastAsia"/>
        </w:rPr>
        <w:tab/>
      </w:r>
      <w:r>
        <w:rPr>
          <w:rFonts w:eastAsiaTheme="minorEastAsia"/>
        </w:rP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rPr>
          <w:rFonts w:eastAsiaTheme="minorEastAsia"/>
        </w:rPr>
      </w:pPr>
      <w:r>
        <w:rPr>
          <w:rFonts w:hint="eastAsia" w:eastAsiaTheme="minorEastAsia"/>
        </w:rPr>
        <w:t>6</w:t>
      </w:r>
      <w:r>
        <w:rPr>
          <w:rFonts w:eastAsiaTheme="minorEastAsia"/>
        </w:rPr>
        <w:t>.5A.2.3</w:t>
      </w:r>
      <w:r>
        <w:rPr>
          <w:rFonts w:eastAsiaTheme="minorEastAsia"/>
        </w:rPr>
        <w:tab/>
      </w:r>
      <w:r>
        <w:rPr>
          <w:rFonts w:eastAsiaTheme="minorEastAsia"/>
        </w:rPr>
        <w:t>Minimum conformance requirements</w:t>
      </w:r>
    </w:p>
    <w:p>
      <w:pPr>
        <w:rPr>
          <w:lang w:eastAsia="en-GB"/>
        </w:rPr>
      </w:pPr>
      <w:r>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pPr>
        <w:keepNext/>
        <w:keepLines/>
        <w:spacing w:before="60"/>
        <w:jc w:val="center"/>
        <w:rPr>
          <w:rFonts w:ascii="Arial" w:hAnsi="Arial"/>
          <w:b/>
          <w:lang w:eastAsia="en-GB"/>
        </w:rPr>
      </w:pPr>
      <w:r>
        <w:rPr>
          <w:rFonts w:ascii="Arial" w:hAnsi="Arial"/>
          <w:b/>
          <w:lang w:eastAsia="en-GB"/>
        </w:rPr>
        <w:t>Table 6.5A.2.3-1: Occupied channel bandwidth</w:t>
      </w:r>
    </w:p>
    <w:tbl>
      <w:tblPr>
        <w:tblStyle w:val="89"/>
        <w:tblW w:w="5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9"/>
        <w:gridCol w:w="33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Merge w:val="restart"/>
            <w:vAlign w:val="center"/>
          </w:tcPr>
          <w:p>
            <w:pPr>
              <w:spacing w:after="0"/>
              <w:rPr>
                <w:rFonts w:ascii="Arial" w:hAnsi="Arial"/>
                <w:sz w:val="18"/>
                <w:lang w:eastAsia="en-GB"/>
              </w:rPr>
            </w:pPr>
          </w:p>
        </w:tc>
        <w:tc>
          <w:tcPr>
            <w:tcW w:w="3371" w:type="dxa"/>
          </w:tcPr>
          <w:p>
            <w:pPr>
              <w:keepNext/>
              <w:keepLines/>
              <w:spacing w:after="0"/>
              <w:jc w:val="center"/>
              <w:rPr>
                <w:rFonts w:ascii="Arial" w:hAnsi="Arial"/>
                <w:b/>
                <w:sz w:val="18"/>
              </w:rPr>
            </w:pPr>
            <w:r>
              <w:rPr>
                <w:rFonts w:ascii="Arial" w:hAnsi="Arial"/>
                <w:b/>
                <w:sz w:val="18"/>
              </w:rPr>
              <w:t>Occupied channel bandwidth /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Merge w:val="continue"/>
            <w:vAlign w:val="center"/>
          </w:tcPr>
          <w:p>
            <w:pPr>
              <w:spacing w:after="0"/>
              <w:rPr>
                <w:rFonts w:ascii="Arial" w:hAnsi="Arial"/>
                <w:sz w:val="18"/>
                <w:lang w:eastAsia="en-GB"/>
              </w:rPr>
            </w:pPr>
          </w:p>
        </w:tc>
        <w:tc>
          <w:tcPr>
            <w:tcW w:w="3371" w:type="dxa"/>
          </w:tcPr>
          <w:p>
            <w:pPr>
              <w:keepNext/>
              <w:keepLines/>
              <w:spacing w:after="0"/>
              <w:jc w:val="center"/>
              <w:rPr>
                <w:rFonts w:ascii="Arial" w:hAnsi="Arial"/>
                <w:b/>
                <w:sz w:val="18"/>
              </w:rPr>
            </w:pPr>
            <w:r>
              <w:rPr>
                <w:rFonts w:ascii="Arial" w:hAnsi="Arial"/>
                <w:b/>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Align w:val="center"/>
          </w:tcPr>
          <w:p>
            <w:pPr>
              <w:keepNext/>
              <w:keepLines/>
              <w:spacing w:after="0"/>
              <w:jc w:val="center"/>
              <w:rPr>
                <w:rFonts w:ascii="Arial" w:hAnsi="Arial"/>
                <w:b/>
                <w:sz w:val="18"/>
              </w:rPr>
            </w:pPr>
            <w:r>
              <w:rPr>
                <w:rFonts w:ascii="Arial" w:hAnsi="Arial"/>
                <w:b/>
                <w:sz w:val="18"/>
              </w:rPr>
              <w:t>Channel bandwidth [MHz]</w:t>
            </w:r>
          </w:p>
        </w:tc>
        <w:tc>
          <w:tcPr>
            <w:tcW w:w="3371" w:type="dxa"/>
            <w:vAlign w:val="center"/>
          </w:tcPr>
          <w:p>
            <w:pPr>
              <w:keepNext/>
              <w:keepLines/>
              <w:spacing w:after="0"/>
              <w:jc w:val="center"/>
              <w:rPr>
                <w:rFonts w:ascii="Arial" w:hAnsi="Arial"/>
                <w:sz w:val="18"/>
              </w:rPr>
            </w:pPr>
            <w:r>
              <w:rPr>
                <w:rFonts w:ascii="Arial" w:hAnsi="Arial"/>
                <w:sz w:val="18"/>
              </w:rPr>
              <w:t>1.4</w:t>
            </w:r>
          </w:p>
        </w:tc>
      </w:tr>
    </w:tbl>
    <w:p>
      <w:pPr>
        <w:spacing w:after="0"/>
        <w:rPr>
          <w:lang w:eastAsia="en-GB"/>
        </w:rPr>
      </w:pPr>
    </w:p>
    <w:p>
      <w:pPr>
        <w:rPr>
          <w:lang w:eastAsia="en-GB"/>
        </w:rPr>
      </w:pPr>
      <w:r>
        <w:rPr>
          <w:lang w:eastAsia="en-GB"/>
        </w:rPr>
        <w:t>The normative reference for this requirement is TS 36.102 [11] clause 6.5A.2.</w:t>
      </w:r>
    </w:p>
    <w:p>
      <w:pPr>
        <w:pStyle w:val="9"/>
        <w:rPr>
          <w:rFonts w:eastAsiaTheme="minorEastAsia"/>
        </w:rPr>
      </w:pPr>
      <w:r>
        <w:rPr>
          <w:rFonts w:hint="eastAsia" w:eastAsiaTheme="minorEastAsia"/>
        </w:rPr>
        <w:t>6</w:t>
      </w:r>
      <w:r>
        <w:rPr>
          <w:rFonts w:eastAsiaTheme="minorEastAsia"/>
        </w:rPr>
        <w:t>.5A.2.4</w:t>
      </w:r>
      <w:r>
        <w:rPr>
          <w:rFonts w:eastAsiaTheme="minorEastAsia"/>
        </w:rPr>
        <w:tab/>
      </w:r>
      <w:r>
        <w:rPr>
          <w:rFonts w:eastAsiaTheme="minorEastAsia"/>
        </w:rPr>
        <w:t>Test description</w:t>
      </w:r>
    </w:p>
    <w:p>
      <w:pPr>
        <w:pStyle w:val="9"/>
        <w:rPr>
          <w:rFonts w:eastAsiaTheme="minorEastAsia"/>
        </w:rPr>
      </w:pPr>
      <w:r>
        <w:rPr>
          <w:rFonts w:hint="eastAsia" w:eastAsiaTheme="minorEastAsia"/>
        </w:rPr>
        <w:t>6</w:t>
      </w:r>
      <w:r>
        <w:rPr>
          <w:rFonts w:eastAsiaTheme="minorEastAsia"/>
        </w:rPr>
        <w:t>.5A.2.4.1</w:t>
      </w:r>
      <w:r>
        <w:rPr>
          <w:rFonts w:eastAsiaTheme="minorEastAsia"/>
        </w:rPr>
        <w:tab/>
      </w:r>
      <w:r>
        <w:rPr>
          <w:rFonts w:eastAsiaTheme="minorEastAsia"/>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pPr>
        <w:keepNext/>
        <w:keepLines/>
        <w:spacing w:before="60"/>
        <w:jc w:val="center"/>
        <w:rPr>
          <w:rFonts w:ascii="Arial" w:hAnsi="Arial"/>
          <w:b/>
          <w:lang w:eastAsia="en-GB"/>
        </w:rPr>
      </w:pPr>
      <w:r>
        <w:rPr>
          <w:rFonts w:ascii="Arial" w:hAnsi="Arial"/>
          <w:b/>
          <w:lang w:eastAsia="en-GB"/>
        </w:rPr>
        <w:t>Table 6.5A.2.4.1-1: Test Configuration Table</w:t>
      </w:r>
    </w:p>
    <w:tbl>
      <w:tblPr>
        <w:tblStyle w:val="89"/>
        <w:tblW w:w="82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1165"/>
        <w:gridCol w:w="1165"/>
        <w:gridCol w:w="23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17" w:type="dxa"/>
            <w:gridSpan w:val="5"/>
          </w:tcPr>
          <w:p>
            <w:pPr>
              <w:keepNext/>
              <w:keepLines/>
              <w:spacing w:after="0"/>
              <w:jc w:val="center"/>
              <w:rPr>
                <w:rFonts w:ascii="Arial" w:hAnsi="Arial" w:cs="v5.0.0"/>
                <w:b/>
                <w:sz w:val="18"/>
              </w:rPr>
            </w:pPr>
            <w:r>
              <w:rPr>
                <w:rFonts w:ascii="Arial" w:hAnsi="Arial" w:cs="v5.0.0"/>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Pr>
          <w:p>
            <w:pPr>
              <w:keepNext/>
              <w:keepLines/>
              <w:spacing w:after="0"/>
              <w:jc w:val="center"/>
              <w:rPr>
                <w:rFonts w:ascii="Arial" w:hAnsi="Arial"/>
                <w:sz w:val="18"/>
              </w:rPr>
            </w:pPr>
            <w:r>
              <w:rPr>
                <w:rFonts w:ascii="Arial" w:hAnsi="Arial" w:cs="v5.0.0"/>
                <w:sz w:val="18"/>
              </w:rPr>
              <w:t>Test Environment as specified in</w:t>
            </w:r>
          </w:p>
          <w:p>
            <w:pPr>
              <w:keepNext/>
              <w:keepLines/>
              <w:spacing w:after="0"/>
              <w:jc w:val="center"/>
              <w:rPr>
                <w:rFonts w:ascii="Arial" w:hAnsi="Arial"/>
                <w:sz w:val="18"/>
              </w:rPr>
            </w:pPr>
            <w:r>
              <w:rPr>
                <w:rFonts w:ascii="Arial" w:hAnsi="Arial"/>
                <w:sz w:val="18"/>
              </w:rPr>
              <w:t>TS 36.508 [12] subclause 4.1</w:t>
            </w:r>
          </w:p>
        </w:tc>
        <w:tc>
          <w:tcPr>
            <w:tcW w:w="4721" w:type="dxa"/>
            <w:gridSpan w:val="3"/>
          </w:tcPr>
          <w:p>
            <w:pPr>
              <w:keepNext/>
              <w:keepLines/>
              <w:spacing w:after="0"/>
              <w:jc w:val="center"/>
              <w:rPr>
                <w:rFonts w:ascii="Arial" w:hAnsi="Arial" w:cs="v5.0.0"/>
                <w:sz w:val="18"/>
              </w:rPr>
            </w:pPr>
            <w:r>
              <w:rPr>
                <w:rFonts w:ascii="Arial" w:hAnsi="Arial" w:cs="v5.0.0"/>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Pr>
          <w:p>
            <w:pPr>
              <w:keepNext/>
              <w:keepLines/>
              <w:spacing w:after="0"/>
              <w:jc w:val="center"/>
              <w:rPr>
                <w:rFonts w:ascii="Arial" w:hAnsi="Arial"/>
                <w:b/>
                <w:sz w:val="18"/>
              </w:rPr>
            </w:pPr>
            <w:r>
              <w:rPr>
                <w:rFonts w:ascii="Arial" w:hAnsi="Arial" w:cs="v5.0.0"/>
                <w:sz w:val="18"/>
              </w:rPr>
              <w:t>Test Frequencies as specified in</w:t>
            </w:r>
          </w:p>
          <w:p>
            <w:pPr>
              <w:keepNext/>
              <w:keepLines/>
              <w:spacing w:after="0"/>
              <w:jc w:val="center"/>
              <w:rPr>
                <w:rFonts w:ascii="Arial" w:hAnsi="Arial"/>
                <w:sz w:val="18"/>
              </w:rPr>
            </w:pPr>
            <w:r>
              <w:rPr>
                <w:rFonts w:ascii="Arial" w:hAnsi="Arial"/>
                <w:sz w:val="18"/>
              </w:rPr>
              <w:t>TS36.508 [12] subclause 4.3.1</w:t>
            </w:r>
          </w:p>
        </w:tc>
        <w:tc>
          <w:tcPr>
            <w:tcW w:w="4721" w:type="dxa"/>
            <w:gridSpan w:val="3"/>
          </w:tcPr>
          <w:p>
            <w:pPr>
              <w:keepNext/>
              <w:keepLines/>
              <w:spacing w:after="0"/>
              <w:jc w:val="center"/>
              <w:rPr>
                <w:rFonts w:ascii="Arial" w:hAnsi="Arial" w:cs="v5.0.0"/>
                <w:sz w:val="18"/>
              </w:rPr>
            </w:pPr>
            <w:r>
              <w:rPr>
                <w:rFonts w:ascii="Arial" w:hAnsi="Arial" w:cs="v5.0.0"/>
                <w:sz w:val="18"/>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Pr>
          <w:p>
            <w:pPr>
              <w:keepNext/>
              <w:keepLines/>
              <w:spacing w:after="0"/>
              <w:jc w:val="center"/>
              <w:rPr>
                <w:rFonts w:ascii="Arial" w:hAnsi="Arial"/>
                <w:b/>
                <w:sz w:val="18"/>
              </w:rPr>
            </w:pPr>
            <w:r>
              <w:rPr>
                <w:rFonts w:ascii="Arial" w:hAnsi="Arial" w:cs="v5.0.0"/>
                <w:sz w:val="18"/>
              </w:rPr>
              <w:t>Test Channel Bandwidths</w:t>
            </w:r>
            <w:r>
              <w:rPr>
                <w:rFonts w:ascii="Arial" w:hAnsi="Arial" w:cs="v5.0.0"/>
                <w:b/>
                <w:sz w:val="18"/>
              </w:rPr>
              <w:t xml:space="preserve"> </w:t>
            </w:r>
            <w:r>
              <w:rPr>
                <w:rFonts w:ascii="Arial" w:hAnsi="Arial" w:cs="v5.0.0"/>
                <w:sz w:val="18"/>
              </w:rPr>
              <w:t>as specified in</w:t>
            </w:r>
          </w:p>
          <w:p>
            <w:pPr>
              <w:keepNext/>
              <w:keepLines/>
              <w:spacing w:after="0"/>
              <w:jc w:val="center"/>
              <w:rPr>
                <w:rFonts w:ascii="Arial" w:hAnsi="Arial"/>
                <w:sz w:val="18"/>
              </w:rPr>
            </w:pPr>
            <w:r>
              <w:rPr>
                <w:rFonts w:ascii="Arial" w:hAnsi="Arial"/>
                <w:sz w:val="18"/>
              </w:rPr>
              <w:t>TS 36.508 [12] subclause 4.3.1</w:t>
            </w:r>
          </w:p>
        </w:tc>
        <w:tc>
          <w:tcPr>
            <w:tcW w:w="4721" w:type="dxa"/>
            <w:gridSpan w:val="3"/>
          </w:tcPr>
          <w:p>
            <w:pPr>
              <w:keepNext/>
              <w:keepLines/>
              <w:spacing w:after="0"/>
              <w:jc w:val="center"/>
              <w:rPr>
                <w:rFonts w:ascii="Arial" w:hAnsi="Arial" w:cs="v5.0.0"/>
                <w:sz w:val="18"/>
              </w:rPr>
            </w:pPr>
            <w:r>
              <w:rPr>
                <w:rFonts w:ascii="Arial" w:hAnsi="Arial" w:cs="v5.0.0"/>
                <w:sz w:val="18"/>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17" w:type="dxa"/>
            <w:gridSpan w:val="5"/>
          </w:tcPr>
          <w:p>
            <w:pPr>
              <w:keepNext/>
              <w:keepLines/>
              <w:spacing w:after="0"/>
              <w:jc w:val="center"/>
              <w:rPr>
                <w:rFonts w:ascii="Arial" w:hAnsi="Arial"/>
                <w:b/>
                <w:sz w:val="18"/>
              </w:rPr>
            </w:pPr>
            <w:r>
              <w:rPr>
                <w:rFonts w:ascii="Arial" w:hAnsi="Arial"/>
                <w:b/>
                <w:sz w:val="18"/>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keepNext/>
              <w:keepLines/>
              <w:spacing w:after="0"/>
              <w:jc w:val="center"/>
              <w:rPr>
                <w:rFonts w:ascii="Arial" w:hAnsi="Arial"/>
                <w:sz w:val="18"/>
              </w:rPr>
            </w:pPr>
          </w:p>
        </w:tc>
        <w:tc>
          <w:tcPr>
            <w:tcW w:w="3495" w:type="dxa"/>
            <w:gridSpan w:val="2"/>
          </w:tcPr>
          <w:p>
            <w:pPr>
              <w:keepNext/>
              <w:keepLines/>
              <w:spacing w:after="0"/>
              <w:jc w:val="center"/>
              <w:rPr>
                <w:rFonts w:ascii="Arial" w:hAnsi="Arial"/>
                <w:b/>
                <w:sz w:val="18"/>
              </w:rPr>
            </w:pPr>
            <w:r>
              <w:rPr>
                <w:rFonts w:ascii="Arial" w:hAnsi="Arial"/>
                <w:b/>
                <w:sz w:val="18"/>
              </w:rPr>
              <w:t>Downlink Configuration</w:t>
            </w:r>
          </w:p>
        </w:tc>
        <w:tc>
          <w:tcPr>
            <w:tcW w:w="3556" w:type="dxa"/>
            <w:gridSpan w:val="2"/>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keepNext/>
              <w:keepLines/>
              <w:spacing w:after="0"/>
              <w:jc w:val="center"/>
              <w:rPr>
                <w:rFonts w:ascii="Arial" w:hAnsi="Arial"/>
                <w:sz w:val="18"/>
              </w:rPr>
            </w:pPr>
            <w:r>
              <w:rPr>
                <w:rFonts w:ascii="Arial" w:hAnsi="Arial" w:cs="v5.0.0"/>
                <w:sz w:val="18"/>
              </w:rPr>
              <w:t>Ch BW</w:t>
            </w:r>
          </w:p>
        </w:tc>
        <w:tc>
          <w:tcPr>
            <w:tcW w:w="3495" w:type="dxa"/>
            <w:gridSpan w:val="2"/>
            <w:vMerge w:val="restart"/>
          </w:tcPr>
          <w:p>
            <w:pPr>
              <w:keepNext/>
              <w:keepLines/>
              <w:spacing w:after="0"/>
              <w:jc w:val="center"/>
              <w:rPr>
                <w:rFonts w:ascii="Arial" w:hAnsi="Arial"/>
                <w:sz w:val="18"/>
              </w:rPr>
            </w:pPr>
            <w:r>
              <w:rPr>
                <w:rFonts w:ascii="Arial" w:hAnsi="Arial" w:cs="Arial"/>
                <w:sz w:val="18"/>
              </w:rPr>
              <w:t xml:space="preserve">N/A for </w:t>
            </w:r>
            <w:r>
              <w:rPr>
                <w:rFonts w:ascii="Arial" w:hAnsi="Arial"/>
                <w:sz w:val="18"/>
              </w:rPr>
              <w:t>Occupied bandwidth</w:t>
            </w:r>
          </w:p>
        </w:tc>
        <w:tc>
          <w:tcPr>
            <w:tcW w:w="1165" w:type="dxa"/>
          </w:tcPr>
          <w:p>
            <w:pPr>
              <w:keepNext/>
              <w:keepLines/>
              <w:spacing w:after="0"/>
              <w:jc w:val="center"/>
              <w:rPr>
                <w:rFonts w:ascii="Arial" w:hAnsi="Arial"/>
                <w:sz w:val="18"/>
              </w:rPr>
            </w:pPr>
            <w:r>
              <w:rPr>
                <w:rFonts w:ascii="Arial" w:hAnsi="Arial" w:cs="v5.0.0"/>
                <w:sz w:val="18"/>
              </w:rPr>
              <w:t>Mod'n</w:t>
            </w:r>
          </w:p>
        </w:tc>
        <w:tc>
          <w:tcPr>
            <w:tcW w:w="2391" w:type="dxa"/>
          </w:tcPr>
          <w:p>
            <w:pPr>
              <w:keepNext/>
              <w:keepLines/>
              <w:spacing w:after="0"/>
              <w:jc w:val="center"/>
              <w:rPr>
                <w:rFonts w:ascii="Arial" w:hAnsi="Arial" w:cs="v5.0.0"/>
                <w:sz w:val="18"/>
              </w:rPr>
            </w:pPr>
            <w:r>
              <w:rPr>
                <w:rFonts w:ascii="Arial" w:hAnsi="Arial" w:cs="v5.0.0"/>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keepNext/>
              <w:keepLines/>
              <w:spacing w:after="0"/>
              <w:jc w:val="center"/>
              <w:rPr>
                <w:rFonts w:ascii="Arial" w:hAnsi="Arial"/>
                <w:sz w:val="18"/>
              </w:rPr>
            </w:pPr>
          </w:p>
        </w:tc>
        <w:tc>
          <w:tcPr>
            <w:tcW w:w="3495" w:type="dxa"/>
            <w:gridSpan w:val="2"/>
            <w:vMerge w:val="continue"/>
          </w:tcPr>
          <w:p>
            <w:pPr>
              <w:rPr>
                <w:lang w:eastAsia="en-GB"/>
              </w:rPr>
            </w:pPr>
          </w:p>
        </w:tc>
        <w:tc>
          <w:tcPr>
            <w:tcW w:w="1165" w:type="dxa"/>
          </w:tcPr>
          <w:p>
            <w:pPr>
              <w:keepNext/>
              <w:keepLines/>
              <w:spacing w:after="0"/>
              <w:jc w:val="center"/>
              <w:rPr>
                <w:rFonts w:ascii="Arial" w:hAnsi="Arial"/>
                <w:sz w:val="18"/>
              </w:rPr>
            </w:pPr>
          </w:p>
        </w:tc>
        <w:tc>
          <w:tcPr>
            <w:tcW w:w="2391" w:type="dxa"/>
          </w:tcPr>
          <w:p>
            <w:pPr>
              <w:keepNext/>
              <w:keepLines/>
              <w:spacing w:after="0"/>
              <w:jc w:val="center"/>
              <w:rPr>
                <w:rFonts w:ascii="Arial" w:hAnsi="Arial"/>
                <w:sz w:val="18"/>
              </w:rPr>
            </w:pPr>
            <w:r>
              <w:rPr>
                <w:rFonts w:ascii="Arial" w:hAnsi="Arial" w:cs="v5.0.0"/>
                <w:sz w:val="18"/>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keepNext/>
              <w:keepLines/>
              <w:spacing w:after="0"/>
              <w:jc w:val="center"/>
              <w:rPr>
                <w:rFonts w:ascii="Arial" w:hAnsi="Arial"/>
                <w:sz w:val="18"/>
              </w:rPr>
            </w:pPr>
            <w:r>
              <w:rPr>
                <w:rFonts w:ascii="Arial" w:hAnsi="Arial"/>
                <w:sz w:val="18"/>
              </w:rPr>
              <w:t>1.4MHz</w:t>
            </w:r>
          </w:p>
        </w:tc>
        <w:tc>
          <w:tcPr>
            <w:tcW w:w="3495" w:type="dxa"/>
            <w:gridSpan w:val="2"/>
            <w:vMerge w:val="continue"/>
          </w:tcPr>
          <w:p>
            <w:pPr>
              <w:rPr>
                <w:rFonts w:cs="v5.0.0"/>
                <w:lang w:eastAsia="en-GB"/>
              </w:rPr>
            </w:pPr>
          </w:p>
        </w:tc>
        <w:tc>
          <w:tcPr>
            <w:tcW w:w="1165" w:type="dxa"/>
          </w:tcPr>
          <w:p>
            <w:pPr>
              <w:keepNext/>
              <w:keepLines/>
              <w:spacing w:after="0"/>
              <w:jc w:val="center"/>
              <w:rPr>
                <w:rFonts w:ascii="Arial" w:hAnsi="Arial"/>
                <w:sz w:val="18"/>
              </w:rPr>
            </w:pPr>
            <w:r>
              <w:rPr>
                <w:rFonts w:ascii="Arial" w:hAnsi="Arial"/>
                <w:sz w:val="18"/>
              </w:rPr>
              <w:t>QPSK</w:t>
            </w:r>
          </w:p>
        </w:tc>
        <w:tc>
          <w:tcPr>
            <w:tcW w:w="2391" w:type="dxa"/>
          </w:tcPr>
          <w:p>
            <w:pPr>
              <w:keepNext/>
              <w:keepLines/>
              <w:spacing w:after="0"/>
              <w:jc w:val="center"/>
              <w:rPr>
                <w:rFonts w:ascii="Arial" w:hAnsi="Arial" w:cs="v5.0.0"/>
                <w:sz w:val="18"/>
              </w:rPr>
            </w:pPr>
            <w:r>
              <w:rPr>
                <w:rFonts w:ascii="Arial" w:hAnsi="Arial" w:cs="v5.0.0"/>
                <w:sz w:val="18"/>
              </w:rPr>
              <w:t>6</w:t>
            </w:r>
          </w:p>
        </w:tc>
      </w:tr>
    </w:tbl>
    <w:p>
      <w:pPr>
        <w:rPr>
          <w:lang w:eastAsia="en-GB"/>
        </w:rPr>
      </w:pPr>
    </w:p>
    <w:p>
      <w:pPr>
        <w:ind w:left="568" w:hanging="284"/>
        <w:rPr>
          <w:lang w:eastAsia="en-GB"/>
        </w:rPr>
      </w:pPr>
      <w:r>
        <w:rPr>
          <w:lang w:eastAsia="en-GB"/>
        </w:rPr>
        <w:t>1.</w:t>
      </w:r>
      <w:r>
        <w:rPr>
          <w:lang w:eastAsia="en-GB"/>
        </w:rPr>
        <w:tab/>
      </w:r>
      <w:r>
        <w:rPr>
          <w:lang w:eastAsia="en-GB"/>
        </w:rPr>
        <w:t>Connect the SS to the UE antenna connectors as shown in TS 36.508 [12] Annex A Figure A.3 using only main UE Tx/Rx antenna.</w:t>
      </w:r>
    </w:p>
    <w:p>
      <w:pPr>
        <w:ind w:left="568" w:hanging="284"/>
        <w:rPr>
          <w:lang w:eastAsia="en-GB"/>
        </w:rPr>
      </w:pPr>
      <w:r>
        <w:rPr>
          <w:lang w:eastAsia="en-GB"/>
        </w:rPr>
        <w:t>2.</w:t>
      </w:r>
      <w:r>
        <w:rPr>
          <w:lang w:eastAsia="en-GB"/>
        </w:rPr>
        <w:tab/>
      </w:r>
      <w:r>
        <w:rPr>
          <w:lang w:eastAsia="en-GB"/>
        </w:rPr>
        <w:t>The parameter settings for the cell are set up according to TS 36.508 [12] subclause 4.4.3.</w:t>
      </w:r>
    </w:p>
    <w:p>
      <w:pPr>
        <w:ind w:left="568" w:hanging="284"/>
        <w:rPr>
          <w:lang w:eastAsia="en-GB"/>
        </w:rPr>
      </w:pPr>
      <w:r>
        <w:rPr>
          <w:lang w:eastAsia="en-GB"/>
        </w:rPr>
        <w:t>3.</w:t>
      </w:r>
      <w:r>
        <w:rPr>
          <w:lang w:eastAsia="en-GB"/>
        </w:rPr>
        <w:tab/>
      </w:r>
      <w:r>
        <w:rPr>
          <w:lang w:eastAsia="en-GB"/>
        </w:rPr>
        <w:t xml:space="preserve">Downlink signals are initially set up according to Annex </w:t>
      </w:r>
      <w:r>
        <w:rPr>
          <w:lang w:eastAsia="ko-KR"/>
        </w:rPr>
        <w:t xml:space="preserve">C0, </w:t>
      </w:r>
      <w:r>
        <w:rPr>
          <w:lang w:eastAsia="en-GB"/>
        </w:rPr>
        <w:t>C.1, and C.3.0, and uplink signals according to Annex H.1 and H.3.0.</w:t>
      </w:r>
    </w:p>
    <w:p>
      <w:pPr>
        <w:ind w:left="568" w:hanging="284"/>
        <w:rPr>
          <w:lang w:eastAsia="en-GB"/>
        </w:rPr>
      </w:pPr>
      <w:r>
        <w:rPr>
          <w:lang w:eastAsia="en-GB"/>
        </w:rPr>
        <w:t>4.</w:t>
      </w:r>
      <w:r>
        <w:rPr>
          <w:lang w:eastAsia="en-GB"/>
        </w:rPr>
        <w:tab/>
      </w:r>
      <w:r>
        <w:rPr>
          <w:lang w:eastAsia="en-GB"/>
        </w:rPr>
        <w:t>The UL Reference Measurement channels are set according to Table 6.5A.2.4.1-1.</w:t>
      </w:r>
    </w:p>
    <w:p>
      <w:pPr>
        <w:ind w:left="568" w:hanging="284"/>
        <w:rPr>
          <w:lang w:eastAsia="en-GB"/>
        </w:rPr>
      </w:pPr>
      <w:r>
        <w:rPr>
          <w:lang w:eastAsia="en-GB"/>
        </w:rPr>
        <w:t>5.</w:t>
      </w:r>
      <w:r>
        <w:rPr>
          <w:lang w:eastAsia="en-GB"/>
        </w:rPr>
        <w:tab/>
      </w:r>
      <w:r>
        <w:rPr>
          <w:lang w:eastAsia="en-GB"/>
        </w:rPr>
        <w:t>Propagation conditions are set according to Annex B.0.</w:t>
      </w:r>
    </w:p>
    <w:p>
      <w:pPr>
        <w:ind w:left="568" w:hanging="284"/>
        <w:rPr>
          <w:lang w:eastAsia="en-GB"/>
        </w:rPr>
      </w:pPr>
      <w:r>
        <w:rPr>
          <w:lang w:eastAsia="en-GB"/>
        </w:rPr>
        <w:t>6.</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pPr>
        <w:ind w:left="568" w:hanging="284"/>
      </w:pPr>
      <w:r>
        <w:rPr>
          <w:rFonts w:hint="eastAsia"/>
          <w:lang w:eastAsia="en-GB"/>
        </w:rPr>
        <w:t>7</w:t>
      </w:r>
      <w:r>
        <w:rPr>
          <w:lang w:eastAsia="en-GB"/>
        </w:rPr>
        <w:t>.</w:t>
      </w:r>
      <w:r>
        <w:rPr>
          <w:lang w:eastAsia="en-GB"/>
        </w:rPr>
        <w:tab/>
      </w:r>
      <w:r>
        <w:t>Test equipment shall emu</w:t>
      </w:r>
      <w:r>
        <w:rPr>
          <w:color w:val="000000" w:themeColor="text1"/>
          <w14:textFill>
            <w14:solidFill>
              <w14:schemeClr w14:val="tx1"/>
            </w14:solidFill>
          </w14:textFill>
        </w:rPr>
        <w:t xml:space="preserve">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w:t>
      </w:r>
      <w:r>
        <w:t>ion of the test as define in TS 36.508[12] clause 5.6.3.1</w:t>
      </w:r>
    </w:p>
    <w:p>
      <w:pPr>
        <w:ind w:left="568" w:hanging="284"/>
        <w:rPr>
          <w:lang w:eastAsia="en-GB"/>
        </w:rPr>
      </w:pPr>
      <w:r>
        <w:rPr>
          <w:rFonts w:hint="eastAsia"/>
        </w:rPr>
        <w:t>8</w:t>
      </w:r>
      <w:r>
        <w:t>.</w:t>
      </w:r>
      <w:r>
        <w:tab/>
      </w:r>
      <w:r>
        <w:t>Deactivate UE prediction of satellite trajectory by any preconfigured means</w:t>
      </w:r>
    </w:p>
    <w:p>
      <w:pPr>
        <w:ind w:left="568" w:hanging="284"/>
        <w:rPr>
          <w:lang w:eastAsia="en-GB"/>
        </w:rPr>
      </w:pPr>
      <w:r>
        <w:rPr>
          <w:lang w:eastAsia="en-GB"/>
        </w:rPr>
        <w:t>9.</w:t>
      </w:r>
      <w:r>
        <w:rPr>
          <w:lang w:eastAsia="en-GB"/>
        </w:rPr>
        <w:tab/>
      </w:r>
      <w:r>
        <w:rPr>
          <w:lang w:eastAsia="en-GB"/>
        </w:rPr>
        <w:t>Ensure the UE is in State 3A-RF-CE according to TS 36.508 [12] clause 5.2A.2AA. Message contents are defined in clause 6.5A.2.4.3.</w:t>
      </w:r>
    </w:p>
    <w:p>
      <w:pPr>
        <w:pStyle w:val="9"/>
        <w:rPr>
          <w:rFonts w:eastAsiaTheme="minorEastAsia"/>
        </w:rPr>
      </w:pPr>
      <w:r>
        <w:rPr>
          <w:rFonts w:hint="eastAsia" w:eastAsiaTheme="minorEastAsia"/>
        </w:rPr>
        <w:t>6</w:t>
      </w:r>
      <w:r>
        <w:rPr>
          <w:rFonts w:eastAsiaTheme="minorEastAsia"/>
        </w:rPr>
        <w:t>.5A.2.4.2</w:t>
      </w:r>
      <w:r>
        <w:rPr>
          <w:rFonts w:eastAsiaTheme="minorEastAsia"/>
        </w:rPr>
        <w:tab/>
      </w:r>
      <w:r>
        <w:rPr>
          <w:rFonts w:eastAsiaTheme="minorEastAsia"/>
        </w:rPr>
        <w:t>Test procedure</w:t>
      </w:r>
    </w:p>
    <w:p>
      <w:pPr>
        <w:ind w:left="568" w:hanging="284"/>
        <w:rPr>
          <w:lang w:eastAsia="en-GB"/>
        </w:rPr>
      </w:pPr>
      <w:r>
        <w:rPr>
          <w:lang w:eastAsia="en-GB"/>
        </w:rPr>
        <w:t>1.</w:t>
      </w:r>
      <w:r>
        <w:rPr>
          <w:lang w:eastAsia="en-GB"/>
        </w:rPr>
        <w:tab/>
      </w:r>
      <w:r>
        <w:rPr>
          <w:lang w:eastAsia="en-GB"/>
        </w:rPr>
        <w:t xml:space="preserve">The SS sends uplink scheduling information </w:t>
      </w:r>
      <w:r>
        <w:rPr>
          <w:rFonts w:eastAsia="MS Mincho"/>
          <w:lang w:eastAsia="en-GB"/>
        </w:rPr>
        <w:t>for each UL HARQ process</w:t>
      </w:r>
      <w:r>
        <w:rPr>
          <w:lang w:eastAsia="en-GB"/>
        </w:rPr>
        <w:t xml:space="preserve"> via MPDCCH DCI format 6-0A for C_RNTI to schedule the UL RMC according to Table 6.5A.2.4.1-1. Since the UE has no payload and no loopback data to send the UE sends uplink MAC padding bits on the UL RMC</w:t>
      </w:r>
      <w:r>
        <w:rPr>
          <w:rFonts w:eastAsia="MS Mincho"/>
          <w:lang w:eastAsia="en-GB"/>
        </w:rPr>
        <w:t>.</w:t>
      </w:r>
    </w:p>
    <w:p>
      <w:pPr>
        <w:ind w:left="568" w:hanging="284"/>
        <w:rPr>
          <w:lang w:eastAsia="en-GB"/>
        </w:rPr>
      </w:pPr>
      <w:r>
        <w:rPr>
          <w:lang w:eastAsia="en-GB"/>
        </w:rPr>
        <w:t>2.</w:t>
      </w:r>
      <w:r>
        <w:rPr>
          <w:lang w:eastAsia="en-GB"/>
        </w:rPr>
        <w:tab/>
      </w:r>
      <w:r>
        <w:rPr>
          <w:lang w:eastAsia="en-GB"/>
        </w:rPr>
        <w:t xml:space="preserve">Send continuously power control "up" commands to the UE until the UE transmits at </w:t>
      </w:r>
      <w:r>
        <w:rPr>
          <w:shd w:val="clear" w:color="auto" w:fill="FFFFFF"/>
          <w:lang w:eastAsia="en-GB"/>
        </w:rPr>
        <w:t>P</w:t>
      </w:r>
      <w:r>
        <w:rPr>
          <w:shd w:val="clear" w:color="auto" w:fill="FFFFFF"/>
          <w:vertAlign w:val="subscript"/>
          <w:lang w:eastAsia="en-GB"/>
        </w:rPr>
        <w:t>UMAX</w:t>
      </w:r>
      <w:r>
        <w:rPr>
          <w:shd w:val="clear" w:color="auto" w:fill="FFFFFF"/>
          <w:lang w:eastAsia="en-GB"/>
        </w:rPr>
        <w:t xml:space="preserve"> level</w:t>
      </w:r>
      <w:r>
        <w:rPr>
          <w:rFonts w:eastAsia="MS Mincho"/>
          <w:shd w:val="clear" w:color="auto" w:fill="FFFFFF"/>
          <w:lang w:eastAsia="en-GB"/>
        </w:rPr>
        <w:t>.</w:t>
      </w:r>
    </w:p>
    <w:p>
      <w:pPr>
        <w:ind w:left="568" w:hanging="284"/>
        <w:rPr>
          <w:lang w:eastAsia="en-GB"/>
        </w:rPr>
      </w:pPr>
      <w:r>
        <w:rPr>
          <w:lang w:eastAsia="en-GB"/>
        </w:rPr>
        <w:t>3.</w:t>
      </w:r>
      <w:r>
        <w:rPr>
          <w:lang w:eastAsia="en-GB"/>
        </w:rPr>
        <w:tab/>
      </w:r>
      <w:r>
        <w:rPr>
          <w:lang w:eastAsia="en-GB"/>
        </w:rPr>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p>
    <w:p>
      <w:pPr>
        <w:ind w:left="568" w:hanging="284"/>
        <w:rPr>
          <w:lang w:eastAsia="en-GB"/>
        </w:rPr>
      </w:pPr>
      <w:r>
        <w:rPr>
          <w:lang w:eastAsia="en-GB"/>
        </w:rPr>
        <w:t>4.</w:t>
      </w:r>
      <w:r>
        <w:rPr>
          <w:lang w:eastAsia="en-GB"/>
        </w:rPr>
        <w:tab/>
      </w:r>
      <w:r>
        <w:rPr>
          <w:lang w:eastAsia="en-GB"/>
        </w:rPr>
        <w:t>Calculate the total power within the range of all frequencies measured in '3)' and save this value as "Total Power".</w:t>
      </w:r>
    </w:p>
    <w:p>
      <w:pPr>
        <w:ind w:left="568" w:hanging="284"/>
        <w:rPr>
          <w:lang w:eastAsia="en-GB"/>
        </w:rPr>
      </w:pPr>
      <w:r>
        <w:rPr>
          <w:lang w:eastAsia="en-GB"/>
        </w:rPr>
        <w:t>5.</w:t>
      </w:r>
      <w:r>
        <w:rPr>
          <w:lang w:eastAsia="en-GB"/>
        </w:rPr>
        <w:tab/>
      </w:r>
      <w:r>
        <w:rPr>
          <w:lang w:eastAsia="en-GB"/>
        </w:rPr>
        <w:t>Sum up the power upward from the lower boundary of the measured frequency range in '3)' and seek the limit frequency point by which this sum becomes 0,5 % of "Total Power" and save this point as "Lower Frequency".</w:t>
      </w:r>
    </w:p>
    <w:p>
      <w:pPr>
        <w:ind w:left="568" w:hanging="284"/>
        <w:rPr>
          <w:lang w:eastAsia="en-GB"/>
        </w:rPr>
      </w:pPr>
      <w:r>
        <w:rPr>
          <w:lang w:eastAsia="en-GB"/>
        </w:rPr>
        <w:t>6.</w:t>
      </w:r>
      <w:r>
        <w:rPr>
          <w:lang w:eastAsia="en-GB"/>
        </w:rPr>
        <w:tab/>
      </w:r>
      <w:r>
        <w:rPr>
          <w:lang w:eastAsia="en-GB"/>
        </w:rPr>
        <w:t>Sum up the power downward from the upper boundary of the measured frequency range in '3)' and seek the limit frequency point by which this sum becomes 0,5 % of "Total Power" and save this point as "Upper Frequency".</w:t>
      </w:r>
    </w:p>
    <w:p>
      <w:pPr>
        <w:ind w:left="568" w:hanging="284"/>
        <w:rPr>
          <w:lang w:eastAsia="en-GB"/>
        </w:rPr>
      </w:pPr>
      <w:r>
        <w:rPr>
          <w:lang w:eastAsia="en-GB"/>
        </w:rPr>
        <w:t>7.</w:t>
      </w:r>
      <w:r>
        <w:rPr>
          <w:lang w:eastAsia="en-GB"/>
        </w:rPr>
        <w:tab/>
      </w:r>
      <w:r>
        <w:rPr>
          <w:lang w:eastAsia="en-GB"/>
        </w:rPr>
        <w:t xml:space="preserve">Calculate the difference ("Upper Frequency" </w:t>
      </w:r>
      <w:r>
        <w:rPr>
          <w:lang w:eastAsia="en-GB"/>
        </w:rPr>
        <w:fldChar w:fldCharType="begin"/>
      </w:r>
      <w:r>
        <w:rPr>
          <w:lang w:eastAsia="en-GB"/>
        </w:rPr>
        <w:instrText xml:space="preserve">symbol 45 \f "Symbol" \s 10</w:instrText>
      </w:r>
      <w:r>
        <w:rPr>
          <w:lang w:eastAsia="en-GB"/>
        </w:rPr>
        <w:fldChar w:fldCharType="end"/>
      </w:r>
      <w:r>
        <w:rPr>
          <w:lang w:eastAsia="en-GB"/>
        </w:rPr>
        <w:t xml:space="preserve"> "Lower Frequency" = "Occupied Bandwidth") between two limit frequencies obtained in '5)' and '6)'.</w:t>
      </w:r>
    </w:p>
    <w:p>
      <w:pPr>
        <w:rPr>
          <w:rFonts w:eastAsiaTheme="minorEastAsia"/>
        </w:rPr>
      </w:pPr>
    </w:p>
    <w:p>
      <w:pPr>
        <w:pStyle w:val="9"/>
        <w:rPr>
          <w:rFonts w:eastAsiaTheme="minorEastAsia"/>
        </w:rPr>
      </w:pPr>
      <w:r>
        <w:rPr>
          <w:rFonts w:hint="eastAsia" w:eastAsiaTheme="minorEastAsia"/>
        </w:rPr>
        <w:t>6</w:t>
      </w:r>
      <w:r>
        <w:rPr>
          <w:rFonts w:eastAsiaTheme="minorEastAsia"/>
        </w:rPr>
        <w:t>.5A.2.4.3</w:t>
      </w:r>
      <w:r>
        <w:rPr>
          <w:rFonts w:eastAsiaTheme="minorEastAsia"/>
        </w:rPr>
        <w:tab/>
      </w:r>
      <w:r>
        <w:rPr>
          <w:rFonts w:eastAsiaTheme="minorEastAsia"/>
        </w:rPr>
        <w:t>Message contents</w:t>
      </w:r>
    </w:p>
    <w:p>
      <w:pPr>
        <w:rPr>
          <w:lang w:eastAsia="en-GB"/>
        </w:rPr>
      </w:pPr>
      <w:r>
        <w:rPr>
          <w:lang w:eastAsia="en-GB"/>
        </w:rPr>
        <w:t>Message contents are according to TS 36.508 [12] subclause 4.6 with the condition CEModeA.</w:t>
      </w:r>
      <w:r>
        <w:rPr>
          <w:rFonts w:hint="eastAsia" w:eastAsiaTheme="minorEastAsia"/>
        </w:rPr>
        <w:t xml:space="preserve"> </w:t>
      </w:r>
    </w:p>
    <w:p>
      <w:pPr>
        <w:pStyle w:val="9"/>
        <w:rPr>
          <w:rFonts w:eastAsiaTheme="minorEastAsia"/>
        </w:rPr>
      </w:pPr>
      <w:r>
        <w:rPr>
          <w:rFonts w:hint="eastAsia" w:eastAsiaTheme="minorEastAsia"/>
        </w:rPr>
        <w:t>6</w:t>
      </w:r>
      <w:r>
        <w:rPr>
          <w:rFonts w:eastAsiaTheme="minorEastAsia"/>
        </w:rPr>
        <w:t>.5A.2.5</w:t>
      </w:r>
      <w:r>
        <w:rPr>
          <w:rFonts w:eastAsiaTheme="minorEastAsia"/>
        </w:rPr>
        <w:tab/>
      </w:r>
      <w:r>
        <w:rPr>
          <w:rFonts w:eastAsiaTheme="minorEastAsia"/>
        </w:rPr>
        <w:t>Test requirement</w:t>
      </w:r>
    </w:p>
    <w:p>
      <w:pPr>
        <w:rPr>
          <w:lang w:eastAsia="en-GB"/>
        </w:rPr>
      </w:pPr>
      <w:r>
        <w:rPr>
          <w:lang w:eastAsia="en-GB"/>
        </w:rPr>
        <w:t>The measured Occupied Bandwidth shall not exceed values in Table 6.5A.2.5-1.</w:t>
      </w:r>
    </w:p>
    <w:p>
      <w:pPr>
        <w:keepNext/>
        <w:keepLines/>
        <w:spacing w:before="60"/>
        <w:jc w:val="center"/>
        <w:rPr>
          <w:rFonts w:ascii="Arial" w:hAnsi="Arial"/>
          <w:b/>
          <w:lang w:eastAsia="en-GB"/>
        </w:rPr>
      </w:pPr>
      <w:r>
        <w:rPr>
          <w:rFonts w:ascii="Arial" w:hAnsi="Arial"/>
          <w:b/>
          <w:lang w:eastAsia="en-GB"/>
        </w:rPr>
        <w:t>Table 6.5A.2.5-1: Occupied channel bandwidth</w:t>
      </w:r>
    </w:p>
    <w:tbl>
      <w:tblPr>
        <w:tblStyle w:val="89"/>
        <w:tblW w:w="49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9"/>
        <w:gridCol w:w="30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Merge w:val="restart"/>
            <w:vAlign w:val="center"/>
          </w:tcPr>
          <w:p>
            <w:pPr>
              <w:spacing w:after="0"/>
              <w:rPr>
                <w:rFonts w:ascii="Arial" w:hAnsi="Arial"/>
                <w:sz w:val="18"/>
                <w:lang w:eastAsia="en-GB"/>
              </w:rPr>
            </w:pPr>
          </w:p>
        </w:tc>
        <w:tc>
          <w:tcPr>
            <w:tcW w:w="3088" w:type="dxa"/>
          </w:tcPr>
          <w:p>
            <w:pPr>
              <w:keepNext/>
              <w:keepLines/>
              <w:spacing w:after="0"/>
              <w:jc w:val="center"/>
              <w:rPr>
                <w:rFonts w:ascii="Arial" w:hAnsi="Arial"/>
                <w:b/>
                <w:sz w:val="18"/>
              </w:rPr>
            </w:pPr>
            <w:r>
              <w:rPr>
                <w:rFonts w:ascii="Arial" w:hAnsi="Arial"/>
                <w:b/>
                <w:sz w:val="18"/>
              </w:rPr>
              <w:t>Occupied channel bandwidth /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Merge w:val="continue"/>
            <w:vAlign w:val="center"/>
          </w:tcPr>
          <w:p>
            <w:pPr>
              <w:spacing w:after="0"/>
              <w:rPr>
                <w:rFonts w:ascii="Arial" w:hAnsi="Arial"/>
                <w:sz w:val="18"/>
                <w:lang w:eastAsia="en-GB"/>
              </w:rPr>
            </w:pPr>
          </w:p>
        </w:tc>
        <w:tc>
          <w:tcPr>
            <w:tcW w:w="3088" w:type="dxa"/>
          </w:tcPr>
          <w:p>
            <w:pPr>
              <w:keepNext/>
              <w:keepLines/>
              <w:spacing w:after="0"/>
              <w:jc w:val="center"/>
              <w:rPr>
                <w:rFonts w:ascii="Arial" w:hAnsi="Arial"/>
                <w:b/>
                <w:sz w:val="18"/>
              </w:rPr>
            </w:pPr>
            <w:r>
              <w:rPr>
                <w:rFonts w:ascii="Arial" w:hAnsi="Arial"/>
                <w:b/>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Align w:val="center"/>
          </w:tcPr>
          <w:p>
            <w:pPr>
              <w:keepNext/>
              <w:keepLines/>
              <w:spacing w:after="0"/>
              <w:jc w:val="center"/>
              <w:rPr>
                <w:rFonts w:ascii="Arial" w:hAnsi="Arial"/>
                <w:b/>
                <w:sz w:val="18"/>
              </w:rPr>
            </w:pPr>
            <w:r>
              <w:rPr>
                <w:rFonts w:ascii="Arial" w:hAnsi="Arial"/>
                <w:b/>
                <w:sz w:val="18"/>
              </w:rPr>
              <w:t>Channel bandwidth [MHz]</w:t>
            </w:r>
          </w:p>
        </w:tc>
        <w:tc>
          <w:tcPr>
            <w:tcW w:w="3088" w:type="dxa"/>
            <w:vAlign w:val="center"/>
          </w:tcPr>
          <w:p>
            <w:pPr>
              <w:keepNext/>
              <w:keepLines/>
              <w:spacing w:after="0"/>
              <w:jc w:val="center"/>
              <w:rPr>
                <w:rFonts w:ascii="Arial" w:hAnsi="Arial"/>
                <w:sz w:val="18"/>
              </w:rPr>
            </w:pPr>
            <w:r>
              <w:rPr>
                <w:rFonts w:ascii="Arial" w:hAnsi="Arial"/>
                <w:sz w:val="18"/>
              </w:rPr>
              <w:t>N/A</w:t>
            </w:r>
          </w:p>
        </w:tc>
      </w:tr>
    </w:tbl>
    <w:p>
      <w:pPr>
        <w:rPr>
          <w:rFonts w:eastAsiaTheme="minorEastAsia"/>
        </w:rPr>
      </w:pPr>
    </w:p>
    <w:p>
      <w:pPr>
        <w:pStyle w:val="5"/>
      </w:pPr>
      <w:bookmarkStart w:id="796" w:name="_Toc32364"/>
      <w:bookmarkStart w:id="797" w:name="_Toc14097"/>
      <w:bookmarkStart w:id="798" w:name="_Toc19442"/>
      <w:bookmarkStart w:id="799" w:name="_Toc20616"/>
      <w:bookmarkStart w:id="800" w:name="_Toc120570056"/>
      <w:bookmarkStart w:id="801" w:name="_Toc121162848"/>
      <w:bookmarkStart w:id="802" w:name="_Toc17561"/>
      <w:bookmarkStart w:id="803" w:name="_Toc16868"/>
      <w:bookmarkStart w:id="804" w:name="_Toc21276"/>
      <w:bookmarkStart w:id="805" w:name="_Toc111062058"/>
      <w:r>
        <w:t>6.5A.3</w:t>
      </w:r>
      <w:r>
        <w:tab/>
      </w:r>
      <w:r>
        <w:t>Out of band emission</w:t>
      </w:r>
      <w:r>
        <w:rPr>
          <w:rFonts w:hint="eastAsia"/>
        </w:rPr>
        <w:t xml:space="preserve"> for </w:t>
      </w:r>
      <w:r>
        <w:t>category M1</w:t>
      </w:r>
      <w:bookmarkEnd w:id="796"/>
      <w:bookmarkEnd w:id="797"/>
      <w:bookmarkEnd w:id="798"/>
      <w:bookmarkEnd w:id="799"/>
      <w:bookmarkEnd w:id="800"/>
      <w:bookmarkEnd w:id="801"/>
      <w:bookmarkEnd w:id="802"/>
      <w:bookmarkEnd w:id="803"/>
      <w:bookmarkEnd w:id="804"/>
    </w:p>
    <w:p>
      <w:pPr>
        <w:pStyle w:val="6"/>
      </w:pPr>
      <w:bookmarkStart w:id="806" w:name="_Toc22519"/>
      <w:bookmarkStart w:id="807" w:name="_Toc16643"/>
      <w:bookmarkStart w:id="808" w:name="_Toc28227"/>
      <w:bookmarkStart w:id="809" w:name="_Toc18712"/>
      <w:bookmarkStart w:id="810" w:name="_Toc120570057"/>
      <w:bookmarkStart w:id="811" w:name="_Toc28608"/>
      <w:bookmarkStart w:id="812" w:name="_Toc22125"/>
      <w:bookmarkStart w:id="813" w:name="_Toc537"/>
      <w:bookmarkStart w:id="814" w:name="_Toc121162849"/>
      <w:r>
        <w:t>6.5A.3.1</w:t>
      </w:r>
      <w:r>
        <w:tab/>
      </w:r>
      <w:r>
        <w:t>General</w:t>
      </w:r>
      <w:bookmarkEnd w:id="806"/>
      <w:bookmarkEnd w:id="807"/>
      <w:bookmarkEnd w:id="808"/>
      <w:bookmarkEnd w:id="809"/>
      <w:bookmarkEnd w:id="810"/>
      <w:bookmarkEnd w:id="811"/>
      <w:bookmarkEnd w:id="812"/>
      <w:bookmarkEnd w:id="813"/>
      <w:bookmarkEnd w:id="814"/>
    </w:p>
    <w:p>
      <w:pPr>
        <w:rPr>
          <w:rFonts w:cs="v5.0.0"/>
          <w:lang w:val="en-US"/>
        </w:rPr>
      </w:pPr>
      <w:r>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lang w:val="en-US"/>
        </w:rPr>
        <w:t>.</w:t>
      </w:r>
    </w:p>
    <w:p>
      <w:pPr>
        <w:pStyle w:val="6"/>
      </w:pPr>
      <w:bookmarkStart w:id="815" w:name="_Toc10272"/>
      <w:bookmarkStart w:id="816" w:name="_Toc9764"/>
      <w:bookmarkStart w:id="817" w:name="_Toc111062060"/>
      <w:bookmarkStart w:id="818" w:name="_Toc14764"/>
      <w:bookmarkStart w:id="819" w:name="_Toc121162850"/>
      <w:bookmarkStart w:id="820" w:name="_Toc120570058"/>
      <w:bookmarkStart w:id="821" w:name="_Toc12299"/>
      <w:bookmarkStart w:id="822" w:name="_Toc21003"/>
      <w:bookmarkStart w:id="823" w:name="_Toc28206"/>
      <w:bookmarkStart w:id="824" w:name="_Toc27326"/>
      <w:r>
        <w:t>6.5A.3.2</w:t>
      </w:r>
      <w:r>
        <w:tab/>
      </w:r>
      <w:r>
        <w:t>Spectrum emission mask</w:t>
      </w:r>
      <w:bookmarkEnd w:id="815"/>
      <w:bookmarkEnd w:id="816"/>
      <w:bookmarkEnd w:id="817"/>
      <w:bookmarkEnd w:id="818"/>
      <w:bookmarkEnd w:id="819"/>
      <w:bookmarkEnd w:id="820"/>
      <w:r>
        <w:rPr>
          <w:rFonts w:hint="eastAsia"/>
        </w:rPr>
        <w:t xml:space="preserve"> for category M1</w:t>
      </w:r>
      <w:bookmarkEnd w:id="821"/>
      <w:bookmarkEnd w:id="822"/>
      <w:bookmarkEnd w:id="823"/>
      <w:bookmarkEnd w:id="824"/>
    </w:p>
    <w:p>
      <w:pPr>
        <w:pStyle w:val="112"/>
        <w:rPr>
          <w:lang w:val="en-US"/>
        </w:rPr>
      </w:pPr>
      <w:r>
        <w:t>Editor’s Note: Addition to applicability spec is pending.</w:t>
      </w:r>
    </w:p>
    <w:p>
      <w:pPr>
        <w:keepNext/>
        <w:keepLines/>
        <w:spacing w:before="120"/>
        <w:ind w:left="1985" w:hanging="1985"/>
        <w:rPr>
          <w:rFonts w:ascii="Arial" w:hAnsi="Arial" w:eastAsia="等线" w:cs="Arial"/>
        </w:rPr>
      </w:pPr>
      <w:r>
        <w:rPr>
          <w:rFonts w:ascii="Arial" w:hAnsi="Arial" w:eastAsia="等线" w:cs="Arial"/>
        </w:rPr>
        <w:t>6.5A.3.2.1</w:t>
      </w:r>
      <w:r>
        <w:rPr>
          <w:rFonts w:ascii="Arial" w:hAnsi="Arial" w:eastAsia="等线" w:cs="Arial"/>
        </w:rPr>
        <w:tab/>
      </w:r>
      <w:r>
        <w:rPr>
          <w:rFonts w:ascii="Arial" w:hAnsi="Arial" w:eastAsia="等线" w:cs="Arial"/>
        </w:rPr>
        <w:t>Test purpose</w:t>
      </w:r>
    </w:p>
    <w:p>
      <w:pPr>
        <w:rPr>
          <w:lang w:eastAsia="en-GB"/>
        </w:rPr>
      </w:pPr>
      <w:r>
        <w:rPr>
          <w:lang w:eastAsia="en-GB"/>
        </w:rPr>
        <w:t>To verify that the power of any UE emission shall not exceed specified lever for the specified channel bandwidth.</w:t>
      </w:r>
    </w:p>
    <w:p>
      <w:pPr>
        <w:keepNext/>
        <w:keepLines/>
        <w:spacing w:before="120"/>
        <w:ind w:left="1985" w:hanging="1985"/>
        <w:rPr>
          <w:rFonts w:ascii="Arial" w:hAnsi="Arial" w:eastAsia="等线" w:cs="Arial"/>
        </w:rPr>
      </w:pPr>
      <w:r>
        <w:rPr>
          <w:rFonts w:ascii="Arial" w:hAnsi="Arial" w:eastAsia="等线" w:cs="Arial"/>
        </w:rPr>
        <w:t>6.5A.3.2.2</w:t>
      </w:r>
      <w:r>
        <w:rPr>
          <w:rFonts w:ascii="Arial" w:hAnsi="Arial" w:eastAsia="等线" w:cs="Arial"/>
        </w:rPr>
        <w:tab/>
      </w:r>
      <w:r>
        <w:rPr>
          <w:rFonts w:ascii="Arial" w:hAnsi="Arial" w:eastAsia="等线" w:cs="Arial"/>
        </w:rPr>
        <w:t>Test applicability</w:t>
      </w:r>
    </w:p>
    <w:p>
      <w:pPr>
        <w:rPr>
          <w:lang w:eastAsia="en-GB"/>
        </w:rPr>
      </w:pPr>
      <w:r>
        <w:rPr>
          <w:lang w:eastAsia="en-GB"/>
        </w:rPr>
        <w:t>This test case applies to all types of E-UTRA UE release 13 and forward of UE category M1 that support satellite access operation.</w:t>
      </w:r>
    </w:p>
    <w:p>
      <w:pPr>
        <w:keepNext/>
        <w:keepLines/>
        <w:spacing w:before="120"/>
        <w:ind w:left="1985" w:hanging="1985"/>
        <w:rPr>
          <w:rFonts w:ascii="Arial" w:hAnsi="Arial" w:eastAsia="等线" w:cs="Arial"/>
        </w:rPr>
      </w:pPr>
      <w:r>
        <w:rPr>
          <w:rFonts w:ascii="Arial" w:hAnsi="Arial" w:eastAsia="等线" w:cs="Arial"/>
        </w:rPr>
        <w:t>6.5A.3.2.3</w:t>
      </w:r>
      <w:r>
        <w:rPr>
          <w:rFonts w:ascii="Arial" w:hAnsi="Arial" w:eastAsia="等线" w:cs="Arial"/>
        </w:rPr>
        <w:tab/>
      </w:r>
      <w:r>
        <w:rPr>
          <w:rFonts w:ascii="Arial" w:hAnsi="Arial" w:eastAsia="等线" w:cs="Arial"/>
        </w:rPr>
        <w:t>Minimum conformance requirements</w:t>
      </w:r>
    </w:p>
    <w:p>
      <w:pPr>
        <w:rPr>
          <w:rFonts w:cs="v5.0.0"/>
          <w:lang w:eastAsia="en-GB"/>
        </w:rPr>
      </w:pPr>
      <w:r>
        <w:rPr>
          <w:rFonts w:cs="v5.0.0"/>
          <w:lang w:eastAsia="en-GB"/>
        </w:rPr>
        <w:t>The spectrum emission mask of the UE applies to frequencies (</w:t>
      </w:r>
      <w:r>
        <w:rPr>
          <w:rFonts w:ascii="Arial" w:hAnsi="Arial"/>
          <w:sz w:val="18"/>
          <w:lang w:eastAsia="en-GB"/>
        </w:rPr>
        <w:t>Δf</w:t>
      </w:r>
      <w:r>
        <w:rPr>
          <w:rFonts w:ascii="Arial" w:hAnsi="Arial"/>
          <w:sz w:val="18"/>
          <w:vertAlign w:val="subscript"/>
          <w:lang w:eastAsia="en-GB"/>
        </w:rPr>
        <w:t>OOB</w:t>
      </w:r>
      <w:r>
        <w:rPr>
          <w:rFonts w:cs="v5.0.0"/>
          <w:snapToGrid w:val="0"/>
          <w:lang w:eastAsia="en-GB"/>
        </w:rPr>
        <w:t>)</w:t>
      </w:r>
      <w:r>
        <w:rPr>
          <w:rFonts w:ascii="Arial" w:hAnsi="Arial" w:cs="Arial"/>
          <w:sz w:val="18"/>
          <w:szCs w:val="18"/>
          <w:lang w:eastAsia="en-GB"/>
        </w:rPr>
        <w:t xml:space="preserve"> </w:t>
      </w:r>
      <w:r>
        <w:rPr>
          <w:sz w:val="18"/>
          <w:szCs w:val="18"/>
          <w:lang w:eastAsia="en-GB"/>
        </w:rPr>
        <w:t>starting</w:t>
      </w:r>
      <w:r>
        <w:rPr>
          <w:rFonts w:ascii="Arial" w:hAnsi="Arial" w:cs="Arial"/>
          <w:sz w:val="18"/>
          <w:szCs w:val="18"/>
          <w:lang w:eastAsia="en-GB"/>
        </w:rPr>
        <w:t xml:space="preserve"> </w:t>
      </w:r>
      <w:r>
        <w:rPr>
          <w:rFonts w:cs="v5.0.0"/>
          <w:lang w:eastAsia="en-GB"/>
        </w:rPr>
        <w:t xml:space="preserve">from the edge of the assigned E-UTRA channel bandwidth. </w:t>
      </w:r>
      <w:r>
        <w:rPr>
          <w:lang w:eastAsia="en-GB"/>
        </w:rPr>
        <w:t>For frequencies greater than (</w:t>
      </w:r>
      <w:r>
        <w:rPr>
          <w:sz w:val="18"/>
          <w:lang w:eastAsia="en-GB"/>
        </w:rPr>
        <w:t>Δf</w:t>
      </w:r>
      <w:r>
        <w:rPr>
          <w:sz w:val="18"/>
          <w:vertAlign w:val="subscript"/>
          <w:lang w:eastAsia="en-GB"/>
        </w:rPr>
        <w:t>OOB</w:t>
      </w:r>
      <w:r>
        <w:rPr>
          <w:snapToGrid w:val="0"/>
          <w:lang w:eastAsia="en-GB"/>
        </w:rPr>
        <w:t>) as specified in Table 6.5A.3.2.3-1 the spurious requirements in clause 6.5A.4 are applicable.</w:t>
      </w:r>
    </w:p>
    <w:p>
      <w:pPr>
        <w:rPr>
          <w:lang w:eastAsia="en-GB"/>
        </w:rPr>
      </w:pPr>
      <w:r>
        <w:rPr>
          <w:lang w:eastAsia="en-GB"/>
        </w:rPr>
        <w:t xml:space="preserve">The power of any UE emission shall not exceed the levels specified in Table </w:t>
      </w:r>
      <w:r>
        <w:rPr>
          <w:snapToGrid w:val="0"/>
          <w:lang w:eastAsia="en-GB"/>
        </w:rPr>
        <w:t>6.5A.3.2.3-1</w:t>
      </w:r>
      <w:r>
        <w:rPr>
          <w:lang w:eastAsia="en-GB"/>
        </w:rPr>
        <w:t xml:space="preserve"> for the specified channel bandwidth.</w:t>
      </w:r>
    </w:p>
    <w:p>
      <w:pPr>
        <w:pStyle w:val="113"/>
        <w:rPr>
          <w:lang w:eastAsia="en-GB"/>
        </w:rPr>
      </w:pPr>
      <w:r>
        <w:rPr>
          <w:lang w:eastAsia="en-GB"/>
        </w:rPr>
        <w:t>Table 6.5A.3.2.3-1: General E-UTRA spectrum emission mask</w:t>
      </w:r>
    </w:p>
    <w:tbl>
      <w:tblPr>
        <w:tblStyle w:val="89"/>
        <w:tblW w:w="5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1"/>
        <w:gridCol w:w="1133"/>
        <w:gridCol w:w="26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5840"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Spectrum emission limit (dBm)/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p>
          <w:p>
            <w:pPr>
              <w:keepNext/>
              <w:keepLines/>
              <w:spacing w:after="0"/>
              <w:jc w:val="center"/>
              <w:rPr>
                <w:rFonts w:ascii="Arial" w:hAnsi="Arial"/>
                <w:b/>
                <w:sz w:val="18"/>
              </w:rPr>
            </w:pPr>
            <w:r>
              <w:rPr>
                <w:rFonts w:ascii="Arial" w:hAnsi="Arial"/>
                <w:b/>
                <w:sz w:val="18"/>
              </w:rPr>
              <w:t>(MHz)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1.4</w:t>
            </w:r>
          </w:p>
          <w:p>
            <w:pPr>
              <w:keepNext/>
              <w:keepLines/>
              <w:spacing w:after="0"/>
              <w:jc w:val="center"/>
              <w:rPr>
                <w:rFonts w:ascii="Arial" w:hAnsi="Arial"/>
                <w:b/>
                <w:sz w:val="18"/>
              </w:rPr>
            </w:pPr>
            <w:r>
              <w:rPr>
                <w:rFonts w:ascii="Arial" w:hAnsi="Arial"/>
                <w:b/>
                <w:sz w:val="18"/>
              </w:rPr>
              <w:t>MHz</w:t>
            </w:r>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sym w:font="Symbol" w:char="F0B1"/>
            </w:r>
            <w:r>
              <w:rPr>
                <w:rFonts w:ascii="Arial" w:hAnsi="Arial"/>
                <w:sz w:val="18"/>
              </w:rPr>
              <w:t xml:space="preserve"> 0-1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-10</w:t>
            </w:r>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sym w:font="Symbol" w:char="F0B1"/>
            </w:r>
            <w:r>
              <w:rPr>
                <w:rFonts w:ascii="Arial" w:hAnsi="Arial"/>
                <w:sz w:val="18"/>
              </w:rPr>
              <w:t xml:space="preserve"> 1-2.5</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-10</w:t>
            </w:r>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sym w:font="Symbol" w:char="F0B1"/>
            </w:r>
            <w:r>
              <w:rPr>
                <w:rFonts w:ascii="Arial" w:hAnsi="Arial"/>
                <w:sz w:val="18"/>
              </w:rPr>
              <w:t xml:space="preserve"> 2.5-2.8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-25</w:t>
            </w:r>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1 MHz</w:t>
            </w:r>
          </w:p>
        </w:tc>
      </w:tr>
    </w:tbl>
    <w:p>
      <w:pPr>
        <w:rPr>
          <w:lang w:eastAsia="en-GB"/>
        </w:rPr>
      </w:pPr>
    </w:p>
    <w:p>
      <w:pPr>
        <w:pStyle w:val="100"/>
        <w:keepLines/>
        <w:ind w:left="1135"/>
        <w:rPr>
          <w:lang w:eastAsia="en-GB"/>
        </w:rPr>
      </w:pPr>
      <w:r>
        <w:rPr>
          <w:lang w:eastAsia="en-GB"/>
        </w:rPr>
        <w:t>NOTE:</w:t>
      </w:r>
      <w:r>
        <w:rPr>
          <w:lang w:eastAsia="en-GB"/>
        </w:rPr>
        <w:tab/>
      </w:r>
      <w:r>
        <w:rPr>
          <w:lang w:eastAsia="en-GB"/>
        </w:rPr>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rPr>
          <w:lang w:eastAsia="en-GB"/>
        </w:rPr>
      </w:pPr>
      <w:r>
        <w:rPr>
          <w:lang w:eastAsia="en-GB"/>
        </w:rPr>
        <w:t>The normative reference for this requirement is TS 36.102 [11] clause 6.5A.3.2.</w:t>
      </w:r>
    </w:p>
    <w:p>
      <w:pPr>
        <w:keepNext/>
        <w:keepLines/>
        <w:spacing w:before="120"/>
        <w:ind w:left="1985" w:hanging="1985"/>
        <w:rPr>
          <w:rFonts w:ascii="Arial" w:hAnsi="Arial" w:eastAsia="等线" w:cs="Arial"/>
        </w:rPr>
      </w:pPr>
      <w:r>
        <w:rPr>
          <w:rFonts w:ascii="Arial" w:hAnsi="Arial" w:eastAsia="等线" w:cs="Arial"/>
        </w:rPr>
        <w:t>6.5A.3.2.4</w:t>
      </w:r>
      <w:r>
        <w:rPr>
          <w:rFonts w:ascii="Arial" w:hAnsi="Arial" w:eastAsia="等线" w:cs="Arial"/>
        </w:rPr>
        <w:tab/>
      </w:r>
      <w:r>
        <w:rPr>
          <w:rFonts w:ascii="Arial" w:hAnsi="Arial" w:eastAsia="等线" w:cs="Arial"/>
        </w:rPr>
        <w:t>Test description</w:t>
      </w:r>
    </w:p>
    <w:p>
      <w:pPr>
        <w:keepNext/>
        <w:keepLines/>
        <w:spacing w:before="120"/>
        <w:ind w:left="1985" w:hanging="1985"/>
        <w:rPr>
          <w:rFonts w:ascii="Arial" w:hAnsi="Arial" w:eastAsia="等线" w:cs="Arial"/>
        </w:rPr>
      </w:pPr>
      <w:r>
        <w:rPr>
          <w:rFonts w:ascii="Arial" w:hAnsi="Arial" w:eastAsia="等线" w:cs="Arial"/>
        </w:rPr>
        <w:t>6.5A.3.2.4.1</w:t>
      </w:r>
      <w:r>
        <w:rPr>
          <w:rFonts w:ascii="Arial" w:hAnsi="Arial" w:eastAsia="等线" w:cs="Arial"/>
        </w:rPr>
        <w:tab/>
      </w:r>
      <w:r>
        <w:rPr>
          <w:rFonts w:ascii="Arial" w:hAnsi="Arial" w:eastAsia="等线" w:cs="Arial"/>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rFonts w:cs="v5.0.0"/>
          <w:lang w:eastAsia="en-GB"/>
        </w:rPr>
      </w:pPr>
      <w:r>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r>
        <w:rPr>
          <w:rFonts w:cs="v5.0.0"/>
          <w:lang w:eastAsia="en-GB"/>
        </w:rPr>
        <w:t>Configurations of PDSCH and MPDCCH before measurement are specified in Annex C.2.</w:t>
      </w:r>
    </w:p>
    <w:p>
      <w:pPr>
        <w:pStyle w:val="113"/>
        <w:rPr>
          <w:lang w:eastAsia="en-GB"/>
        </w:rPr>
      </w:pPr>
      <w:r>
        <w:rPr>
          <w:lang w:eastAsia="en-GB"/>
        </w:rPr>
        <w:t>Table 6.5A.3.2.4.1-1: Test Configuration mask</w:t>
      </w:r>
    </w:p>
    <w:tbl>
      <w:tblPr>
        <w:tblStyle w:val="89"/>
        <w:tblW w:w="82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7"/>
        <w:gridCol w:w="2322"/>
        <w:gridCol w:w="597"/>
        <w:gridCol w:w="1725"/>
        <w:gridCol w:w="2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2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Test Environment as specified in</w:t>
            </w:r>
          </w:p>
          <w:p>
            <w:pPr>
              <w:keepNext/>
              <w:keepLines/>
              <w:spacing w:after="0"/>
              <w:jc w:val="center"/>
              <w:rPr>
                <w:rFonts w:ascii="Arial" w:hAnsi="Arial"/>
                <w:sz w:val="18"/>
              </w:rPr>
            </w:pPr>
            <w:r>
              <w:rPr>
                <w:rFonts w:ascii="Arial" w:hAnsi="Arial"/>
                <w:sz w:val="18"/>
              </w:rPr>
              <w:t>TS 36.508[12] subclause 4.1</w:t>
            </w:r>
          </w:p>
        </w:tc>
        <w:tc>
          <w:tcPr>
            <w:tcW w:w="4731"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Cs/>
                <w:sz w:val="18"/>
              </w:rPr>
            </w:pPr>
            <w:r>
              <w:rPr>
                <w:rFonts w:ascii="Arial" w:hAnsi="Arial"/>
                <w:bCs/>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bCs/>
                <w:sz w:val="18"/>
              </w:rPr>
              <w:t>Test Frequencies as specified in</w:t>
            </w:r>
          </w:p>
          <w:p>
            <w:pPr>
              <w:keepNext/>
              <w:keepLines/>
              <w:spacing w:after="0"/>
              <w:jc w:val="center"/>
              <w:rPr>
                <w:rFonts w:ascii="Arial" w:hAnsi="Arial"/>
                <w:sz w:val="18"/>
              </w:rPr>
            </w:pPr>
            <w:r>
              <w:rPr>
                <w:rFonts w:ascii="Arial" w:hAnsi="Arial"/>
                <w:sz w:val="18"/>
              </w:rPr>
              <w:t>TS 36.508 [12] subclause 4.3.1</w:t>
            </w:r>
          </w:p>
        </w:tc>
        <w:tc>
          <w:tcPr>
            <w:tcW w:w="4731"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Cs/>
                <w:sz w:val="18"/>
              </w:rPr>
            </w:pPr>
            <w:r>
              <w:rPr>
                <w:rFonts w:ascii="Arial" w:hAnsi="Arial"/>
                <w:bCs/>
                <w:sz w:val="18"/>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bCs/>
                <w:sz w:val="18"/>
              </w:rPr>
              <w:t>Test Channel Bandwidths</w:t>
            </w:r>
            <w:r>
              <w:rPr>
                <w:rFonts w:ascii="Arial" w:hAnsi="Arial"/>
                <w:sz w:val="18"/>
              </w:rPr>
              <w:t xml:space="preserve"> </w:t>
            </w:r>
            <w:r>
              <w:rPr>
                <w:rFonts w:ascii="Arial" w:hAnsi="Arial"/>
                <w:bCs/>
                <w:sz w:val="18"/>
              </w:rPr>
              <w:t>as specified in</w:t>
            </w:r>
          </w:p>
          <w:p>
            <w:pPr>
              <w:keepNext/>
              <w:keepLines/>
              <w:spacing w:after="0"/>
              <w:jc w:val="center"/>
              <w:rPr>
                <w:rFonts w:ascii="Arial" w:hAnsi="Arial"/>
                <w:sz w:val="18"/>
              </w:rPr>
            </w:pPr>
            <w:r>
              <w:rPr>
                <w:rFonts w:ascii="Arial" w:hAnsi="Arial"/>
                <w:sz w:val="18"/>
              </w:rPr>
              <w:t>TS 36.508 [12] subclause 4.3.1</w:t>
            </w:r>
          </w:p>
        </w:tc>
        <w:tc>
          <w:tcPr>
            <w:tcW w:w="4731"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Cs/>
                <w:sz w:val="18"/>
              </w:rPr>
            </w:pPr>
            <w:r>
              <w:rPr>
                <w:rFonts w:ascii="Arial" w:hAnsi="Arial"/>
                <w:bCs/>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2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p>
        </w:tc>
        <w:tc>
          <w:tcPr>
            <w:tcW w:w="291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4134"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167"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Ch BW</w:t>
            </w:r>
          </w:p>
        </w:tc>
        <w:tc>
          <w:tcPr>
            <w:tcW w:w="291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725" w:type="dxa"/>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Mod'n</w:t>
            </w:r>
          </w:p>
        </w:tc>
        <w:tc>
          <w:tcPr>
            <w:tcW w:w="2409" w:type="dxa"/>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16QAM</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16QAM</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20"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lang w:eastAsia="en-GB"/>
              </w:rPr>
              <w:t>Note 1:</w:t>
            </w:r>
            <w:r>
              <w:rPr>
                <w:rFonts w:ascii="Arial" w:hAnsi="Arial"/>
                <w:sz w:val="18"/>
                <w:lang w:eastAsia="en-GB"/>
              </w:rPr>
              <w:tab/>
            </w:r>
            <w:r>
              <w:rPr>
                <w:rFonts w:ascii="Arial" w:hAnsi="Arial"/>
                <w:sz w:val="18"/>
              </w:rPr>
              <w:t>The RB</w:t>
            </w:r>
            <w:r>
              <w:rPr>
                <w:rFonts w:ascii="Arial" w:hAnsi="Arial"/>
                <w:sz w:val="18"/>
                <w:vertAlign w:val="subscript"/>
              </w:rPr>
              <w:t>start</w:t>
            </w:r>
            <w:r>
              <w:rPr>
                <w:rFonts w:ascii="Arial" w:hAnsi="Arial"/>
                <w:sz w:val="18"/>
              </w:rPr>
              <w:t xml:space="preserve"> of partial RB allocation shall be RB#0 and RB# (6 - RB allocation) of the narrowband.</w:t>
            </w:r>
          </w:p>
        </w:tc>
      </w:tr>
    </w:tbl>
    <w:p>
      <w:pPr>
        <w:jc w:val="center"/>
        <w:rPr>
          <w:lang w:eastAsia="en-GB"/>
        </w:rPr>
      </w:pPr>
    </w:p>
    <w:p>
      <w:pPr>
        <w:numPr>
          <w:ilvl w:val="0"/>
          <w:numId w:val="11"/>
        </w:numPr>
        <w:tabs>
          <w:tab w:val="left" w:pos="643"/>
        </w:tabs>
        <w:ind w:left="568" w:hanging="284"/>
        <w:rPr>
          <w:lang w:eastAsia="en-GB"/>
        </w:rPr>
      </w:pPr>
      <w:r>
        <w:rPr>
          <w:lang w:eastAsia="en-GB"/>
        </w:rPr>
        <w:t>Connect the SS to the UE antenna connectors as shown in Figure TS 36.508 [12] Annex A, Figure A.3 using only main UE Tx/Rx antenna.</w:t>
      </w:r>
    </w:p>
    <w:p>
      <w:pPr>
        <w:numPr>
          <w:ilvl w:val="0"/>
          <w:numId w:val="11"/>
        </w:numPr>
        <w:tabs>
          <w:tab w:val="left" w:pos="643"/>
        </w:tabs>
        <w:ind w:left="568" w:hanging="284"/>
        <w:rPr>
          <w:lang w:eastAsia="en-GB"/>
        </w:rPr>
      </w:pPr>
      <w:r>
        <w:rPr>
          <w:lang w:eastAsia="en-GB"/>
        </w:rPr>
        <w:t>The parameter settings for the cell are set up according to TS 36.508 [12] subclause 4.4.3.</w:t>
      </w:r>
    </w:p>
    <w:p>
      <w:pPr>
        <w:numPr>
          <w:ilvl w:val="0"/>
          <w:numId w:val="11"/>
        </w:numPr>
        <w:tabs>
          <w:tab w:val="left" w:pos="643"/>
        </w:tabs>
        <w:ind w:left="568" w:hanging="284"/>
        <w:rPr>
          <w:lang w:eastAsia="en-GB"/>
        </w:rPr>
      </w:pPr>
      <w:r>
        <w:rPr>
          <w:lang w:eastAsia="en-GB"/>
        </w:rPr>
        <w:t xml:space="preserve">Downlink signals are initially set up according to Annex </w:t>
      </w:r>
      <w:r>
        <w:rPr>
          <w:lang w:eastAsia="ko-KR"/>
        </w:rPr>
        <w:t xml:space="preserve">C0, </w:t>
      </w:r>
      <w:r>
        <w:rPr>
          <w:lang w:eastAsia="en-GB"/>
        </w:rPr>
        <w:t>C.1 and C.3.0, and uplink signals according to Annex H.1 and H.3.0.</w:t>
      </w:r>
    </w:p>
    <w:p>
      <w:pPr>
        <w:numPr>
          <w:ilvl w:val="0"/>
          <w:numId w:val="11"/>
        </w:numPr>
        <w:tabs>
          <w:tab w:val="left" w:pos="643"/>
        </w:tabs>
        <w:ind w:left="568" w:hanging="284"/>
        <w:rPr>
          <w:lang w:eastAsia="en-GB"/>
        </w:rPr>
      </w:pPr>
      <w:r>
        <w:rPr>
          <w:lang w:eastAsia="en-GB"/>
        </w:rPr>
        <w:t>The UL Reference Measurement channels are set according to Table 6.5A.3.2.4.1-1.</w:t>
      </w:r>
    </w:p>
    <w:p>
      <w:pPr>
        <w:numPr>
          <w:ilvl w:val="0"/>
          <w:numId w:val="11"/>
        </w:numPr>
        <w:tabs>
          <w:tab w:val="left" w:pos="643"/>
        </w:tabs>
        <w:ind w:left="568" w:hanging="284"/>
        <w:rPr>
          <w:lang w:eastAsia="en-GB"/>
        </w:rPr>
      </w:pPr>
      <w:r>
        <w:rPr>
          <w:lang w:eastAsia="en-GB"/>
        </w:rPr>
        <w:t>Propagation conditions are set according to Annex B.0.</w:t>
      </w:r>
    </w:p>
    <w:p>
      <w:pPr>
        <w:numPr>
          <w:ilvl w:val="0"/>
          <w:numId w:val="11"/>
        </w:numPr>
        <w:tabs>
          <w:tab w:val="left" w:pos="643"/>
        </w:tabs>
        <w:ind w:left="568" w:hanging="284"/>
        <w:rPr>
          <w:lang w:eastAsia="en-GB"/>
        </w:rPr>
      </w:pP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pPr>
        <w:numPr>
          <w:ilvl w:val="0"/>
          <w:numId w:val="11"/>
        </w:numPr>
        <w:tabs>
          <w:tab w:val="left" w:pos="643"/>
        </w:tabs>
        <w:ind w:left="568" w:hanging="284"/>
        <w:rPr>
          <w:lang w:eastAsia="en-GB"/>
        </w:rPr>
      </w:pPr>
      <w:r>
        <w:t>Test equipment shall emul</w:t>
      </w:r>
      <w:r>
        <w:rPr>
          <w:color w:val="000000" w:themeColor="text1"/>
          <w14:textFill>
            <w14:solidFill>
              <w14:schemeClr w14:val="tx1"/>
            </w14:solidFill>
          </w14:textFill>
        </w:rPr>
        <w:t xml:space="preserve">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w:t>
      </w:r>
      <w:r>
        <w:t>on of the test as define in TS 36.508[12] clause 5.6.3.1</w:t>
      </w:r>
    </w:p>
    <w:p>
      <w:pPr>
        <w:numPr>
          <w:ilvl w:val="0"/>
          <w:numId w:val="11"/>
        </w:numPr>
        <w:tabs>
          <w:tab w:val="left" w:pos="643"/>
        </w:tabs>
        <w:ind w:left="568" w:hanging="284"/>
        <w:rPr>
          <w:lang w:eastAsia="en-GB"/>
        </w:rPr>
      </w:pPr>
      <w:r>
        <w:t>Deactivate UE prediction of satellite trajectory by any preconfigured means</w:t>
      </w:r>
    </w:p>
    <w:p>
      <w:pPr>
        <w:numPr>
          <w:ilvl w:val="0"/>
          <w:numId w:val="11"/>
        </w:numPr>
        <w:tabs>
          <w:tab w:val="left" w:pos="643"/>
        </w:tabs>
        <w:ind w:left="568" w:hanging="284"/>
        <w:rPr>
          <w:lang w:eastAsia="en-GB"/>
        </w:rPr>
      </w:pPr>
      <w:r>
        <w:rPr>
          <w:lang w:eastAsia="en-GB"/>
        </w:rPr>
        <w:t>Ensure the UE is in State 3A-RF-CE according to TS 36.508[12] clause 5.2A.2AA. Message contents are defined in clause 6.5A.3.2.4.3.</w:t>
      </w:r>
    </w:p>
    <w:p>
      <w:pPr>
        <w:keepNext/>
        <w:keepLines/>
        <w:spacing w:before="120"/>
        <w:ind w:left="1985" w:hanging="1985"/>
        <w:rPr>
          <w:rFonts w:ascii="Arial" w:hAnsi="Arial" w:eastAsia="等线" w:cs="Arial"/>
        </w:rPr>
      </w:pPr>
      <w:r>
        <w:rPr>
          <w:rFonts w:ascii="Arial" w:hAnsi="Arial" w:eastAsia="等线" w:cs="Arial"/>
        </w:rPr>
        <w:t>6.5A.3.2.4.2</w:t>
      </w:r>
      <w:r>
        <w:rPr>
          <w:rFonts w:ascii="Arial" w:hAnsi="Arial" w:eastAsia="等线" w:cs="Arial"/>
        </w:rPr>
        <w:tab/>
      </w:r>
      <w:r>
        <w:rPr>
          <w:rFonts w:ascii="Arial" w:hAnsi="Arial" w:eastAsia="等线" w:cs="Arial"/>
        </w:rP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SS sends uplink scheduling information via PDCCH DCI format 6-0A for C_RNTI to schedule the UL RMC according to Table 6.5A.3.2.4.1-1. Since the UE has no payload data</w:t>
      </w:r>
      <w:r>
        <w:rPr>
          <w:color w:val="FFFF00"/>
          <w:lang w:eastAsia="en-GB"/>
        </w:rPr>
        <w:t xml:space="preserve"> </w:t>
      </w:r>
      <w:r>
        <w:rPr>
          <w:lang w:eastAsia="en-GB"/>
        </w:rPr>
        <w:t>to send, the UE transmits uplink MAC padding bits on the UL RMC.</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Send continuously uplink power control "up" commands in the uplink scheduling information to the UE until the UE transmits at P</w:t>
      </w:r>
      <w:r>
        <w:rPr>
          <w:vertAlign w:val="subscript"/>
          <w:lang w:eastAsia="en-GB"/>
        </w:rPr>
        <w:t xml:space="preserve">UMAX </w:t>
      </w:r>
      <w:r>
        <w:rPr>
          <w:lang w:eastAsia="en-GB"/>
        </w:rPr>
        <w:t>level.</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pPr>
        <w:keepNext/>
        <w:keepLines/>
        <w:spacing w:before="120"/>
        <w:ind w:left="1985" w:hanging="1985"/>
        <w:rPr>
          <w:rFonts w:ascii="Arial" w:hAnsi="Arial" w:eastAsia="等线" w:cs="Arial"/>
        </w:rPr>
      </w:pPr>
      <w:r>
        <w:rPr>
          <w:rFonts w:ascii="Arial" w:hAnsi="Arial" w:eastAsia="等线" w:cs="Arial"/>
        </w:rPr>
        <w:t>6.5A.3.2.4.3</w:t>
      </w:r>
      <w:r>
        <w:rPr>
          <w:rFonts w:ascii="Arial" w:hAnsi="Arial" w:eastAsia="等线" w:cs="Arial"/>
        </w:rPr>
        <w:tab/>
      </w:r>
      <w:r>
        <w:rPr>
          <w:rFonts w:ascii="Arial" w:hAnsi="Arial" w:eastAsia="等线" w:cs="Arial"/>
        </w:rPr>
        <w:t>Message contents</w:t>
      </w:r>
    </w:p>
    <w:p>
      <w:pPr>
        <w:rPr>
          <w:lang w:eastAsia="en-GB"/>
        </w:rPr>
      </w:pPr>
      <w:r>
        <w:rPr>
          <w:lang w:eastAsia="en-GB"/>
        </w:rPr>
        <w:t>Message contents are according to TS 36.508 [12] subclause 4.6 with the condition CEModeA.</w:t>
      </w:r>
    </w:p>
    <w:p>
      <w:pPr>
        <w:keepNext/>
        <w:keepLines/>
        <w:spacing w:before="120"/>
        <w:ind w:left="1985" w:hanging="1985"/>
        <w:rPr>
          <w:rFonts w:ascii="Arial" w:hAnsi="Arial" w:eastAsia="等线" w:cs="Arial"/>
        </w:rPr>
      </w:pPr>
      <w:r>
        <w:rPr>
          <w:rFonts w:ascii="Arial" w:hAnsi="Arial" w:eastAsia="等线" w:cs="Arial"/>
        </w:rPr>
        <w:t>6.5A.3.2.5</w:t>
      </w:r>
      <w:r>
        <w:rPr>
          <w:rFonts w:ascii="Arial" w:hAnsi="Arial" w:eastAsia="等线" w:cs="Arial"/>
        </w:rPr>
        <w:tab/>
      </w:r>
      <w:r>
        <w:rPr>
          <w:rFonts w:ascii="Arial" w:hAnsi="Arial" w:eastAsia="等线" w:cs="Arial"/>
        </w:rPr>
        <w:t>Test requirements</w:t>
      </w:r>
    </w:p>
    <w:p>
      <w:pPr>
        <w:ind w:right="0"/>
        <w:rPr>
          <w:lang w:eastAsia="en-GB"/>
        </w:rPr>
      </w:pPr>
      <w:r>
        <w:rPr>
          <w:lang w:eastAsia="en-GB"/>
        </w:rPr>
        <w:t>The measured UE mean power in the channel bandwidth, derived in step 3, shall fulfil requirements in Tables 6.2A.2.4.4-1 to 6.2A.2.4.4-1a as appropriate, and the power of any UE emission shall fulfil requirements in Table.6.5A.3.2.5-1, as applicable.</w:t>
      </w:r>
    </w:p>
    <w:p>
      <w:pPr>
        <w:pStyle w:val="113"/>
        <w:rPr>
          <w:lang w:eastAsia="en-GB"/>
        </w:rPr>
      </w:pPr>
      <w:r>
        <w:rPr>
          <w:lang w:eastAsia="en-GB"/>
        </w:rPr>
        <w:t>Table 6.5A.3.2.5-1: General E-UTRA spectrum emission mask</w:t>
      </w:r>
    </w:p>
    <w:tbl>
      <w:tblPr>
        <w:tblStyle w:val="89"/>
        <w:tblW w:w="68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8"/>
        <w:gridCol w:w="2265"/>
        <w:gridCol w:w="2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spacing w:after="0"/>
              <w:rPr>
                <w:rFonts w:ascii="Arial" w:hAnsi="Arial" w:cs="Arial"/>
                <w:b/>
                <w:sz w:val="18"/>
                <w:szCs w:val="18"/>
                <w:lang w:eastAsia="en-GB"/>
              </w:rPr>
            </w:pPr>
          </w:p>
        </w:tc>
        <w:tc>
          <w:tcPr>
            <w:tcW w:w="467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Spectrum emission limit (dBm)/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p>
          <w:p>
            <w:pPr>
              <w:keepNext/>
              <w:keepLines/>
              <w:spacing w:after="0"/>
              <w:jc w:val="center"/>
              <w:rPr>
                <w:rFonts w:ascii="Arial" w:hAnsi="Arial"/>
                <w:b/>
                <w:sz w:val="18"/>
              </w:rPr>
            </w:pPr>
            <w:r>
              <w:rPr>
                <w:rFonts w:ascii="Arial" w:hAnsi="Arial"/>
                <w:b/>
                <w:sz w:val="18"/>
              </w:rPr>
              <w:t>(MHz)</w:t>
            </w:r>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1.4</w:t>
            </w:r>
          </w:p>
          <w:p>
            <w:pPr>
              <w:keepNext/>
              <w:keepLines/>
              <w:spacing w:after="0"/>
              <w:jc w:val="center"/>
              <w:rPr>
                <w:rFonts w:ascii="Arial" w:hAnsi="Arial"/>
                <w:b/>
                <w:sz w:val="18"/>
              </w:rPr>
            </w:pPr>
            <w:r>
              <w:rPr>
                <w:rFonts w:ascii="Arial" w:hAnsi="Arial"/>
                <w:b/>
                <w:sz w:val="18"/>
              </w:rPr>
              <w:t>MHz</w:t>
            </w:r>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 xml:space="preserve">Measurement </w:t>
            </w:r>
          </w:p>
          <w:p>
            <w:pPr>
              <w:keepNext/>
              <w:keepLines/>
              <w:spacing w:after="0"/>
              <w:jc w:val="center"/>
              <w:rPr>
                <w:rFonts w:ascii="Arial" w:hAnsi="Arial"/>
                <w:b/>
                <w:sz w:val="18"/>
              </w:rPr>
            </w:pPr>
            <w:r>
              <w:rPr>
                <w:rFonts w:ascii="Arial" w:hAnsi="Arial"/>
                <w:b/>
                <w:sz w:val="18"/>
              </w:rPr>
              <w:t>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0-1</w:t>
            </w:r>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-8.5</w:t>
            </w:r>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1-2.5</w:t>
            </w:r>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-8.5</w:t>
            </w:r>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2.5-2.8</w:t>
            </w:r>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-23.5</w:t>
            </w:r>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05" w:type="dxa"/>
            <w:gridSpan w:val="3"/>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The first and last measurement position with a 30 kHz filter is at Δf</w:t>
            </w:r>
            <w:r>
              <w:rPr>
                <w:rFonts w:ascii="Arial" w:hAnsi="Arial"/>
                <w:sz w:val="18"/>
                <w:vertAlign w:val="subscript"/>
              </w:rPr>
              <w:t>OOB</w:t>
            </w:r>
            <w:r>
              <w:rPr>
                <w:rFonts w:ascii="Arial" w:hAnsi="Arial" w:cs="v5.0.0"/>
                <w:sz w:val="18"/>
              </w:rPr>
              <w:t xml:space="preserve"> equals to 0.015 MHz and 0.985 MHz.</w:t>
            </w:r>
          </w:p>
          <w:p>
            <w:pPr>
              <w:keepNext/>
              <w:keepLines/>
              <w:spacing w:after="0"/>
              <w:ind w:left="851" w:hanging="851"/>
              <w:rPr>
                <w:rFonts w:ascii="Arial" w:hAnsi="Arial"/>
                <w:sz w:val="18"/>
              </w:rPr>
            </w:pPr>
            <w:r>
              <w:rPr>
                <w:rFonts w:ascii="Arial" w:hAnsi="Arial"/>
                <w:sz w:val="18"/>
              </w:rPr>
              <w:t>Note 2:</w:t>
            </w:r>
            <w:r>
              <w:rPr>
                <w:rFonts w:ascii="Arial" w:hAnsi="Arial"/>
                <w:sz w:val="18"/>
              </w:rPr>
              <w:tab/>
            </w:r>
            <w:r>
              <w:rPr>
                <w:rFonts w:ascii="Arial" w:hAnsi="Arial"/>
                <w:sz w:val="18"/>
              </w:rPr>
              <w:t>At the boundary of spectrum emission limit, the first and last measurement position with a 1 MHz filter is the inside of +0.5MHz and -0.5MHz, respectively.</w:t>
            </w:r>
          </w:p>
          <w:p>
            <w:pPr>
              <w:keepNext/>
              <w:keepLines/>
              <w:spacing w:after="0"/>
              <w:ind w:left="851" w:hanging="851"/>
              <w:rPr>
                <w:rFonts w:ascii="Arial" w:hAnsi="Arial"/>
                <w:sz w:val="18"/>
              </w:rPr>
            </w:pPr>
            <w:r>
              <w:rPr>
                <w:rFonts w:ascii="Arial" w:hAnsi="Arial"/>
                <w:sz w:val="18"/>
              </w:rPr>
              <w:t>Note 3:</w:t>
            </w:r>
            <w:r>
              <w:rPr>
                <w:rFonts w:ascii="Arial" w:hAnsi="Arial"/>
                <w:sz w:val="18"/>
              </w:rPr>
              <w:tab/>
            </w:r>
            <w:r>
              <w:rPr>
                <w:rFonts w:ascii="Arial" w:hAnsi="Arial"/>
                <w:sz w:val="18"/>
              </w:rPr>
              <w:t>The measurements are to be performed above the upper edge of the channel and below the lower edge of the channel</w:t>
            </w:r>
          </w:p>
          <w:p>
            <w:pPr>
              <w:keepNext/>
              <w:keepLines/>
              <w:spacing w:after="0"/>
              <w:ind w:left="851" w:hanging="851"/>
              <w:rPr>
                <w:rFonts w:ascii="Arial" w:hAnsi="Arial"/>
                <w:sz w:val="18"/>
              </w:rPr>
            </w:pPr>
            <w:r>
              <w:rPr>
                <w:rFonts w:ascii="Arial" w:hAnsi="Arial"/>
                <w:sz w:val="18"/>
              </w:rPr>
              <w:t>Note 4:</w:t>
            </w:r>
            <w:r>
              <w:rPr>
                <w:rFonts w:ascii="Arial" w:hAnsi="Arial"/>
                <w:sz w:val="18"/>
              </w:rPr>
              <w:tab/>
            </w:r>
            <w:r>
              <w:rPr>
                <w:rFonts w:ascii="Arial" w:hAnsi="Arial"/>
                <w:sz w:val="18"/>
              </w:rPr>
              <w:t>For the 2.5-2.8 MHz offset range with 1.4 MHz channel bandwidth, the measurement position is at Δf</w:t>
            </w:r>
            <w:r>
              <w:rPr>
                <w:rFonts w:ascii="Arial" w:hAnsi="Arial"/>
                <w:sz w:val="18"/>
                <w:vertAlign w:val="subscript"/>
              </w:rPr>
              <w:t>OOB</w:t>
            </w:r>
            <w:r>
              <w:rPr>
                <w:rFonts w:ascii="Arial" w:hAnsi="Arial"/>
                <w:sz w:val="18"/>
              </w:rPr>
              <w:t xml:space="preserve"> equals to 3 MHz.</w:t>
            </w:r>
          </w:p>
        </w:tc>
      </w:tr>
    </w:tbl>
    <w:p>
      <w:pPr>
        <w:rPr>
          <w:lang w:eastAsia="en-GB"/>
        </w:rPr>
      </w:pPr>
    </w:p>
    <w:p>
      <w:pPr>
        <w:pStyle w:val="100"/>
        <w:keepLines/>
        <w:ind w:left="1135"/>
        <w:rPr>
          <w:lang w:eastAsia="en-GB"/>
        </w:rPr>
      </w:pPr>
      <w:r>
        <w:rPr>
          <w:lang w:eastAsia="en-GB"/>
        </w:rPr>
        <w:t>NOTE:</w:t>
      </w:r>
      <w:r>
        <w:rPr>
          <w:lang w:eastAsia="en-GB"/>
        </w:rPr>
        <w:tab/>
      </w:r>
      <w:r>
        <w:rPr>
          <w:lang w:eastAsia="en-GB"/>
        </w:rPr>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6"/>
        <w:rPr>
          <w:snapToGrid w:val="0"/>
        </w:rPr>
      </w:pPr>
      <w:bookmarkStart w:id="825" w:name="_Toc111062061"/>
      <w:bookmarkStart w:id="826" w:name="_Toc121162851"/>
      <w:bookmarkStart w:id="827" w:name="_Toc11845"/>
      <w:bookmarkStart w:id="828" w:name="_Toc11127"/>
      <w:bookmarkStart w:id="829" w:name="_Toc21282"/>
      <w:bookmarkStart w:id="830" w:name="_Toc13200"/>
      <w:bookmarkStart w:id="831" w:name="_Toc11308"/>
      <w:bookmarkStart w:id="832" w:name="_Toc5069"/>
      <w:bookmarkStart w:id="833" w:name="_Toc120570059"/>
      <w:bookmarkStart w:id="834" w:name="_Toc16562"/>
      <w:r>
        <w:t>6.5A.3.3</w:t>
      </w:r>
      <w:r>
        <w:tab/>
      </w:r>
      <w:r>
        <w:rPr>
          <w:snapToGrid w:val="0"/>
        </w:rPr>
        <w:t>Additional Spectrum Emission Mask</w:t>
      </w:r>
      <w:bookmarkEnd w:id="825"/>
      <w:r>
        <w:rPr>
          <w:snapToGrid w:val="0"/>
        </w:rPr>
        <w:t xml:space="preserve"> for category M1</w:t>
      </w:r>
      <w:bookmarkEnd w:id="826"/>
      <w:bookmarkEnd w:id="827"/>
      <w:bookmarkEnd w:id="828"/>
      <w:bookmarkEnd w:id="829"/>
      <w:bookmarkEnd w:id="830"/>
      <w:bookmarkEnd w:id="831"/>
      <w:bookmarkEnd w:id="832"/>
      <w:bookmarkEnd w:id="833"/>
      <w:bookmarkEnd w:id="834"/>
    </w:p>
    <w:p>
      <w:r>
        <w:t>The additional spectrum emission mask is not applicable.</w:t>
      </w:r>
    </w:p>
    <w:p>
      <w:pPr>
        <w:pStyle w:val="6"/>
      </w:pPr>
      <w:bookmarkStart w:id="835" w:name="_Toc111062062"/>
      <w:bookmarkStart w:id="836" w:name="_Toc8496"/>
      <w:bookmarkStart w:id="837" w:name="_Toc9086"/>
      <w:bookmarkStart w:id="838" w:name="_Toc120570060"/>
      <w:bookmarkStart w:id="839" w:name="_Toc12747"/>
      <w:bookmarkStart w:id="840" w:name="_Toc27508"/>
      <w:bookmarkStart w:id="841" w:name="_Toc14270"/>
      <w:bookmarkStart w:id="842" w:name="_Toc14413"/>
      <w:bookmarkStart w:id="843" w:name="_Toc121162852"/>
      <w:bookmarkStart w:id="844" w:name="_Toc2169"/>
      <w:r>
        <w:t>6.5A.3.4</w:t>
      </w:r>
      <w:r>
        <w:tab/>
      </w:r>
      <w:r>
        <w:rPr>
          <w:snapToGrid w:val="0"/>
        </w:rPr>
        <w:t>Adjacent Channel Leakage Ratio</w:t>
      </w:r>
      <w:bookmarkEnd w:id="835"/>
      <w:r>
        <w:rPr>
          <w:snapToGrid w:val="0"/>
        </w:rPr>
        <w:t xml:space="preserve"> for category M1</w:t>
      </w:r>
      <w:bookmarkEnd w:id="836"/>
      <w:bookmarkEnd w:id="837"/>
      <w:bookmarkEnd w:id="838"/>
      <w:bookmarkEnd w:id="839"/>
      <w:bookmarkEnd w:id="840"/>
      <w:bookmarkEnd w:id="841"/>
      <w:bookmarkEnd w:id="842"/>
      <w:bookmarkEnd w:id="843"/>
      <w:bookmarkEnd w:id="844"/>
    </w:p>
    <w:p>
      <w:pPr>
        <w:pStyle w:val="112"/>
        <w:rPr>
          <w:lang w:val="en-US"/>
        </w:rPr>
      </w:pPr>
      <w:r>
        <w:t>Editor’s Note: Addition to applicability spec is pending.</w:t>
      </w:r>
    </w:p>
    <w:p>
      <w:pPr>
        <w:pStyle w:val="9"/>
      </w:pPr>
      <w:r>
        <w:rPr>
          <w:rFonts w:hint="eastAsia"/>
        </w:rPr>
        <w:t>6</w:t>
      </w:r>
      <w:r>
        <w:t>.5A.3.4.1</w:t>
      </w:r>
      <w:r>
        <w:tab/>
      </w:r>
      <w:r>
        <w:t>Test purpose</w:t>
      </w:r>
    </w:p>
    <w:p>
      <w:r>
        <w:t>To verify that UE transmitter does not cause unacceptable interference to adjacent channels in terms of Adjacent Channel Leakage power Ratio (ACLR).</w:t>
      </w:r>
    </w:p>
    <w:p>
      <w:pPr>
        <w:pStyle w:val="9"/>
      </w:pPr>
      <w:r>
        <w:rPr>
          <w:rFonts w:hint="eastAsia"/>
        </w:rPr>
        <w:t>6</w:t>
      </w:r>
      <w:r>
        <w:t>.5A.3.4.2</w:t>
      </w:r>
      <w:r>
        <w:tab/>
      </w:r>
      <w:r>
        <w:t>Test applicability</w:t>
      </w:r>
    </w:p>
    <w:p>
      <w:r>
        <w:t>This test case applies to all types of E-UTRA UE release 13 and forward of UE category M1 that supports satellite access operation.</w:t>
      </w:r>
    </w:p>
    <w:p>
      <w:pPr>
        <w:pStyle w:val="9"/>
      </w:pPr>
      <w:r>
        <w:rPr>
          <w:rFonts w:hint="eastAsia"/>
        </w:rPr>
        <w:t>6</w:t>
      </w:r>
      <w:r>
        <w:t>.5A.3.4.3</w:t>
      </w:r>
      <w:r>
        <w:tab/>
      </w:r>
      <w:r>
        <w:t>Minimum conformance requirements</w:t>
      </w:r>
    </w:p>
    <w:p>
      <w:pPr>
        <w:rPr>
          <w:bCs/>
        </w:rPr>
      </w:pPr>
      <w:r>
        <w:t>ACLR requirements are specified for two scenarios for an adjacent E -UTRA</w:t>
      </w:r>
      <w:r>
        <w:rPr>
          <w:vertAlign w:val="subscript"/>
        </w:rPr>
        <w:t xml:space="preserve">ACLR </w:t>
      </w:r>
      <w:r>
        <w:t>and UTRA</w:t>
      </w:r>
      <w:r>
        <w:rPr>
          <w:vertAlign w:val="subscript"/>
        </w:rPr>
        <w:t xml:space="preserve">ACLR1/2 </w:t>
      </w:r>
      <w:r>
        <w:t xml:space="preserve">as shown in </w:t>
      </w:r>
      <w:r>
        <w:rPr>
          <w:bCs/>
        </w:rPr>
        <w:t>Figure 6.5A.3.4.3-1.</w:t>
      </w:r>
    </w:p>
    <w:p>
      <w:pPr>
        <w:pStyle w:val="113"/>
      </w:pPr>
      <w:r>
        <w:drawing>
          <wp:inline distT="0" distB="0" distL="0" distR="0">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pPr>
        <w:pStyle w:val="120"/>
      </w:pPr>
      <w:r>
        <w:t>Figure 6.5A.3.4.3-1: Adjacent Channel Leakage Power Ratio requirements</w:t>
      </w:r>
    </w:p>
    <w:p>
      <w:pPr>
        <w:pStyle w:val="9"/>
      </w:pPr>
      <w:r>
        <w:rPr>
          <w:rFonts w:hint="eastAsia"/>
        </w:rPr>
        <w:t>6</w:t>
      </w:r>
      <w:r>
        <w:t>.5A.3.4.3.1</w:t>
      </w:r>
      <w:r>
        <w:tab/>
      </w:r>
      <w:r>
        <w:rPr>
          <w:rFonts w:hint="eastAsia"/>
        </w:rPr>
        <w:t>M</w:t>
      </w:r>
      <w:r>
        <w:t>inimum conformance requirements for E-UTRA</w:t>
      </w:r>
    </w:p>
    <w:p>
      <w:r>
        <w:t>E-UTRA category M1 Adjacent Channel Leakage power Ratio (E-UTRA</w:t>
      </w:r>
      <w:r>
        <w:rPr>
          <w:vertAlign w:val="subscript"/>
        </w:rPr>
        <w:t>ACLR</w:t>
      </w:r>
      <w:r>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Pr>
          <w:rFonts w:cs="v5.0.0"/>
        </w:rPr>
        <w:t>If the measured adjacent channel power is greater than –50dBm then</w:t>
      </w:r>
      <w:r>
        <w:t xml:space="preserve"> the E-UTRA</w:t>
      </w:r>
      <w:r>
        <w:rPr>
          <w:vertAlign w:val="subscript"/>
        </w:rPr>
        <w:t>ACLR</w:t>
      </w:r>
      <w:r>
        <w:t xml:space="preserve"> shall be higher than the valued specified in Table6.5A.3.4.3.1-1.</w:t>
      </w:r>
    </w:p>
    <w:p>
      <w:pPr>
        <w:pStyle w:val="113"/>
      </w:pPr>
      <w:r>
        <w:t>Table 6.5A.3.4.3.1-1: General requirements for E-UTRA</w:t>
      </w:r>
      <w:r>
        <w:rPr>
          <w:vertAlign w:val="subscript"/>
        </w:rPr>
        <w:t>ACLR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50"/>
        <w:gridCol w:w="3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0" w:type="dxa"/>
            <w:vMerge w:val="restart"/>
          </w:tcPr>
          <w:p>
            <w:pPr>
              <w:pStyle w:val="105"/>
            </w:pPr>
          </w:p>
        </w:tc>
        <w:tc>
          <w:tcPr>
            <w:tcW w:w="3249" w:type="dxa"/>
          </w:tcPr>
          <w:p>
            <w:pPr>
              <w:pStyle w:val="104"/>
            </w:pPr>
            <w:r>
              <w:t>Channel bandwidth / E-UTRA</w:t>
            </w:r>
            <w:r>
              <w:rPr>
                <w:vertAlign w:val="subscript"/>
              </w:rPr>
              <w:t>ACLR1</w:t>
            </w:r>
            <w:r>
              <w:t xml:space="preserve"> / measurement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0" w:type="dxa"/>
            <w:vMerge w:val="continue"/>
          </w:tcPr>
          <w:p>
            <w:pPr>
              <w:rPr>
                <w:rFonts w:ascii="Arial" w:hAnsi="Arial" w:cs="Arial"/>
                <w:b/>
                <w:sz w:val="18"/>
                <w:szCs w:val="18"/>
              </w:rPr>
            </w:pPr>
          </w:p>
        </w:tc>
        <w:tc>
          <w:tcPr>
            <w:tcW w:w="3249" w:type="dxa"/>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0" w:type="dxa"/>
          </w:tcPr>
          <w:p>
            <w:pPr>
              <w:pStyle w:val="104"/>
            </w:pPr>
            <w:r>
              <w:t>E-UTRA</w:t>
            </w:r>
            <w:r>
              <w:rPr>
                <w:vertAlign w:val="subscript"/>
              </w:rPr>
              <w:t>ACLR1</w:t>
            </w:r>
          </w:p>
        </w:tc>
        <w:tc>
          <w:tcPr>
            <w:tcW w:w="3249" w:type="dxa"/>
          </w:tcPr>
          <w:p>
            <w:pPr>
              <w:pStyle w:val="105"/>
            </w:pPr>
            <w:r>
              <w:t>30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0" w:type="dxa"/>
          </w:tcPr>
          <w:p>
            <w:pPr>
              <w:pStyle w:val="104"/>
            </w:pPr>
            <w:r>
              <w:t>E-UTRA channel Measurement bandwidth</w:t>
            </w:r>
          </w:p>
        </w:tc>
        <w:tc>
          <w:tcPr>
            <w:tcW w:w="3249" w:type="dxa"/>
            <w:vAlign w:val="center"/>
          </w:tcPr>
          <w:p>
            <w:pPr>
              <w:pStyle w:val="105"/>
            </w:pPr>
            <w:r>
              <w:t>1.08 MHz</w:t>
            </w:r>
          </w:p>
        </w:tc>
      </w:tr>
    </w:tbl>
    <w:p/>
    <w:p>
      <w:r>
        <w:t>The normative reference for this requirement is TS 36.102 [11] subclause 6.5A.3.4.</w:t>
      </w:r>
    </w:p>
    <w:p>
      <w:pPr>
        <w:pStyle w:val="9"/>
      </w:pPr>
      <w:r>
        <w:rPr>
          <w:rFonts w:hint="eastAsia"/>
        </w:rPr>
        <w:t>6</w:t>
      </w:r>
      <w:r>
        <w:t>.5A.3.4.4</w:t>
      </w:r>
      <w:r>
        <w:tab/>
      </w:r>
      <w:r>
        <w:t>Test description</w:t>
      </w:r>
    </w:p>
    <w:p>
      <w:pPr>
        <w:pStyle w:val="9"/>
      </w:pPr>
      <w:r>
        <w:t>6.5A.3.4.4.1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r>
        <w:rPr>
          <w:rFonts w:cs="v5.0.0"/>
        </w:rPr>
        <w:t>Configurations of PDSCH and MPDCCH before measurement are specified in Annex C.2.</w:t>
      </w:r>
    </w:p>
    <w:p>
      <w:pPr>
        <w:pStyle w:val="113"/>
      </w:pPr>
      <w:r>
        <w:t>Table 6.5A3.4.4.1-1: Test Configuration Table</w:t>
      </w:r>
    </w:p>
    <w:tbl>
      <w:tblPr>
        <w:tblStyle w:val="89"/>
        <w:tblW w:w="0" w:type="auto"/>
        <w:jc w:val="center"/>
        <w:tblLayout w:type="fixed"/>
        <w:tblCellMar>
          <w:top w:w="0" w:type="dxa"/>
          <w:left w:w="70" w:type="dxa"/>
          <w:bottom w:w="0" w:type="dxa"/>
          <w:right w:w="70" w:type="dxa"/>
        </w:tblCellMar>
      </w:tblPr>
      <w:tblGrid>
        <w:gridCol w:w="1212"/>
        <w:gridCol w:w="1134"/>
        <w:gridCol w:w="2734"/>
        <w:gridCol w:w="1304"/>
        <w:gridCol w:w="1691"/>
      </w:tblGrid>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Test Environment</w:t>
            </w:r>
          </w:p>
          <w:p>
            <w:pPr>
              <w:pStyle w:val="103"/>
            </w:pPr>
            <w:r>
              <w:t>(as specified in TS 36.508 [12] subclause 4.1)</w:t>
            </w:r>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NC, TL/VL, TL/VH, TH/VL, TH/VH</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Frequencies</w:t>
            </w:r>
          </w:p>
          <w:p>
            <w:pPr>
              <w:pStyle w:val="103"/>
            </w:pPr>
            <w:r>
              <w:t>(as specified in TS36.508 [12] subclause 4.3.1)</w:t>
            </w:r>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Low range, Mid range, High range</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Channel Bandwidths</w:t>
            </w:r>
          </w:p>
          <w:p>
            <w:pPr>
              <w:pStyle w:val="103"/>
            </w:pPr>
            <w:r>
              <w:t>(as specified in TS 36.508 [12] subclause 4.3.1)</w:t>
            </w:r>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jc w:val="center"/>
            </w:pPr>
            <w:r>
              <w:t>1.4MHz</w:t>
            </w:r>
          </w:p>
        </w:tc>
      </w:tr>
      <w:tr>
        <w:tblPrEx>
          <w:tblCellMar>
            <w:top w:w="0" w:type="dxa"/>
            <w:left w:w="70" w:type="dxa"/>
            <w:bottom w:w="0" w:type="dxa"/>
            <w:right w:w="70" w:type="dxa"/>
          </w:tblCellMar>
        </w:tblPrEx>
        <w:trPr>
          <w:jc w:val="center"/>
        </w:trPr>
        <w:tc>
          <w:tcPr>
            <w:tcW w:w="807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Parameters for Channel Bandwidths</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Downlink Configuration</w:t>
            </w:r>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Uplink Configuration</w:t>
            </w:r>
          </w:p>
        </w:tc>
      </w:tr>
      <w:tr>
        <w:tblPrEx>
          <w:tblCellMar>
            <w:top w:w="0" w:type="dxa"/>
            <w:left w:w="70" w:type="dxa"/>
            <w:bottom w:w="0" w:type="dxa"/>
            <w:right w:w="70" w:type="dxa"/>
          </w:tblCellMar>
        </w:tblPrEx>
        <w:trPr>
          <w:jc w:val="center"/>
        </w:trPr>
        <w:tc>
          <w:tcPr>
            <w:tcW w:w="1212" w:type="dxa"/>
            <w:vMerge w:val="restart"/>
            <w:tcBorders>
              <w:top w:val="single" w:color="auto" w:sz="4" w:space="0"/>
              <w:left w:val="single" w:color="auto" w:sz="4" w:space="0"/>
              <w:right w:val="single" w:color="auto" w:sz="4" w:space="0"/>
            </w:tcBorders>
            <w:shd w:val="clear" w:color="auto" w:fill="auto"/>
            <w:vAlign w:val="center"/>
          </w:tcPr>
          <w:p>
            <w:pPr>
              <w:pStyle w:val="105"/>
            </w:pPr>
            <w:r>
              <w:t>Configuration ID</w:t>
            </w:r>
          </w:p>
        </w:tc>
        <w:tc>
          <w:tcPr>
            <w:tcW w:w="1134" w:type="dxa"/>
            <w:vMerge w:val="restart"/>
            <w:tcBorders>
              <w:top w:val="single" w:color="auto" w:sz="4" w:space="0"/>
              <w:left w:val="single" w:color="auto" w:sz="4" w:space="0"/>
              <w:right w:val="single" w:color="auto" w:sz="4" w:space="0"/>
            </w:tcBorders>
            <w:shd w:val="clear" w:color="auto" w:fill="auto"/>
            <w:vAlign w:val="center"/>
          </w:tcPr>
          <w:p>
            <w:pPr>
              <w:pStyle w:val="105"/>
            </w:pPr>
            <w:r>
              <w:t>Ch BW</w:t>
            </w:r>
          </w:p>
        </w:tc>
        <w:tc>
          <w:tcPr>
            <w:tcW w:w="273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N/A for ACLR test case</w:t>
            </w:r>
          </w:p>
        </w:tc>
        <w:tc>
          <w:tcPr>
            <w:tcW w:w="1304" w:type="dxa"/>
            <w:vMerge w:val="restart"/>
            <w:tcBorders>
              <w:top w:val="single" w:color="auto" w:sz="4" w:space="0"/>
              <w:left w:val="single" w:color="auto" w:sz="4" w:space="0"/>
              <w:right w:val="single" w:color="auto" w:sz="4" w:space="0"/>
            </w:tcBorders>
            <w:shd w:val="clear" w:color="auto" w:fill="auto"/>
            <w:vAlign w:val="center"/>
          </w:tcPr>
          <w:p>
            <w:pPr>
              <w:pStyle w:val="105"/>
            </w:pPr>
            <w:r>
              <w:t>Mod'n</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RB allocation</w:t>
            </w:r>
          </w:p>
        </w:tc>
      </w:tr>
      <w:tr>
        <w:tblPrEx>
          <w:tblCellMar>
            <w:top w:w="0" w:type="dxa"/>
            <w:left w:w="70" w:type="dxa"/>
            <w:bottom w:w="0" w:type="dxa"/>
            <w:right w:w="70" w:type="dxa"/>
          </w:tblCellMar>
        </w:tblPrEx>
        <w:trPr>
          <w:trHeight w:val="470" w:hRule="atLeast"/>
          <w:jc w:val="center"/>
        </w:trPr>
        <w:tc>
          <w:tcPr>
            <w:tcW w:w="1212"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113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2734" w:type="dxa"/>
            <w:vMerge w:val="continue"/>
            <w:tcBorders>
              <w:top w:val="single" w:color="auto" w:sz="4" w:space="0"/>
              <w:left w:val="single" w:color="auto" w:sz="4" w:space="0"/>
              <w:bottom w:val="single" w:color="auto" w:sz="4" w:space="0"/>
              <w:right w:val="single" w:color="auto" w:sz="4" w:space="0"/>
            </w:tcBorders>
            <w:vAlign w:val="center"/>
          </w:tcPr>
          <w:p>
            <w:pPr>
              <w:pStyle w:val="105"/>
            </w:pPr>
          </w:p>
        </w:tc>
        <w:tc>
          <w:tcPr>
            <w:tcW w:w="130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FDD and HD-FDD</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1.4MHz</w:t>
            </w:r>
          </w:p>
        </w:tc>
        <w:tc>
          <w:tcPr>
            <w:tcW w:w="2734" w:type="dxa"/>
            <w:vMerge w:val="restart"/>
            <w:tcBorders>
              <w:top w:val="single" w:color="auto" w:sz="4" w:space="0"/>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QPSK</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1.4MHz</w:t>
            </w:r>
          </w:p>
        </w:tc>
        <w:tc>
          <w:tcPr>
            <w:tcW w:w="2734" w:type="dxa"/>
            <w:vMerge w:val="continue"/>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QPSK</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1.4MHz</w:t>
            </w:r>
          </w:p>
        </w:tc>
        <w:tc>
          <w:tcPr>
            <w:tcW w:w="2734" w:type="dxa"/>
            <w:vMerge w:val="continue"/>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QPSK</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6</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4</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1</w:t>
            </w:r>
            <w:r>
              <w:t>.4MHz</w:t>
            </w:r>
          </w:p>
        </w:tc>
        <w:tc>
          <w:tcPr>
            <w:tcW w:w="2734" w:type="dxa"/>
            <w:vMerge w:val="continue"/>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1</w:t>
            </w:r>
            <w:r>
              <w:t>6QAM</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2</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1</w:t>
            </w:r>
            <w:r>
              <w:t>.4MHz</w:t>
            </w:r>
          </w:p>
        </w:tc>
        <w:tc>
          <w:tcPr>
            <w:tcW w:w="273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1</w:t>
            </w:r>
            <w:r>
              <w:t>6QAM</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5</w:t>
            </w:r>
          </w:p>
        </w:tc>
      </w:tr>
      <w:tr>
        <w:tblPrEx>
          <w:tblCellMar>
            <w:top w:w="0" w:type="dxa"/>
            <w:left w:w="70" w:type="dxa"/>
            <w:bottom w:w="0" w:type="dxa"/>
            <w:right w:w="70" w:type="dxa"/>
          </w:tblCellMar>
        </w:tblPrEx>
        <w:trPr>
          <w:jc w:val="center"/>
        </w:trPr>
        <w:tc>
          <w:tcPr>
            <w:tcW w:w="807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18"/>
              <w:keepNext/>
              <w:keepLines/>
              <w:spacing w:after="0"/>
              <w:ind w:left="851"/>
            </w:pPr>
            <w:r>
              <w:t>Note1:</w:t>
            </w:r>
            <w:r>
              <w:tab/>
            </w:r>
            <w:r>
              <w:t>The RBstart of partial RB allocation shall be RB#0 and RB# (6 - RB allocation) of the narrowband.</w:t>
            </w:r>
          </w:p>
        </w:tc>
      </w:tr>
    </w:tbl>
    <w:p/>
    <w:p>
      <w:pPr>
        <w:pStyle w:val="113"/>
      </w:pPr>
      <w:r>
        <w:t>Table 6.5A3.4.4.1-2: Test Configuration Table, subPRB allocation</w:t>
      </w:r>
    </w:p>
    <w:tbl>
      <w:tblPr>
        <w:tblStyle w:val="89"/>
        <w:tblW w:w="0" w:type="auto"/>
        <w:jc w:val="center"/>
        <w:tblLayout w:type="fixed"/>
        <w:tblCellMar>
          <w:top w:w="0" w:type="dxa"/>
          <w:left w:w="70" w:type="dxa"/>
          <w:bottom w:w="0" w:type="dxa"/>
          <w:right w:w="70" w:type="dxa"/>
        </w:tblCellMar>
      </w:tblPr>
      <w:tblGrid>
        <w:gridCol w:w="1212"/>
        <w:gridCol w:w="1134"/>
        <w:gridCol w:w="2734"/>
        <w:gridCol w:w="1304"/>
        <w:gridCol w:w="3170"/>
      </w:tblGrid>
      <w:tr>
        <w:tblPrEx>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Initial Conditions</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Test Environment as specified in</w:t>
            </w:r>
          </w:p>
          <w:p>
            <w:pPr>
              <w:pStyle w:val="103"/>
            </w:pPr>
            <w:r>
              <w:t>TS 36.508 [12] subclause 4.1</w:t>
            </w:r>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Normal</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Frequencies as specified in</w:t>
            </w:r>
          </w:p>
          <w:p>
            <w:pPr>
              <w:pStyle w:val="103"/>
            </w:pPr>
            <w:r>
              <w:t>TS 36.508 [12] subclause 4.3.1</w:t>
            </w:r>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Low range, Mid range, High range</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Channel Bandwidths as specified in</w:t>
            </w:r>
          </w:p>
          <w:p>
            <w:pPr>
              <w:pStyle w:val="103"/>
            </w:pPr>
            <w:r>
              <w:t>TS 36.508 [12] subclause 4.3.1</w:t>
            </w:r>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1.4MHz</w:t>
            </w:r>
          </w:p>
        </w:tc>
      </w:tr>
      <w:tr>
        <w:tblPrEx>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Parameters for Channel Bandwidths</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Downlink Configuration</w:t>
            </w:r>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Uplink Configuration</w:t>
            </w:r>
          </w:p>
        </w:tc>
      </w:tr>
      <w:tr>
        <w:tblPrEx>
          <w:tblCellMar>
            <w:top w:w="0" w:type="dxa"/>
            <w:left w:w="70" w:type="dxa"/>
            <w:bottom w:w="0" w:type="dxa"/>
            <w:right w:w="70" w:type="dxa"/>
          </w:tblCellMar>
        </w:tblPrEx>
        <w:trPr>
          <w:jc w:val="center"/>
        </w:trPr>
        <w:tc>
          <w:tcPr>
            <w:tcW w:w="1212" w:type="dxa"/>
            <w:vMerge w:val="restart"/>
            <w:tcBorders>
              <w:top w:val="single" w:color="auto" w:sz="4" w:space="0"/>
              <w:left w:val="single" w:color="auto" w:sz="4" w:space="0"/>
              <w:right w:val="single" w:color="auto" w:sz="4" w:space="0"/>
            </w:tcBorders>
            <w:shd w:val="clear" w:color="auto" w:fill="auto"/>
            <w:vAlign w:val="center"/>
          </w:tcPr>
          <w:p>
            <w:pPr>
              <w:pStyle w:val="105"/>
            </w:pPr>
            <w:r>
              <w:t>Configuration ID</w:t>
            </w:r>
          </w:p>
        </w:tc>
        <w:tc>
          <w:tcPr>
            <w:tcW w:w="1134" w:type="dxa"/>
            <w:vMerge w:val="restart"/>
            <w:tcBorders>
              <w:top w:val="single" w:color="auto" w:sz="4" w:space="0"/>
              <w:left w:val="single" w:color="auto" w:sz="4" w:space="0"/>
              <w:right w:val="single" w:color="auto" w:sz="4" w:space="0"/>
            </w:tcBorders>
            <w:shd w:val="clear" w:color="auto" w:fill="auto"/>
            <w:vAlign w:val="center"/>
          </w:tcPr>
          <w:p>
            <w:pPr>
              <w:pStyle w:val="105"/>
            </w:pPr>
            <w:r>
              <w:t>Ch BW</w:t>
            </w:r>
          </w:p>
        </w:tc>
        <w:tc>
          <w:tcPr>
            <w:tcW w:w="273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N/A for Maximum Power Reduction (MPR) test case</w:t>
            </w:r>
          </w:p>
        </w:tc>
        <w:tc>
          <w:tcPr>
            <w:tcW w:w="1304" w:type="dxa"/>
            <w:vMerge w:val="restart"/>
            <w:tcBorders>
              <w:top w:val="single" w:color="auto" w:sz="4" w:space="0"/>
              <w:left w:val="single" w:color="auto" w:sz="4" w:space="0"/>
              <w:right w:val="single" w:color="auto" w:sz="4" w:space="0"/>
            </w:tcBorders>
            <w:shd w:val="clear" w:color="auto" w:fill="auto"/>
            <w:vAlign w:val="center"/>
          </w:tcPr>
          <w:p>
            <w:pPr>
              <w:pStyle w:val="105"/>
            </w:pPr>
            <w:r>
              <w:t>Mod'n</w:t>
            </w:r>
          </w:p>
        </w:tc>
        <w:tc>
          <w:tcPr>
            <w:tcW w:w="317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RB allocation</w:t>
            </w:r>
          </w:p>
        </w:tc>
      </w:tr>
      <w:tr>
        <w:tblPrEx>
          <w:tblCellMar>
            <w:top w:w="0" w:type="dxa"/>
            <w:left w:w="70" w:type="dxa"/>
            <w:bottom w:w="0" w:type="dxa"/>
            <w:right w:w="70" w:type="dxa"/>
          </w:tblCellMar>
        </w:tblPrEx>
        <w:trPr>
          <w:trHeight w:val="470" w:hRule="atLeast"/>
          <w:jc w:val="center"/>
        </w:trPr>
        <w:tc>
          <w:tcPr>
            <w:tcW w:w="1212"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113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2734" w:type="dxa"/>
            <w:vMerge w:val="continue"/>
            <w:tcBorders>
              <w:top w:val="single" w:color="auto" w:sz="4" w:space="0"/>
              <w:left w:val="single" w:color="auto" w:sz="4" w:space="0"/>
              <w:bottom w:val="single" w:color="auto" w:sz="4" w:space="0"/>
              <w:right w:val="single" w:color="auto" w:sz="4" w:space="0"/>
            </w:tcBorders>
            <w:vAlign w:val="center"/>
          </w:tcPr>
          <w:p>
            <w:pPr>
              <w:pStyle w:val="105"/>
            </w:pPr>
          </w:p>
        </w:tc>
        <w:tc>
          <w:tcPr>
            <w:tcW w:w="130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317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FDD and HD-FDD</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5"/>
            </w:pPr>
            <w:r>
              <w:t>1.4MHz</w:t>
            </w: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tcPr>
          <w:p>
            <w:pPr>
              <w:pStyle w:val="105"/>
            </w:pPr>
            <w:r>
              <w:t>QPSK</w:t>
            </w:r>
          </w:p>
        </w:tc>
        <w:tc>
          <w:tcPr>
            <w:tcW w:w="3170" w:type="dxa"/>
            <w:tcBorders>
              <w:top w:val="single" w:color="auto" w:sz="4" w:space="0"/>
              <w:left w:val="single" w:color="auto" w:sz="4" w:space="0"/>
              <w:bottom w:val="single" w:color="auto" w:sz="4" w:space="0"/>
              <w:right w:val="single" w:color="auto" w:sz="4" w:space="0"/>
            </w:tcBorders>
            <w:shd w:val="clear" w:color="auto" w:fill="auto"/>
          </w:tcPr>
          <w:p>
            <w:pPr>
              <w:pStyle w:val="105"/>
            </w:pPr>
            <w:r>
              <w:t>½ (6 SCs)</w:t>
            </w:r>
          </w:p>
        </w:tc>
      </w:tr>
      <w:tr>
        <w:tblPrEx>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18"/>
            </w:pPr>
            <w:r>
              <w:t>Note 1:</w:t>
            </w:r>
            <w:r>
              <w:tab/>
            </w:r>
            <w:r>
              <w:t>Denotes the lowest narrowband index in the channel bandwidth where the wideband shall be placed. The allocation is contiguous, starting from the lowest narrowband index. Narrowband, Narrowband index and Wideband are defined in TS 36.211 [3], 5.2.7.</w:t>
            </w:r>
          </w:p>
          <w:p>
            <w:pPr>
              <w:pStyle w:val="118"/>
            </w:pPr>
            <w:r>
              <w:t>Note 2:</w:t>
            </w:r>
            <w:r>
              <w:tab/>
            </w:r>
            <w:r>
              <w:t>Test Channel Bandwidths are checked separately for each E-UTRA band, the applicable channel bandwidths are specified in Table 5.4.2.1-1.</w:t>
            </w:r>
          </w:p>
          <w:p>
            <w:pPr>
              <w:pStyle w:val="118"/>
              <w:rPr>
                <w:lang w:eastAsia="sv-SE"/>
              </w:rPr>
            </w:pPr>
            <w:r>
              <w:rPr>
                <w:lang w:eastAsia="sv-SE"/>
              </w:rPr>
              <w:t>Note 3:</w:t>
            </w:r>
            <w:r>
              <w:rPr>
                <w:lang w:eastAsia="sv-SE"/>
              </w:rPr>
              <w:tab/>
            </w:r>
            <w:r>
              <w:rPr>
                <w:lang w:eastAsia="sv-SE"/>
              </w:rPr>
              <w:t>The SC</w:t>
            </w:r>
            <w:r>
              <w:rPr>
                <w:vertAlign w:val="subscript"/>
                <w:lang w:eastAsia="sv-SE"/>
              </w:rPr>
              <w:t>start</w:t>
            </w:r>
            <w:r>
              <w:rPr>
                <w:lang w:eastAsia="sv-SE"/>
              </w:rPr>
              <w:t xml:space="preserve"> shall be SC#0 and SC# (72 – RB allocation) of the narrowband, when RB allocation is defined as #SCs</w:t>
            </w:r>
          </w:p>
        </w:tc>
      </w:tr>
    </w:tbl>
    <w:p>
      <w:pPr>
        <w:pStyle w:val="111"/>
        <w:overflowPunct w:val="0"/>
        <w:autoSpaceDE w:val="0"/>
        <w:autoSpaceDN w:val="0"/>
        <w:adjustRightInd w:val="0"/>
        <w:textAlignment w:val="baseline"/>
        <w:rPr>
          <w:lang w:eastAsia="en-GB"/>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SS to the UE antenna connectors as shown in TS 36.508[12]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Table 6.5A3.4.4.1-1.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7</w:t>
      </w:r>
      <w:r>
        <w:rPr>
          <w:lang w:eastAsia="en-GB"/>
        </w:rPr>
        <w:t>.</w:t>
      </w:r>
      <w:r>
        <w:rPr>
          <w:lang w:eastAsia="en-GB"/>
        </w:rPr>
        <w:tab/>
      </w:r>
      <w:r>
        <w:t>Test equipment shall emul</w:t>
      </w:r>
      <w:r>
        <w:rPr>
          <w:color w:val="000000" w:themeColor="text1"/>
          <w14:textFill>
            <w14:solidFill>
              <w14:schemeClr w14:val="tx1"/>
            </w14:solidFill>
          </w14:textFill>
        </w:rPr>
        <w:t xml:space="preserve">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w:t>
      </w:r>
      <w:r>
        <w:t>on of the test as define in TS 36.508[12] clause 5.6.3.1</w:t>
      </w:r>
    </w:p>
    <w:p>
      <w:pPr>
        <w:pStyle w:val="111"/>
        <w:overflowPunct w:val="0"/>
        <w:autoSpaceDE w:val="0"/>
        <w:autoSpaceDN w:val="0"/>
        <w:adjustRightInd w:val="0"/>
        <w:contextualSpacing w:val="0"/>
        <w:textAlignment w:val="baseline"/>
        <w:rPr>
          <w:lang w:eastAsia="en-GB"/>
        </w:rPr>
      </w:pPr>
      <w:r>
        <w:rPr>
          <w:rFonts w:hint="eastAsia"/>
        </w:rPr>
        <w:t>8</w:t>
      </w:r>
      <w:r>
        <w:t>.</w:t>
      </w:r>
      <w:r>
        <w:tab/>
      </w:r>
      <w:r>
        <w:t xml:space="preserve">Deactivate UE prediction of satellite trajectory by any preconfigured means </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6.5A.3.4.4.3.</w:t>
      </w:r>
    </w:p>
    <w:p>
      <w:pPr>
        <w:pStyle w:val="111"/>
        <w:overflowPunct w:val="0"/>
        <w:autoSpaceDE w:val="0"/>
        <w:autoSpaceDN w:val="0"/>
        <w:adjustRightInd w:val="0"/>
        <w:contextualSpacing w:val="0"/>
        <w:textAlignment w:val="baseline"/>
        <w:rPr>
          <w:lang w:eastAsia="en-GB"/>
        </w:rPr>
      </w:pPr>
      <w:r>
        <w:rPr>
          <w:lang w:eastAsia="en-GB"/>
        </w:rPr>
        <w:t>10</w:t>
      </w:r>
      <w:r>
        <w:rPr>
          <w:rFonts w:hint="eastAsia"/>
          <w:lang w:eastAsia="en-GB"/>
        </w:rPr>
        <w:t>.</w:t>
      </w:r>
      <w:r>
        <w:rPr>
          <w:rFonts w:hint="eastAsia"/>
          <w:lang w:eastAsia="en-GB"/>
        </w:rPr>
        <w:tab/>
      </w:r>
      <w:r>
        <w:rPr>
          <w:rFonts w:hint="eastAsia"/>
          <w:lang w:eastAsia="en-GB"/>
        </w:rPr>
        <w:t>For UE supporting subPRB allocation, repeat step 1-6 with UL RMC according to Table 6.5A3.4.4.1-2.</w:t>
      </w:r>
    </w:p>
    <w:p>
      <w:pPr>
        <w:pStyle w:val="9"/>
      </w:pPr>
      <w:r>
        <w:t>6.5A.3.4.4.2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MPDCCH DCI format 6-0A for C_RNTI to schedule the UL RMC according to Table 6.5A3.4.4.1-1.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Send continuously uplink power control "up" commands in the uplink scheduling information to the UE until the UE transmits at PUMAX level.</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Measure the rectangular filtered mean power for E-UTRA.</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Measure the rectangular filtered mean power of the first E-UTRA adjacent channel on both lower and upper side of the E-UTRA channel, respectively.</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Measure the RRC filtered mean power of the first and the second UTRA adjacent channel on both lower and upper side of the E-UTRA channel, respectively.</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Calculate the ratios of the power between the values measured in step 4 overstep 5 for lower and upper E-UTRAACLR, respectively.</w:t>
      </w:r>
    </w:p>
    <w:p>
      <w:pPr>
        <w:pStyle w:val="11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r>
      <w:r>
        <w:rPr>
          <w:rFonts w:hint="eastAsia"/>
          <w:lang w:eastAsia="en-GB"/>
        </w:rPr>
        <w:t>Calculated the ratios of the power between the values measured in step 4 overstep 6 for lower and upper UTRAACLR1, UTRAACLR2, respectively.</w:t>
      </w:r>
    </w:p>
    <w:p>
      <w:pPr>
        <w:pStyle w:val="9"/>
      </w:pPr>
      <w:r>
        <w:t>6.5A.3.4.4.3</w:t>
      </w:r>
      <w:r>
        <w:tab/>
      </w:r>
      <w:r>
        <w:t>Message contents</w:t>
      </w:r>
    </w:p>
    <w:p>
      <w:pPr>
        <w:rPr>
          <w:lang w:eastAsia="en-GB"/>
        </w:rPr>
      </w:pPr>
      <w:r>
        <w:rPr>
          <w:lang w:eastAsia="en-GB"/>
        </w:rPr>
        <w:t>Message contents are according to TS 36.508 [12] subclause 4.6.</w:t>
      </w:r>
    </w:p>
    <w:p>
      <w:pPr>
        <w:pStyle w:val="9"/>
      </w:pPr>
      <w:r>
        <w:rPr>
          <w:rFonts w:hint="eastAsia"/>
        </w:rPr>
        <w:t>6</w:t>
      </w:r>
      <w:r>
        <w:t>.5A.3.4.5</w:t>
      </w:r>
      <w:r>
        <w:tab/>
      </w:r>
      <w:r>
        <w:t>Test requirement</w:t>
      </w:r>
    </w:p>
    <w:p>
      <w:pPr>
        <w:pStyle w:val="9"/>
      </w:pPr>
      <w:bookmarkStart w:id="845" w:name="_Hlk141102488"/>
      <w:r>
        <w:t>6.5A.3.4.5.1</w:t>
      </w:r>
      <w:bookmarkEnd w:id="845"/>
      <w:r>
        <w:tab/>
      </w:r>
      <w:r>
        <w:t>Test requirements E-UTRA</w:t>
      </w:r>
    </w:p>
    <w:p>
      <w:pPr>
        <w:ind w:left="568" w:hanging="284"/>
        <w:rPr>
          <w:lang w:eastAsia="en-GB"/>
        </w:rPr>
      </w:pPr>
      <w:r>
        <w:rPr>
          <w:rFonts w:cs="v5.0.0"/>
          <w:lang w:eastAsia="en-GB"/>
        </w:rPr>
        <w:t>-</w:t>
      </w:r>
      <w:r>
        <w:rPr>
          <w:rFonts w:cs="v5.0.0"/>
          <w:lang w:eastAsia="en-GB"/>
        </w:rPr>
        <w:tab/>
      </w:r>
      <w:r>
        <w:rPr>
          <w:lang w:eastAsia="en-GB"/>
        </w:rPr>
        <w:t xml:space="preserve">The measured UE mean power in the channel bandwidth, derived in step 3, shall fulfil requirements in Table </w:t>
      </w:r>
      <w:r>
        <w:t>6.2A.2.4.4-1 to 6.2A.2.4.4-1a</w:t>
      </w:r>
      <w:r>
        <w:rPr>
          <w:lang w:eastAsia="en-GB"/>
        </w:rPr>
        <w:t>, as appropriate,</w:t>
      </w:r>
    </w:p>
    <w:p>
      <w:pPr>
        <w:ind w:left="568" w:hanging="284"/>
        <w:rPr>
          <w:lang w:eastAsia="en-GB"/>
        </w:rPr>
      </w:pPr>
      <w:r>
        <w:rPr>
          <w:lang w:eastAsia="en-GB"/>
        </w:rPr>
        <w:t>and</w:t>
      </w:r>
    </w:p>
    <w:p>
      <w:pPr>
        <w:ind w:left="568" w:hanging="284"/>
        <w:rPr>
          <w:lang w:eastAsia="en-GB"/>
        </w:rPr>
      </w:pPr>
      <w:r>
        <w:rPr>
          <w:rFonts w:cs="v5.0.0"/>
          <w:lang w:eastAsia="en-GB"/>
        </w:rPr>
        <w:t>-</w:t>
      </w:r>
      <w:r>
        <w:rPr>
          <w:rFonts w:cs="v5.0.0"/>
          <w:lang w:eastAsia="en-GB"/>
        </w:rPr>
        <w:tab/>
      </w:r>
      <w:r>
        <w:rPr>
          <w:rFonts w:cs="v5.0.0"/>
          <w:lang w:eastAsia="en-GB"/>
        </w:rPr>
        <w:t>if the measured adjacent channel power is greater than –50 dBm then</w:t>
      </w:r>
      <w:r>
        <w:rPr>
          <w:lang w:eastAsia="en-GB"/>
        </w:rPr>
        <w:t xml:space="preserve"> the measured E-UTRA</w:t>
      </w:r>
      <w:r>
        <w:rPr>
          <w:vertAlign w:val="subscript"/>
          <w:lang w:eastAsia="en-GB"/>
        </w:rPr>
        <w:t>ACLR</w:t>
      </w:r>
      <w:r>
        <w:rPr>
          <w:lang w:eastAsia="en-GB"/>
        </w:rPr>
        <w:t>, derived in step 7, shall be higher than the limits in table 6.5A.3.4.5.1-1.</w:t>
      </w:r>
    </w:p>
    <w:p>
      <w:pPr>
        <w:keepNext/>
        <w:keepLines/>
        <w:spacing w:before="60"/>
        <w:jc w:val="center"/>
        <w:rPr>
          <w:rFonts w:ascii="Arial" w:hAnsi="Arial"/>
          <w:b/>
          <w:lang w:eastAsia="en-GB"/>
        </w:rPr>
      </w:pPr>
      <w:r>
        <w:rPr>
          <w:rFonts w:ascii="Arial" w:hAnsi="Arial"/>
          <w:b/>
          <w:lang w:eastAsia="en-GB"/>
        </w:rPr>
        <w:t>Table 6.5A.3.4.5.1-1: E-UTRA UE ACLR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63"/>
        <w:gridCol w:w="54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rPr>
                <w:rFonts w:ascii="Arial" w:hAnsi="Arial" w:cs="Arial"/>
                <w:sz w:val="18"/>
                <w:szCs w:val="18"/>
                <w:lang w:eastAsia="en-GB"/>
              </w:rPr>
            </w:pPr>
          </w:p>
        </w:tc>
        <w:tc>
          <w:tcPr>
            <w:tcW w:w="5403" w:type="dxa"/>
            <w:vAlign w:val="center"/>
          </w:tcPr>
          <w:p>
            <w:pPr>
              <w:keepNext/>
              <w:keepLines/>
              <w:spacing w:after="0"/>
              <w:jc w:val="center"/>
              <w:rPr>
                <w:rFonts w:ascii="Arial" w:hAnsi="Arial"/>
                <w:b/>
                <w:sz w:val="18"/>
              </w:rPr>
            </w:pPr>
            <w:r>
              <w:rPr>
                <w:rFonts w:ascii="Arial" w:hAnsi="Arial"/>
                <w:b/>
                <w:sz w:val="18"/>
              </w:rPr>
              <w:t>Channel bandwidth / E-UTRA</w:t>
            </w:r>
            <w:r>
              <w:rPr>
                <w:rFonts w:ascii="Arial" w:hAnsi="Arial"/>
                <w:b/>
                <w:sz w:val="18"/>
                <w:vertAlign w:val="subscript"/>
              </w:rPr>
              <w:t>ACLR1</w:t>
            </w:r>
            <w:r>
              <w:rPr>
                <w:rFonts w:ascii="Arial" w:hAnsi="Arial"/>
                <w:b/>
                <w:sz w:val="18"/>
              </w:rPr>
              <w:t xml:space="preserve">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rPr>
                <w:rFonts w:ascii="Arial" w:hAnsi="Arial" w:cs="Arial"/>
                <w:b/>
                <w:sz w:val="18"/>
                <w:szCs w:val="18"/>
                <w:lang w:eastAsia="en-GB"/>
              </w:rPr>
            </w:pPr>
          </w:p>
        </w:tc>
        <w:tc>
          <w:tcPr>
            <w:tcW w:w="5403" w:type="dxa"/>
            <w:vAlign w:val="center"/>
          </w:tcPr>
          <w:p>
            <w:pPr>
              <w:keepNext/>
              <w:keepLines/>
              <w:spacing w:after="0"/>
              <w:jc w:val="center"/>
              <w:rPr>
                <w:rFonts w:ascii="Arial" w:hAnsi="Arial"/>
                <w:b/>
                <w:sz w:val="18"/>
              </w:rPr>
            </w:pPr>
            <w:r>
              <w:rPr>
                <w:rFonts w:ascii="Arial" w:hAnsi="Arial"/>
                <w:b/>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keepNext/>
              <w:keepLines/>
              <w:spacing w:after="0"/>
              <w:jc w:val="center"/>
              <w:rPr>
                <w:rFonts w:ascii="Arial" w:hAnsi="Arial"/>
                <w:b/>
                <w:sz w:val="18"/>
              </w:rPr>
            </w:pPr>
            <w:r>
              <w:rPr>
                <w:rFonts w:ascii="Arial" w:hAnsi="Arial"/>
                <w:b/>
                <w:sz w:val="18"/>
              </w:rPr>
              <w:t>E-UTRA</w:t>
            </w:r>
            <w:r>
              <w:rPr>
                <w:rFonts w:ascii="Arial" w:hAnsi="Arial"/>
                <w:b/>
                <w:sz w:val="18"/>
                <w:vertAlign w:val="subscript"/>
              </w:rPr>
              <w:t>ACLR1</w:t>
            </w:r>
          </w:p>
        </w:tc>
        <w:tc>
          <w:tcPr>
            <w:tcW w:w="5403" w:type="dxa"/>
            <w:vAlign w:val="center"/>
          </w:tcPr>
          <w:p>
            <w:pPr>
              <w:keepNext/>
              <w:keepLines/>
              <w:spacing w:after="0"/>
              <w:jc w:val="center"/>
              <w:rPr>
                <w:rFonts w:ascii="Arial" w:hAnsi="Arial"/>
                <w:sz w:val="18"/>
              </w:rPr>
            </w:pPr>
            <w:r>
              <w:rPr>
                <w:rFonts w:ascii="Arial" w:hAnsi="Arial"/>
                <w:sz w:val="18"/>
              </w:rPr>
              <w:t>29.2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keepNext/>
              <w:keepLines/>
              <w:spacing w:after="0"/>
              <w:jc w:val="center"/>
              <w:rPr>
                <w:rFonts w:ascii="Arial" w:hAnsi="Arial"/>
                <w:b/>
                <w:sz w:val="18"/>
              </w:rPr>
            </w:pPr>
            <w:r>
              <w:rPr>
                <w:rFonts w:ascii="Arial" w:hAnsi="Arial"/>
                <w:b/>
                <w:sz w:val="18"/>
              </w:rPr>
              <w:t>E-UTRA channel Measurement bandwidth</w:t>
            </w:r>
          </w:p>
        </w:tc>
        <w:tc>
          <w:tcPr>
            <w:tcW w:w="5403" w:type="dxa"/>
            <w:vAlign w:val="center"/>
          </w:tcPr>
          <w:p>
            <w:pPr>
              <w:keepNext/>
              <w:keepLines/>
              <w:spacing w:after="0"/>
              <w:jc w:val="center"/>
              <w:rPr>
                <w:rFonts w:ascii="Arial" w:hAnsi="Arial"/>
                <w:sz w:val="18"/>
              </w:rPr>
            </w:pPr>
            <w:r>
              <w:rPr>
                <w:rFonts w:ascii="Arial" w:hAnsi="Arial"/>
                <w:sz w:val="18"/>
              </w:rP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keepNext/>
              <w:keepLines/>
              <w:spacing w:after="0"/>
              <w:jc w:val="center"/>
              <w:rPr>
                <w:rFonts w:ascii="Arial" w:hAnsi="Arial"/>
                <w:b/>
                <w:sz w:val="18"/>
              </w:rPr>
            </w:pPr>
            <w:r>
              <w:rPr>
                <w:rFonts w:ascii="Arial" w:hAnsi="Arial"/>
                <w:b/>
                <w:sz w:val="18"/>
              </w:rPr>
              <w:t>UE channel</w:t>
            </w:r>
          </w:p>
        </w:tc>
        <w:tc>
          <w:tcPr>
            <w:tcW w:w="5403" w:type="dxa"/>
            <w:vAlign w:val="center"/>
          </w:tcPr>
          <w:p>
            <w:pPr>
              <w:keepNext/>
              <w:keepLines/>
              <w:spacing w:after="0"/>
              <w:jc w:val="center"/>
              <w:rPr>
                <w:rFonts w:ascii="Arial" w:hAnsi="Arial"/>
                <w:sz w:val="18"/>
              </w:rPr>
            </w:pPr>
            <w:r>
              <w:rPr>
                <w:rFonts w:ascii="Arial" w:hAnsi="Arial"/>
                <w:sz w:val="18"/>
              </w:rPr>
              <w:t>+1.4 MHz or -1.4 MHz</w:t>
            </w:r>
          </w:p>
        </w:tc>
      </w:tr>
    </w:tbl>
    <w:p>
      <w:pPr>
        <w:rPr>
          <w:lang w:eastAsia="zh-TW"/>
        </w:rPr>
      </w:pPr>
    </w:p>
    <w:p>
      <w:pPr>
        <w:pStyle w:val="5"/>
      </w:pPr>
      <w:bookmarkStart w:id="846" w:name="_Toc5295"/>
      <w:bookmarkStart w:id="847" w:name="_Toc121162853"/>
      <w:bookmarkStart w:id="848" w:name="_Toc15149"/>
      <w:bookmarkStart w:id="849" w:name="_Toc27722"/>
      <w:bookmarkStart w:id="850" w:name="_Toc4171"/>
      <w:bookmarkStart w:id="851" w:name="_Toc27840"/>
      <w:bookmarkStart w:id="852" w:name="_Toc20711"/>
      <w:bookmarkStart w:id="853" w:name="_Toc9971"/>
      <w:bookmarkStart w:id="854" w:name="_Toc120570061"/>
      <w:r>
        <w:t>6.5A.4</w:t>
      </w:r>
      <w:r>
        <w:tab/>
      </w:r>
      <w:r>
        <w:rPr>
          <w:rFonts w:hint="eastAsia"/>
        </w:rPr>
        <w:t>S</w:t>
      </w:r>
      <w:r>
        <w:t>purious emission</w:t>
      </w:r>
      <w:r>
        <w:rPr>
          <w:rFonts w:hint="eastAsia"/>
        </w:rPr>
        <w:t xml:space="preserve"> for </w:t>
      </w:r>
      <w:r>
        <w:t>category M1</w:t>
      </w:r>
      <w:bookmarkEnd w:id="846"/>
      <w:bookmarkEnd w:id="847"/>
      <w:bookmarkEnd w:id="848"/>
      <w:bookmarkEnd w:id="849"/>
      <w:bookmarkEnd w:id="850"/>
      <w:bookmarkEnd w:id="851"/>
      <w:bookmarkEnd w:id="852"/>
      <w:bookmarkEnd w:id="853"/>
      <w:bookmarkEnd w:id="854"/>
    </w:p>
    <w:p>
      <w:pPr>
        <w:pStyle w:val="6"/>
      </w:pPr>
      <w:bookmarkStart w:id="855" w:name="_Toc5930"/>
      <w:bookmarkStart w:id="856" w:name="_Toc17640"/>
      <w:bookmarkStart w:id="857" w:name="_Toc121162854"/>
      <w:bookmarkStart w:id="858" w:name="_Toc19974"/>
      <w:bookmarkStart w:id="859" w:name="_Toc23812"/>
      <w:bookmarkStart w:id="860" w:name="_Toc9576"/>
      <w:bookmarkStart w:id="861" w:name="_Toc1180"/>
      <w:bookmarkStart w:id="862" w:name="_Toc120570062"/>
      <w:bookmarkStart w:id="863" w:name="_Toc6668"/>
      <w:r>
        <w:t>6.5A.4.1</w:t>
      </w:r>
      <w:r>
        <w:tab/>
      </w:r>
      <w:r>
        <w:t>General</w:t>
      </w:r>
      <w:bookmarkEnd w:id="855"/>
      <w:bookmarkEnd w:id="856"/>
      <w:bookmarkEnd w:id="857"/>
      <w:bookmarkEnd w:id="858"/>
      <w:bookmarkEnd w:id="859"/>
      <w:bookmarkEnd w:id="860"/>
      <w:bookmarkEnd w:id="861"/>
      <w:bookmarkEnd w:id="862"/>
      <w:bookmarkEnd w:id="863"/>
    </w:p>
    <w:p>
      <w:pPr>
        <w:rPr>
          <w:rFonts w:eastAsiaTheme="minorEastAsia"/>
          <w:lang w:eastAsia="zh-CN"/>
        </w:rPr>
      </w:pPr>
      <w:r>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pPr>
        <w:rPr>
          <w:lang w:val="en-US"/>
        </w:rPr>
      </w:pPr>
      <w:r>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Pr>
          <w:lang w:val="en-US"/>
        </w:rPr>
        <w:t>.</w:t>
      </w:r>
    </w:p>
    <w:p>
      <w:pPr>
        <w:pStyle w:val="6"/>
      </w:pPr>
      <w:bookmarkStart w:id="864" w:name="_Toc121162855"/>
      <w:bookmarkStart w:id="865" w:name="_Toc659"/>
      <w:bookmarkStart w:id="866" w:name="_Toc8248"/>
      <w:bookmarkStart w:id="867" w:name="_Toc120570063"/>
      <w:bookmarkStart w:id="868" w:name="_Toc16423"/>
      <w:bookmarkStart w:id="869" w:name="_Toc3363"/>
      <w:bookmarkStart w:id="870" w:name="_Toc5039"/>
      <w:bookmarkStart w:id="871" w:name="_Toc23833"/>
      <w:bookmarkStart w:id="872" w:name="_Toc20646"/>
      <w:r>
        <w:t>6.5A.4.2</w:t>
      </w:r>
      <w:r>
        <w:tab/>
      </w:r>
      <w:r>
        <w:t>Transmitter Spurious emissions</w:t>
      </w:r>
      <w:bookmarkEnd w:id="864"/>
      <w:bookmarkEnd w:id="865"/>
      <w:bookmarkEnd w:id="866"/>
      <w:bookmarkEnd w:id="867"/>
      <w:bookmarkEnd w:id="868"/>
      <w:r>
        <w:rPr>
          <w:rFonts w:hint="eastAsia"/>
        </w:rPr>
        <w:t xml:space="preserve"> for category M1</w:t>
      </w:r>
      <w:bookmarkEnd w:id="869"/>
      <w:bookmarkEnd w:id="870"/>
      <w:bookmarkEnd w:id="871"/>
      <w:bookmarkEnd w:id="872"/>
    </w:p>
    <w:p>
      <w:pPr>
        <w:pStyle w:val="112"/>
        <w:rPr>
          <w:lang w:val="en-US"/>
        </w:rPr>
      </w:pPr>
      <w:r>
        <w:t>Editor’s Note: Addition to applicability spec is pending.</w:t>
      </w:r>
    </w:p>
    <w:p>
      <w:pPr>
        <w:pStyle w:val="9"/>
        <w:rPr>
          <w:sz w:val="22"/>
          <w:lang w:eastAsia="en-GB"/>
        </w:rPr>
      </w:pPr>
      <w:r>
        <w:rPr>
          <w:sz w:val="22"/>
          <w:lang w:eastAsia="en-GB"/>
        </w:rPr>
        <w:t>6.5A.4.2.1</w:t>
      </w:r>
      <w:r>
        <w:rPr>
          <w:sz w:val="22"/>
          <w:lang w:eastAsia="en-GB"/>
        </w:rPr>
        <w:tab/>
      </w:r>
      <w:r>
        <w:rPr>
          <w:sz w:val="22"/>
          <w:lang w:eastAsia="en-GB"/>
        </w:rPr>
        <w:t>Test purpose</w:t>
      </w:r>
    </w:p>
    <w:p>
      <w:pPr>
        <w:rPr>
          <w:lang w:eastAsia="en-GB"/>
        </w:rPr>
      </w:pPr>
      <w:r>
        <w:rPr>
          <w:lang w:eastAsia="en-GB"/>
        </w:rPr>
        <w:t>To verify that UE transmitter does not cause unacceptable interference to other channels or other systems in terms of transmitter spurious emissions.</w:t>
      </w:r>
    </w:p>
    <w:p>
      <w:pPr>
        <w:pStyle w:val="9"/>
        <w:rPr>
          <w:sz w:val="22"/>
          <w:lang w:eastAsia="en-GB"/>
        </w:rPr>
      </w:pPr>
      <w:r>
        <w:rPr>
          <w:sz w:val="22"/>
          <w:lang w:eastAsia="en-GB"/>
        </w:rPr>
        <w:t>6.5A.4.2.2</w:t>
      </w:r>
      <w:r>
        <w:rPr>
          <w:sz w:val="22"/>
          <w:lang w:eastAsia="en-GB"/>
        </w:rPr>
        <w:tab/>
      </w:r>
      <w:r>
        <w:rPr>
          <w:sz w:val="22"/>
          <w:lang w:eastAsia="en-GB"/>
        </w:rPr>
        <w:t>Test applicability</w:t>
      </w:r>
    </w:p>
    <w:p>
      <w:pPr>
        <w:rPr>
          <w:lang w:eastAsia="en-GB"/>
        </w:rPr>
      </w:pPr>
      <w:r>
        <w:rPr>
          <w:lang w:eastAsia="en-GB"/>
        </w:rPr>
        <w:t>This test case applies to all types of E-UTRA UE release 13 and forward of UE category M1 that support satellite access operation.</w:t>
      </w:r>
    </w:p>
    <w:p>
      <w:pPr>
        <w:pStyle w:val="9"/>
        <w:rPr>
          <w:sz w:val="22"/>
          <w:lang w:eastAsia="en-GB"/>
        </w:rPr>
      </w:pPr>
      <w:r>
        <w:rPr>
          <w:sz w:val="22"/>
          <w:lang w:eastAsia="en-GB"/>
        </w:rPr>
        <w:t>6.5A.4.2.3</w:t>
      </w:r>
      <w:r>
        <w:rPr>
          <w:sz w:val="22"/>
          <w:lang w:eastAsia="en-GB"/>
        </w:rPr>
        <w:tab/>
      </w:r>
      <w:r>
        <w:rPr>
          <w:sz w:val="22"/>
          <w:lang w:eastAsia="en-GB"/>
        </w:rPr>
        <w:t>Minimum conformance requirements</w:t>
      </w:r>
    </w:p>
    <w:p>
      <w:pPr>
        <w:rPr>
          <w:rFonts w:eastAsia="MS Mincho"/>
          <w:lang w:eastAsia="en-GB"/>
        </w:rPr>
      </w:pPr>
      <w:r>
        <w:rPr>
          <w:lang w:eastAsia="en-GB"/>
        </w:rPr>
        <w:t xml:space="preserve">This clause specifies the requirements for the specified E-UTRA band for Transmitter Spurious emissions requirement with </w:t>
      </w:r>
      <w:r>
        <w:rPr>
          <w:rFonts w:eastAsia="MS Mincho"/>
          <w:lang w:eastAsia="en-GB"/>
        </w:rPr>
        <w:t>f</w:t>
      </w:r>
      <w:r>
        <w:rPr>
          <w:lang w:eastAsia="en-GB"/>
        </w:rPr>
        <w:t xml:space="preserve">requency </w:t>
      </w:r>
      <w:r>
        <w:rPr>
          <w:rFonts w:eastAsia="MS Mincho"/>
          <w:lang w:eastAsia="en-GB"/>
        </w:rPr>
        <w:t>r</w:t>
      </w:r>
      <w:r>
        <w:rPr>
          <w:lang w:eastAsia="en-GB"/>
        </w:rPr>
        <w:t xml:space="preserve">ange as indicated </w:t>
      </w:r>
      <w:r>
        <w:rPr>
          <w:rFonts w:eastAsia="MS Mincho"/>
          <w:lang w:eastAsia="en-GB"/>
        </w:rPr>
        <w:t xml:space="preserve">in </w:t>
      </w:r>
      <w:r>
        <w:rPr>
          <w:lang w:eastAsia="en-GB"/>
        </w:rPr>
        <w:t>table 6.5A.4.2.3-2</w:t>
      </w:r>
      <w:r>
        <w:rPr>
          <w:rFonts w:eastAsia="MS Mincho"/>
          <w:lang w:eastAsia="en-GB"/>
        </w:rPr>
        <w:t>.</w:t>
      </w:r>
    </w:p>
    <w:p>
      <w:pPr>
        <w:rPr>
          <w:rFonts w:eastAsia="MS Mincho"/>
          <w:lang w:eastAsia="en-GB"/>
        </w:rPr>
      </w:pPr>
      <w:r>
        <w:rPr>
          <w:rFonts w:cs="v5.0.0"/>
          <w:snapToGrid w:val="0"/>
          <w:lang w:eastAsia="en-GB"/>
        </w:rPr>
        <w:t xml:space="preserve">The spurious emission limits apply for the frequency ranges that are more than </w:t>
      </w:r>
      <w:r>
        <w:rPr>
          <w:lang w:eastAsia="en-GB"/>
        </w:rPr>
        <w:t>Δf</w:t>
      </w:r>
      <w:r>
        <w:rPr>
          <w:vertAlign w:val="subscript"/>
          <w:lang w:eastAsia="en-GB"/>
        </w:rPr>
        <w:t>OOB</w:t>
      </w:r>
      <w:r>
        <w:rPr>
          <w:lang w:eastAsia="en-GB"/>
        </w:rPr>
        <w:t xml:space="preserve"> (MHz) from the edge of the channel bandwidth.</w:t>
      </w:r>
    </w:p>
    <w:p>
      <w:pPr>
        <w:pStyle w:val="100"/>
        <w:ind w:left="900" w:hangingChars="450"/>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pStyle w:val="113"/>
        <w:rPr>
          <w:lang w:eastAsia="en-GB"/>
        </w:rPr>
      </w:pPr>
      <w:r>
        <w:rPr>
          <w:lang w:eastAsia="en-GB"/>
        </w:rPr>
        <w:t>Table 6.5A.4.2.3-1: Δf</w:t>
      </w:r>
      <w:r>
        <w:rPr>
          <w:vertAlign w:val="subscript"/>
          <w:lang w:eastAsia="en-GB"/>
        </w:rPr>
        <w:t>OOB</w:t>
      </w:r>
      <w:r>
        <w:rPr>
          <w:lang w:eastAsia="en-GB"/>
        </w:rPr>
        <w:t xml:space="preserve"> boundary between E-UTRA channel and spurious emission domain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59"/>
        <w:gridCol w:w="1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9" w:type="dxa"/>
          </w:tcPr>
          <w:p>
            <w:pPr>
              <w:keepNext/>
              <w:keepLines/>
              <w:spacing w:after="0"/>
              <w:jc w:val="center"/>
              <w:rPr>
                <w:rFonts w:ascii="Arial" w:hAnsi="Arial"/>
                <w:b/>
                <w:sz w:val="18"/>
              </w:rPr>
            </w:pPr>
            <w:r>
              <w:rPr>
                <w:rFonts w:ascii="Arial" w:hAnsi="Arial"/>
                <w:b/>
                <w:sz w:val="18"/>
              </w:rPr>
              <w:t xml:space="preserve">Channel bandwidth </w:t>
            </w:r>
          </w:p>
        </w:tc>
        <w:tc>
          <w:tcPr>
            <w:tcW w:w="1911" w:type="dxa"/>
          </w:tcPr>
          <w:p>
            <w:pPr>
              <w:keepNext/>
              <w:keepLines/>
              <w:spacing w:after="0"/>
              <w:jc w:val="center"/>
              <w:rPr>
                <w:rFonts w:ascii="Arial" w:hAnsi="Arial"/>
                <w:b/>
                <w:sz w:val="18"/>
              </w:rPr>
            </w:pPr>
            <w:r>
              <w:rPr>
                <w:rFonts w:ascii="Arial" w:hAnsi="Arial"/>
                <w:b/>
                <w:sz w:val="18"/>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9" w:type="dxa"/>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c>
          <w:tcPr>
            <w:tcW w:w="1911" w:type="dxa"/>
          </w:tcPr>
          <w:p>
            <w:pPr>
              <w:keepNext/>
              <w:keepLines/>
              <w:spacing w:after="0"/>
              <w:jc w:val="center"/>
              <w:rPr>
                <w:rFonts w:ascii="Arial" w:hAnsi="Arial"/>
                <w:sz w:val="18"/>
              </w:rPr>
            </w:pPr>
            <w:r>
              <w:rPr>
                <w:rFonts w:ascii="Arial" w:hAnsi="Arial"/>
                <w:sz w:val="18"/>
              </w:rPr>
              <w:t>2.8</w:t>
            </w:r>
          </w:p>
        </w:tc>
      </w:tr>
    </w:tbl>
    <w:p>
      <w:pPr>
        <w:rPr>
          <w:lang w:eastAsia="en-GB"/>
        </w:rPr>
      </w:pPr>
    </w:p>
    <w:p>
      <w:pPr>
        <w:rPr>
          <w:rFonts w:eastAsia="MS Mincho"/>
          <w:lang w:eastAsia="en-GB"/>
        </w:rPr>
      </w:pPr>
      <w:r>
        <w:rPr>
          <w:rFonts w:cs="v5.0.0"/>
          <w:snapToGrid w:val="0"/>
          <w:lang w:eastAsia="en-GB"/>
        </w:rPr>
        <w:t>The spurious emission limits in</w:t>
      </w:r>
      <w:r>
        <w:rPr>
          <w:rFonts w:cs="v5.0.0"/>
          <w:lang w:eastAsia="en-GB"/>
        </w:rPr>
        <w:t xml:space="preserve"> Table 6.5A.4.2.3-2</w:t>
      </w:r>
      <w:r>
        <w:rPr>
          <w:rFonts w:cs="v5.0.0"/>
          <w:snapToGrid w:val="0"/>
          <w:lang w:eastAsia="en-GB"/>
        </w:rPr>
        <w:t xml:space="preserve"> </w:t>
      </w:r>
      <w:r>
        <w:rPr>
          <w:lang w:eastAsia="en-GB"/>
        </w:rPr>
        <w:t>apply for all transmitter band configurations (RB) and channel bandwidths.</w:t>
      </w:r>
    </w:p>
    <w:p>
      <w:pPr>
        <w:pStyle w:val="113"/>
        <w:rPr>
          <w:lang w:eastAsia="en-GB"/>
        </w:rPr>
      </w:pPr>
      <w:r>
        <w:rPr>
          <w:lang w:eastAsia="en-GB"/>
        </w:rPr>
        <w:t>Table 6.5A.4.2.3-2: Spurious emissions limits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2"/>
        <w:gridCol w:w="1522"/>
        <w:gridCol w:w="22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v5.0.0"/>
                <w:b/>
                <w:sz w:val="18"/>
              </w:rPr>
            </w:pPr>
            <w:r>
              <w:rPr>
                <w:rFonts w:ascii="Arial" w:hAnsi="Arial" w:cs="Arial"/>
                <w:b/>
                <w:sz w:val="18"/>
              </w:rPr>
              <w:t>Frequency Range</w:t>
            </w:r>
          </w:p>
        </w:tc>
        <w:tc>
          <w:tcPr>
            <w:tcW w:w="1522" w:type="dxa"/>
          </w:tcPr>
          <w:p>
            <w:pPr>
              <w:keepNext/>
              <w:keepLines/>
              <w:spacing w:after="0"/>
              <w:jc w:val="center"/>
              <w:rPr>
                <w:rFonts w:ascii="Arial" w:hAnsi="Arial" w:cs="v5.0.0"/>
                <w:b/>
                <w:sz w:val="18"/>
              </w:rPr>
            </w:pPr>
            <w:r>
              <w:rPr>
                <w:rFonts w:ascii="Arial" w:hAnsi="Arial" w:cs="Arial"/>
                <w:b/>
                <w:sz w:val="18"/>
              </w:rPr>
              <w:t>Maximum Level</w:t>
            </w:r>
          </w:p>
        </w:tc>
        <w:tc>
          <w:tcPr>
            <w:tcW w:w="2262" w:type="dxa"/>
          </w:tcPr>
          <w:p>
            <w:pPr>
              <w:keepNext/>
              <w:keepLines/>
              <w:spacing w:after="0"/>
              <w:jc w:val="center"/>
              <w:rPr>
                <w:rFonts w:ascii="Arial" w:hAnsi="Arial" w:cs="v5.0.0"/>
                <w:b/>
                <w:sz w:val="18"/>
              </w:rPr>
            </w:pPr>
            <w:r>
              <w:rPr>
                <w:rFonts w:ascii="Arial" w:hAnsi="Arial" w:cs="Arial"/>
                <w:b/>
                <w:sz w:val="18"/>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9 kHz </w:t>
            </w:r>
            <w:r>
              <w:rPr>
                <w:rFonts w:ascii="Arial" w:hAnsi="Arial" w:cs="Arial"/>
                <w:sz w:val="18"/>
              </w:rPr>
              <w:sym w:font="Symbol" w:char="F0A3"/>
            </w:r>
            <w:r>
              <w:rPr>
                <w:rFonts w:ascii="Arial" w:hAnsi="Arial" w:cs="Arial"/>
                <w:sz w:val="18"/>
              </w:rPr>
              <w:t xml:space="preserve"> f &lt; 150 kHz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 xml:space="preserve">1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150 kHz </w:t>
            </w:r>
            <w:r>
              <w:rPr>
                <w:rFonts w:ascii="Arial" w:hAnsi="Arial" w:cs="Arial"/>
                <w:sz w:val="18"/>
              </w:rPr>
              <w:sym w:font="Symbol" w:char="F0A3"/>
            </w:r>
            <w:r>
              <w:rPr>
                <w:rFonts w:ascii="Arial" w:hAnsi="Arial" w:cs="Arial"/>
                <w:sz w:val="18"/>
              </w:rPr>
              <w:t xml:space="preserve"> f &lt; 30 MHz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 xml:space="preserve">10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30 MHz </w:t>
            </w:r>
            <w:r>
              <w:rPr>
                <w:rFonts w:ascii="Arial" w:hAnsi="Arial" w:cs="Arial"/>
                <w:sz w:val="18"/>
              </w:rPr>
              <w:sym w:font="Symbol" w:char="F0A3"/>
            </w:r>
            <w:r>
              <w:rPr>
                <w:rFonts w:ascii="Arial" w:hAnsi="Arial" w:cs="Arial"/>
                <w:sz w:val="18"/>
              </w:rPr>
              <w:t xml:space="preserve"> f &lt; 1000 MHz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100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1 GHz </w:t>
            </w:r>
            <w:r>
              <w:rPr>
                <w:rFonts w:ascii="Arial" w:hAnsi="Arial" w:cs="Arial"/>
                <w:sz w:val="18"/>
              </w:rPr>
              <w:sym w:font="Symbol" w:char="F0A3"/>
            </w:r>
            <w:r>
              <w:rPr>
                <w:rFonts w:ascii="Arial" w:hAnsi="Arial" w:cs="Arial"/>
                <w:sz w:val="18"/>
              </w:rPr>
              <w:t xml:space="preserve"> f &lt; 12.75 GHz</w:t>
            </w:r>
          </w:p>
        </w:tc>
        <w:tc>
          <w:tcPr>
            <w:tcW w:w="1522" w:type="dxa"/>
          </w:tcPr>
          <w:p>
            <w:pPr>
              <w:keepNext/>
              <w:keepLines/>
              <w:spacing w:after="0"/>
              <w:jc w:val="center"/>
              <w:rPr>
                <w:rFonts w:ascii="Arial" w:hAnsi="Arial" w:cs="Arial"/>
                <w:sz w:val="18"/>
              </w:rPr>
            </w:pPr>
            <w:r>
              <w:rPr>
                <w:rFonts w:ascii="Arial" w:hAnsi="Arial" w:cs="Arial"/>
                <w:sz w:val="18"/>
              </w:rPr>
              <w:t>-30 dBm</w:t>
            </w:r>
          </w:p>
        </w:tc>
        <w:tc>
          <w:tcPr>
            <w:tcW w:w="2262" w:type="dxa"/>
          </w:tcPr>
          <w:p>
            <w:pPr>
              <w:keepNext/>
              <w:keepLines/>
              <w:spacing w:after="0"/>
              <w:jc w:val="center"/>
              <w:rPr>
                <w:rFonts w:ascii="Arial" w:hAnsi="Arial" w:cs="Arial"/>
                <w:sz w:val="18"/>
              </w:rPr>
            </w:pPr>
            <w:r>
              <w:rPr>
                <w:rFonts w:ascii="Arial" w:hAnsi="Arial" w:cs="Arial"/>
                <w:sz w:val="18"/>
              </w:rPr>
              <w:t>1 MHz</w:t>
            </w:r>
          </w:p>
        </w:tc>
      </w:tr>
    </w:tbl>
    <w:p>
      <w:pPr>
        <w:rPr>
          <w:lang w:eastAsia="en-GB"/>
        </w:rPr>
      </w:pPr>
    </w:p>
    <w:p>
      <w:pPr>
        <w:rPr>
          <w:lang w:eastAsia="en-GB"/>
        </w:rPr>
      </w:pPr>
      <w:r>
        <w:rPr>
          <w:lang w:eastAsia="en-GB"/>
        </w:rPr>
        <w:t>The normative reference for this requirement is TS 36.102 [11] subclause 6.5A.4.2.</w:t>
      </w:r>
    </w:p>
    <w:p>
      <w:pPr>
        <w:pStyle w:val="9"/>
        <w:rPr>
          <w:sz w:val="22"/>
          <w:lang w:eastAsia="en-GB"/>
        </w:rPr>
      </w:pPr>
      <w:r>
        <w:rPr>
          <w:sz w:val="22"/>
          <w:lang w:eastAsia="en-GB"/>
        </w:rPr>
        <w:t>6.5A.4.2.4</w:t>
      </w:r>
      <w:r>
        <w:rPr>
          <w:sz w:val="22"/>
          <w:lang w:eastAsia="en-GB"/>
        </w:rPr>
        <w:tab/>
      </w:r>
      <w:r>
        <w:rPr>
          <w:sz w:val="22"/>
          <w:lang w:eastAsia="en-GB"/>
        </w:rPr>
        <w:t>Test description</w:t>
      </w:r>
    </w:p>
    <w:p>
      <w:pPr>
        <w:keepNext/>
        <w:keepLines/>
        <w:spacing w:before="120"/>
        <w:ind w:left="1985" w:hanging="1985"/>
        <w:rPr>
          <w:rFonts w:ascii="Arial" w:hAnsi="Arial"/>
          <w:lang w:eastAsia="en-GB"/>
        </w:rPr>
      </w:pPr>
      <w:r>
        <w:rPr>
          <w:rFonts w:ascii="Arial" w:hAnsi="Arial"/>
          <w:lang w:eastAsia="en-GB"/>
        </w:rPr>
        <w:t>6.5A.4.2.4.1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r>
        <w:rPr>
          <w:rFonts w:cs="v5.0.0"/>
          <w:lang w:eastAsia="en-GB"/>
        </w:rPr>
        <w:t>Configurations of PDSCH and MPDCCH before measurement are specified in Annex C.2.</w:t>
      </w:r>
    </w:p>
    <w:p>
      <w:pPr>
        <w:keepNext/>
        <w:keepLines/>
        <w:spacing w:before="60"/>
        <w:jc w:val="center"/>
        <w:rPr>
          <w:rFonts w:ascii="Arial" w:hAnsi="Arial"/>
          <w:b/>
          <w:lang w:eastAsia="en-GB"/>
        </w:rPr>
      </w:pPr>
      <w:r>
        <w:rPr>
          <w:rFonts w:ascii="Arial" w:hAnsi="Arial"/>
          <w:b/>
          <w:lang w:eastAsia="en-GB"/>
        </w:rPr>
        <w:t>Table 6.5A.4.2.4.1-1: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21"/>
        <w:gridCol w:w="597"/>
        <w:gridCol w:w="1724"/>
        <w:gridCol w:w="3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7"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5839"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bCs/>
                <w:sz w:val="18"/>
              </w:rPr>
            </w:pPr>
            <w:r>
              <w:rPr>
                <w:rFonts w:ascii="Arial" w:hAnsi="Arial"/>
                <w:bCs/>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7"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rPr>
                <w:rFonts w:ascii="Arial" w:hAnsi="Arial"/>
                <w:sz w:val="18"/>
              </w:rPr>
            </w:pPr>
            <w:r>
              <w:rPr>
                <w:rFonts w:ascii="Arial" w:hAnsi="Arial"/>
                <w:sz w:val="18"/>
              </w:rPr>
              <w:t>TS 36.508 [12] subclause 4.3.1</w:t>
            </w:r>
          </w:p>
        </w:tc>
        <w:tc>
          <w:tcPr>
            <w:tcW w:w="5839"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bCs/>
                <w:sz w:val="18"/>
              </w:rPr>
            </w:pPr>
            <w:r>
              <w:rPr>
                <w:rFonts w:ascii="Arial" w:hAnsi="Arial"/>
                <w:bCs/>
                <w:sz w:val="18"/>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7"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Channel Bandwidths</w:t>
            </w:r>
            <w:r>
              <w:rPr>
                <w:rFonts w:ascii="Arial" w:hAnsi="Arial"/>
                <w:sz w:val="18"/>
              </w:rPr>
              <w:t xml:space="preserve"> </w:t>
            </w:r>
            <w:r>
              <w:rPr>
                <w:rFonts w:ascii="Arial" w:hAnsi="Arial"/>
                <w:bCs/>
                <w:sz w:val="18"/>
              </w:rPr>
              <w:t>as specified in</w:t>
            </w:r>
          </w:p>
          <w:p>
            <w:pPr>
              <w:keepNext/>
              <w:keepLines/>
              <w:spacing w:after="0"/>
              <w:rPr>
                <w:rFonts w:ascii="Arial" w:hAnsi="Arial"/>
                <w:sz w:val="18"/>
              </w:rPr>
            </w:pPr>
            <w:r>
              <w:rPr>
                <w:rFonts w:ascii="Arial" w:hAnsi="Arial"/>
                <w:sz w:val="18"/>
              </w:rPr>
              <w:t>TS 36.508 [12] subclause 4.3.1</w:t>
            </w:r>
          </w:p>
        </w:tc>
        <w:tc>
          <w:tcPr>
            <w:tcW w:w="5839"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bCs/>
                <w:sz w:val="18"/>
              </w:rPr>
            </w:pPr>
            <w:r>
              <w:rPr>
                <w:rFonts w:ascii="Arial" w:hAnsi="Arial"/>
                <w:bCs/>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291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5242"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1166" w:type="dxa"/>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Ch BW</w:t>
            </w:r>
          </w:p>
        </w:tc>
        <w:tc>
          <w:tcPr>
            <w:tcW w:w="2918" w:type="dxa"/>
            <w:gridSpan w:val="2"/>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N/A</w:t>
            </w:r>
          </w:p>
        </w:tc>
        <w:tc>
          <w:tcPr>
            <w:tcW w:w="1724" w:type="dxa"/>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Mod'n</w:t>
            </w: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918"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724"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lang w:eastAsia="en-GB"/>
              </w:rPr>
              <w:t>1.4MHz</w:t>
            </w:r>
          </w:p>
        </w:tc>
        <w:tc>
          <w:tcPr>
            <w:tcW w:w="2918" w:type="dxa"/>
            <w:gridSpan w:val="2"/>
            <w:tcBorders>
              <w:left w:val="single" w:color="auto" w:sz="4" w:space="0"/>
              <w:right w:val="single" w:color="auto" w:sz="4" w:space="0"/>
            </w:tcBorders>
            <w:vAlign w:val="center"/>
          </w:tcPr>
          <w:p>
            <w:pPr>
              <w:keepNext/>
              <w:keepLines/>
              <w:spacing w:after="0"/>
              <w:jc w:val="center"/>
              <w:rPr>
                <w:rFonts w:ascii="Arial" w:hAnsi="Arial"/>
                <w:sz w:val="18"/>
              </w:rPr>
            </w:pPr>
          </w:p>
        </w:tc>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lang w:eastAsia="en-GB"/>
              </w:rPr>
              <w:t>π/2-BPSK</w:t>
            </w:r>
          </w:p>
        </w:tc>
        <w:tc>
          <w:tcPr>
            <w:tcW w:w="3518" w:type="dxa"/>
            <w:tcBorders>
              <w:top w:val="single" w:color="auto" w:sz="4" w:space="0"/>
              <w:left w:val="single" w:color="auto" w:sz="4" w:space="0"/>
              <w:bottom w:val="single" w:color="auto" w:sz="4" w:space="0"/>
            </w:tcBorders>
          </w:tcPr>
          <w:p>
            <w:pPr>
              <w:keepNext/>
              <w:keepLines/>
              <w:spacing w:after="0"/>
              <w:jc w:val="center"/>
              <w:rPr>
                <w:rFonts w:ascii="Arial" w:hAnsi="Arial"/>
                <w:sz w:val="18"/>
              </w:rPr>
            </w:pPr>
            <w:r>
              <w:rPr>
                <w:rFonts w:ascii="Arial" w:hAnsi="Arial"/>
                <w:sz w:val="18"/>
                <w:lang w:eastAsia="en-GB"/>
              </w:rPr>
              <w:t>¼ (Note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8" w:type="dxa"/>
            <w:gridSpan w:val="2"/>
            <w:vMerge w:val="restart"/>
            <w:tcBorders>
              <w:left w:val="single" w:color="auto" w:sz="4" w:space="0"/>
              <w:right w:val="single" w:color="auto" w:sz="4" w:space="0"/>
            </w:tcBorders>
            <w:vAlign w:val="center"/>
          </w:tcPr>
          <w:p>
            <w:pPr>
              <w:keepNext/>
              <w:keepLines/>
              <w:spacing w:after="0"/>
              <w:jc w:val="center"/>
              <w:rPr>
                <w:rFonts w:ascii="Arial" w:hAnsi="Arial"/>
                <w:sz w:val="18"/>
                <w:lang w:eastAsia="en-GB"/>
              </w:rPr>
            </w:pPr>
            <w:r>
              <w:rPr>
                <w:rFonts w:ascii="Arial" w:hAnsi="Arial"/>
                <w:sz w:val="18"/>
              </w:rPr>
              <w:t>N/A</w:t>
            </w:r>
          </w:p>
        </w:tc>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8" w:type="dxa"/>
            <w:gridSpan w:val="2"/>
            <w:vMerge w:val="continue"/>
            <w:tcBorders>
              <w:left w:val="single" w:color="auto" w:sz="4" w:space="0"/>
              <w:right w:val="single" w:color="auto" w:sz="4" w:space="0"/>
            </w:tcBorders>
            <w:vAlign w:val="center"/>
          </w:tcPr>
          <w:p>
            <w:pPr>
              <w:spacing w:after="0"/>
              <w:rPr>
                <w:rFonts w:ascii="Arial" w:hAnsi="Arial"/>
                <w:sz w:val="18"/>
                <w:lang w:eastAsia="en-GB"/>
              </w:rPr>
            </w:pPr>
          </w:p>
        </w:tc>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lang w:eastAsia="en-GB"/>
              </w:rPr>
              <w:t>Note 1:</w:t>
            </w:r>
            <w:r>
              <w:rPr>
                <w:rFonts w:ascii="Arial" w:hAnsi="Arial"/>
                <w:sz w:val="18"/>
                <w:lang w:eastAsia="en-GB"/>
              </w:rPr>
              <w:tab/>
            </w:r>
            <w:r>
              <w:rPr>
                <w:rFonts w:ascii="Arial" w:hAnsi="Arial"/>
                <w:sz w:val="18"/>
                <w:lang w:eastAsia="en-GB"/>
              </w:rPr>
              <w:t>Test Channel Bandwidths are checked separately for each E-UTRA band, the applicable channel bandwidths are specified in Table 5.4.2.1-1.</w:t>
            </w:r>
          </w:p>
          <w:p>
            <w:pPr>
              <w:keepNext/>
              <w:keepLines/>
              <w:spacing w:after="0"/>
              <w:ind w:left="851" w:hanging="851"/>
              <w:rPr>
                <w:rFonts w:ascii="Arial" w:hAnsi="Arial"/>
                <w:sz w:val="18"/>
              </w:rPr>
            </w:pPr>
            <w:r>
              <w:rPr>
                <w:rFonts w:ascii="Arial" w:hAnsi="Arial"/>
                <w:sz w:val="18"/>
              </w:rPr>
              <w:t>Note 2:</w:t>
            </w:r>
            <w:r>
              <w:rPr>
                <w:rFonts w:ascii="Arial" w:hAnsi="Arial"/>
                <w:sz w:val="18"/>
              </w:rPr>
              <w:tab/>
            </w:r>
            <w:r>
              <w:rPr>
                <w:rFonts w:ascii="Arial" w:hAnsi="Arial"/>
                <w:sz w:val="18"/>
              </w:rPr>
              <w:t>The RB</w:t>
            </w:r>
            <w:r>
              <w:rPr>
                <w:rFonts w:ascii="Arial" w:hAnsi="Arial"/>
                <w:sz w:val="18"/>
                <w:vertAlign w:val="subscript"/>
              </w:rPr>
              <w:t>start</w:t>
            </w:r>
            <w:r>
              <w:rPr>
                <w:rFonts w:ascii="Arial" w:hAnsi="Arial"/>
                <w:sz w:val="18"/>
              </w:rPr>
              <w:t xml:space="preserve"> of partial RB allocation shall be RB#0 and RB# (6 - RB allocation) of the narrowband.</w:t>
            </w:r>
          </w:p>
          <w:p>
            <w:pPr>
              <w:keepNext/>
              <w:keepLines/>
              <w:spacing w:after="0"/>
              <w:ind w:left="851" w:hanging="851"/>
              <w:rPr>
                <w:rFonts w:ascii="Arial" w:hAnsi="Arial"/>
                <w:sz w:val="18"/>
              </w:rPr>
            </w:pPr>
            <w:r>
              <w:rPr>
                <w:rFonts w:ascii="Arial" w:hAnsi="Arial"/>
                <w:sz w:val="18"/>
              </w:rPr>
              <w:t>Note 3:</w:t>
            </w:r>
            <w:r>
              <w:rPr>
                <w:rFonts w:ascii="Arial" w:hAnsi="Arial"/>
                <w:sz w:val="18"/>
              </w:rPr>
              <w:tab/>
            </w:r>
            <w:r>
              <w:rPr>
                <w:rFonts w:ascii="Arial" w:hAnsi="Arial"/>
                <w:sz w:val="18"/>
              </w:rPr>
              <w:t>Only applicable for UE supporting subPRB allocation.</w:t>
            </w:r>
          </w:p>
        </w:tc>
      </w:tr>
    </w:tbl>
    <w:p>
      <w:pPr>
        <w:rPr>
          <w:lang w:eastAsia="en-GB"/>
        </w:rPr>
      </w:pPr>
    </w:p>
    <w:p>
      <w:pPr>
        <w:ind w:left="568" w:hanging="284"/>
        <w:rPr>
          <w:lang w:eastAsia="en-GB"/>
        </w:rPr>
      </w:pPr>
      <w:r>
        <w:rPr>
          <w:lang w:eastAsia="en-GB"/>
        </w:rPr>
        <w:t>1.</w:t>
      </w:r>
      <w:r>
        <w:rPr>
          <w:lang w:eastAsia="en-GB"/>
        </w:rPr>
        <w:tab/>
      </w:r>
      <w:r>
        <w:rPr>
          <w:lang w:eastAsia="en-GB"/>
        </w:rPr>
        <w:t>Connect SS to the UE antenna connectors as shown in TS 36.508[12] Annex A Figure A.7 using only main UE Tx/Rx antenna.</w:t>
      </w:r>
    </w:p>
    <w:p>
      <w:pPr>
        <w:ind w:left="568" w:hanging="284"/>
        <w:rPr>
          <w:lang w:eastAsia="en-GB"/>
        </w:rPr>
      </w:pPr>
      <w:r>
        <w:rPr>
          <w:lang w:eastAsia="en-GB"/>
        </w:rPr>
        <w:t>2.</w:t>
      </w:r>
      <w:r>
        <w:rPr>
          <w:lang w:eastAsia="en-GB"/>
        </w:rPr>
        <w:tab/>
      </w:r>
      <w:r>
        <w:rPr>
          <w:lang w:eastAsia="en-GB"/>
        </w:rPr>
        <w:t>The parameter settings for the cell are set up according to TS 36.508 [12] subclause 4.4.3.</w:t>
      </w:r>
    </w:p>
    <w:p>
      <w:pPr>
        <w:ind w:left="568" w:hanging="284"/>
        <w:rPr>
          <w:lang w:eastAsia="en-GB"/>
        </w:rPr>
      </w:pPr>
      <w:r>
        <w:rPr>
          <w:lang w:eastAsia="en-GB"/>
        </w:rPr>
        <w:t>3.</w:t>
      </w:r>
      <w:r>
        <w:rPr>
          <w:lang w:eastAsia="en-GB"/>
        </w:rPr>
        <w:tab/>
      </w:r>
      <w:r>
        <w:rPr>
          <w:lang w:eastAsia="en-GB"/>
        </w:rPr>
        <w:t xml:space="preserve">Downlink signals are initially set up according to Annex </w:t>
      </w:r>
      <w:r>
        <w:rPr>
          <w:lang w:eastAsia="ko-KR"/>
        </w:rPr>
        <w:t xml:space="preserve">C0, </w:t>
      </w:r>
      <w:r>
        <w:rPr>
          <w:lang w:eastAsia="en-GB"/>
        </w:rPr>
        <w:t>C.1 and C.3.0, and uplink signals according to Annex H.1 and H.3.0.</w:t>
      </w:r>
    </w:p>
    <w:p>
      <w:pPr>
        <w:ind w:left="568" w:hanging="284"/>
        <w:rPr>
          <w:lang w:eastAsia="en-GB"/>
        </w:rPr>
      </w:pPr>
      <w:r>
        <w:rPr>
          <w:lang w:eastAsia="en-GB"/>
        </w:rPr>
        <w:t>4.</w:t>
      </w:r>
      <w:r>
        <w:rPr>
          <w:lang w:eastAsia="en-GB"/>
        </w:rPr>
        <w:tab/>
      </w:r>
      <w:r>
        <w:rPr>
          <w:lang w:eastAsia="en-GB"/>
        </w:rPr>
        <w:t>The UL Reference Measurement channels are set according to Table 6.5A.4.2.4.1-1.</w:t>
      </w:r>
    </w:p>
    <w:p>
      <w:pPr>
        <w:ind w:left="568" w:hanging="284"/>
        <w:rPr>
          <w:lang w:eastAsia="en-GB"/>
        </w:rPr>
      </w:pPr>
      <w:r>
        <w:rPr>
          <w:lang w:eastAsia="en-GB"/>
        </w:rPr>
        <w:t>5.</w:t>
      </w:r>
      <w:r>
        <w:rPr>
          <w:lang w:eastAsia="en-GB"/>
        </w:rPr>
        <w:tab/>
      </w:r>
      <w:r>
        <w:rPr>
          <w:lang w:eastAsia="en-GB"/>
        </w:rPr>
        <w:t>Propagation conditions are set according to Annex B.0.</w:t>
      </w:r>
    </w:p>
    <w:p>
      <w:pPr>
        <w:ind w:left="568" w:hanging="284"/>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pPr>
        <w:ind w:left="568" w:hanging="284"/>
      </w:pPr>
      <w:r>
        <w:rPr>
          <w:rFonts w:hint="eastAsia"/>
          <w:lang w:eastAsia="en-GB"/>
        </w:rPr>
        <w:t>7</w:t>
      </w:r>
      <w:r>
        <w:rPr>
          <w:lang w:eastAsia="en-GB"/>
        </w:rPr>
        <w:t>.</w:t>
      </w:r>
      <w:r>
        <w:rPr>
          <w:lang w:eastAsia="en-GB"/>
        </w:rPr>
        <w:tab/>
      </w:r>
      <w:r>
        <w:t>Test equipment shall em</w:t>
      </w:r>
      <w:r>
        <w:rPr>
          <w:color w:val="000000" w:themeColor="text1"/>
          <w14:textFill>
            <w14:solidFill>
              <w14:schemeClr w14:val="tx1"/>
            </w14:solidFill>
          </w14:textFill>
        </w:rPr>
        <w:t xml:space="preserve">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duration of the test as define in TS 36.508[12] clause 5.6.3.1</w:t>
      </w:r>
    </w:p>
    <w:p>
      <w:pPr>
        <w:ind w:left="568" w:hanging="284"/>
        <w:rPr>
          <w:lang w:eastAsia="en-GB"/>
        </w:rPr>
      </w:pPr>
      <w:r>
        <w:rPr>
          <w:rFonts w:hint="eastAsia"/>
        </w:rPr>
        <w:t>8</w:t>
      </w:r>
      <w:r>
        <w:t>.</w:t>
      </w:r>
      <w:r>
        <w:tab/>
      </w:r>
      <w:r>
        <w:t>Deactivate UE prediction of satellite trajectory by any preconfigured means</w:t>
      </w:r>
    </w:p>
    <w:p>
      <w:pPr>
        <w:ind w:left="568" w:hanging="284"/>
        <w:rPr>
          <w:lang w:eastAsia="en-GB"/>
        </w:rPr>
      </w:pPr>
      <w:r>
        <w:rPr>
          <w:lang w:eastAsia="en-GB"/>
        </w:rPr>
        <w:t>9.</w:t>
      </w:r>
      <w:r>
        <w:rPr>
          <w:lang w:eastAsia="en-GB"/>
        </w:rPr>
        <w:tab/>
      </w:r>
      <w:r>
        <w:rPr>
          <w:lang w:eastAsia="en-GB"/>
        </w:rPr>
        <w:t xml:space="preserve">Ensure the UE is in State 3A-RF-CE according to TS 36.508 [12] clause </w:t>
      </w:r>
      <w:r>
        <w:rPr>
          <w:rFonts w:eastAsia="MS Mincho"/>
          <w:lang w:eastAsia="en-GB"/>
        </w:rPr>
        <w:t>5.2A.2AA</w:t>
      </w:r>
      <w:r>
        <w:rPr>
          <w:lang w:eastAsia="en-GB"/>
        </w:rPr>
        <w:t>. Message contents are defined in clause 6.5A.4.2.4.3.</w:t>
      </w:r>
    </w:p>
    <w:p>
      <w:pPr>
        <w:keepNext/>
        <w:keepLines/>
        <w:spacing w:before="120"/>
        <w:ind w:left="1985" w:hanging="1985"/>
        <w:rPr>
          <w:rFonts w:ascii="Arial" w:hAnsi="Arial"/>
          <w:snapToGrid w:val="0"/>
          <w:lang w:eastAsia="en-GB"/>
        </w:rPr>
      </w:pPr>
      <w:r>
        <w:rPr>
          <w:rFonts w:ascii="Arial" w:hAnsi="Arial"/>
          <w:lang w:eastAsia="en-GB"/>
        </w:rPr>
        <w:t>6.5A.4.2.4.2</w:t>
      </w:r>
      <w:r>
        <w:rPr>
          <w:rFonts w:ascii="Arial" w:hAnsi="Arial"/>
          <w:lang w:eastAsia="en-GB"/>
        </w:rPr>
        <w:tab/>
      </w:r>
      <w:r>
        <w:rPr>
          <w:rFonts w:ascii="Arial" w:hAnsi="Arial"/>
          <w:snapToGrid w:val="0"/>
          <w:lang w:eastAsia="en-GB"/>
        </w:rPr>
        <w:t>Test procedure</w:t>
      </w:r>
    </w:p>
    <w:p>
      <w:pPr>
        <w:ind w:left="568" w:hanging="284"/>
        <w:rPr>
          <w:lang w:eastAsia="en-GB"/>
        </w:rPr>
      </w:pPr>
      <w:r>
        <w:rPr>
          <w:lang w:eastAsia="en-GB"/>
        </w:rPr>
        <w:t>1.</w:t>
      </w:r>
      <w:r>
        <w:rPr>
          <w:lang w:eastAsia="en-GB"/>
        </w:rPr>
        <w:tab/>
      </w:r>
      <w:r>
        <w:rPr>
          <w:lang w:eastAsia="en-GB"/>
        </w:rPr>
        <w:t>SS sends uplink scheduling information for each UL HARQ process via MPDCCH DCI format 6-0A for C_RNTI to schedule the UL RMC according to Table 6.5A.4.2.4.1-1. Since the UE has no payload data</w:t>
      </w:r>
      <w:r>
        <w:rPr>
          <w:color w:val="FFFF00"/>
          <w:lang w:eastAsia="en-GB"/>
        </w:rPr>
        <w:t xml:space="preserve"> </w:t>
      </w:r>
      <w:r>
        <w:rPr>
          <w:lang w:eastAsia="en-GB"/>
        </w:rPr>
        <w:t>to send, the UE transmits uplink MAC padding bits on the UL RMC.</w:t>
      </w:r>
    </w:p>
    <w:p>
      <w:pPr>
        <w:ind w:left="568" w:hanging="284"/>
        <w:rPr>
          <w:lang w:eastAsia="en-GB"/>
        </w:rPr>
      </w:pPr>
      <w:r>
        <w:rPr>
          <w:lang w:eastAsia="en-GB"/>
        </w:rPr>
        <w:t>2.</w:t>
      </w:r>
      <w:r>
        <w:rPr>
          <w:lang w:eastAsia="en-GB"/>
        </w:rPr>
        <w:tab/>
      </w:r>
      <w:r>
        <w:rPr>
          <w:lang w:eastAsia="en-GB"/>
        </w:rPr>
        <w:t xml:space="preserve">Send continuously uplink power control "up" commands </w:t>
      </w:r>
      <w:r>
        <w:rPr>
          <w:rFonts w:eastAsia="MS Mincho"/>
          <w:lang w:eastAsia="en-GB"/>
        </w:rPr>
        <w:t xml:space="preserve">in the uplink scheduling information </w:t>
      </w:r>
      <w:r>
        <w:rPr>
          <w:lang w:eastAsia="en-GB"/>
        </w:rPr>
        <w:t>to the UE until the UE transmits at P</w:t>
      </w:r>
      <w:r>
        <w:rPr>
          <w:vertAlign w:val="subscript"/>
          <w:lang w:eastAsia="en-GB"/>
        </w:rPr>
        <w:t>UMAX</w:t>
      </w:r>
      <w:r>
        <w:rPr>
          <w:lang w:eastAsia="en-GB"/>
        </w:rPr>
        <w:t xml:space="preserve"> level.</w:t>
      </w:r>
    </w:p>
    <w:p>
      <w:pPr>
        <w:ind w:left="568" w:hanging="284"/>
        <w:rPr>
          <w:lang w:eastAsia="en-GB"/>
        </w:rPr>
      </w:pPr>
      <w:r>
        <w:rPr>
          <w:lang w:eastAsia="en-GB"/>
        </w:rPr>
        <w:t>3.</w:t>
      </w:r>
      <w:r>
        <w:rPr>
          <w:lang w:eastAsia="en-GB"/>
        </w:rPr>
        <w:tab/>
      </w:r>
      <w:r>
        <w:rPr>
          <w:lang w:eastAsia="en-GB"/>
        </w:rPr>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Pr>
          <w:rFonts w:eastAsia="MS Mincho"/>
          <w:lang w:eastAsia="en-GB"/>
        </w:rPr>
        <w:t>time slot</w:t>
      </w:r>
      <w:r>
        <w:rPr>
          <w:lang w:eastAsia="en-GB"/>
        </w:rPr>
        <w:t>s. During measurement the spectrum analyser shall be set to 'Detector' = RMS.</w:t>
      </w:r>
    </w:p>
    <w:p>
      <w:pPr>
        <w:keepNext/>
        <w:keepLines/>
        <w:spacing w:before="120"/>
        <w:ind w:left="1985" w:hanging="1985"/>
        <w:rPr>
          <w:rFonts w:ascii="Arial" w:hAnsi="Arial"/>
          <w:snapToGrid w:val="0"/>
          <w:lang w:eastAsia="en-GB"/>
        </w:rPr>
      </w:pPr>
      <w:r>
        <w:rPr>
          <w:rFonts w:ascii="Arial" w:hAnsi="Arial"/>
          <w:lang w:eastAsia="en-GB"/>
        </w:rPr>
        <w:t>6.5A.4.2.4.3</w:t>
      </w:r>
      <w:r>
        <w:rPr>
          <w:rFonts w:ascii="Arial" w:hAnsi="Arial"/>
          <w:lang w:eastAsia="en-GB"/>
        </w:rPr>
        <w:tab/>
      </w:r>
      <w:r>
        <w:rPr>
          <w:rFonts w:ascii="Arial" w:hAnsi="Arial"/>
          <w:snapToGrid w:val="0"/>
          <w:lang w:eastAsia="en-GB"/>
        </w:rPr>
        <w:t>Message contents</w:t>
      </w:r>
    </w:p>
    <w:p>
      <w:pPr>
        <w:rPr>
          <w:lang w:eastAsia="en-GB"/>
        </w:rPr>
      </w:pPr>
      <w:r>
        <w:rPr>
          <w:lang w:eastAsia="en-GB"/>
        </w:rPr>
        <w:t>Message contents are according to TS 36.508 [12] subclause 4.6 with the condition CEmodeA.</w:t>
      </w:r>
    </w:p>
    <w:p>
      <w:pPr>
        <w:pStyle w:val="9"/>
        <w:rPr>
          <w:sz w:val="22"/>
          <w:lang w:eastAsia="en-GB"/>
        </w:rPr>
      </w:pPr>
      <w:r>
        <w:rPr>
          <w:snapToGrid w:val="0"/>
          <w:sz w:val="22"/>
          <w:lang w:eastAsia="en-GB"/>
        </w:rPr>
        <w:t>6.5A.4.2.5</w:t>
      </w:r>
      <w:r>
        <w:rPr>
          <w:snapToGrid w:val="0"/>
          <w:sz w:val="22"/>
          <w:lang w:eastAsia="en-GB"/>
        </w:rPr>
        <w:tab/>
      </w:r>
      <w:r>
        <w:rPr>
          <w:sz w:val="22"/>
          <w:lang w:eastAsia="en-GB"/>
        </w:rPr>
        <w:t>Test requirement</w:t>
      </w:r>
    </w:p>
    <w:p>
      <w:pPr>
        <w:rPr>
          <w:rFonts w:eastAsia="MS Mincho"/>
          <w:lang w:eastAsia="en-GB"/>
        </w:rPr>
      </w:pPr>
      <w:r>
        <w:rPr>
          <w:lang w:eastAsia="en-GB"/>
        </w:rPr>
        <w:t xml:space="preserve">This clause specifies the requirements for the specified E-UTRA band for Transmitter Spurious emissions requirement with </w:t>
      </w:r>
      <w:r>
        <w:rPr>
          <w:rFonts w:eastAsia="MS Mincho"/>
          <w:lang w:eastAsia="en-GB"/>
        </w:rPr>
        <w:t>f</w:t>
      </w:r>
      <w:r>
        <w:rPr>
          <w:lang w:eastAsia="en-GB"/>
        </w:rPr>
        <w:t xml:space="preserve">requency </w:t>
      </w:r>
      <w:r>
        <w:rPr>
          <w:rFonts w:eastAsia="MS Mincho"/>
          <w:lang w:eastAsia="en-GB"/>
        </w:rPr>
        <w:t>r</w:t>
      </w:r>
      <w:r>
        <w:rPr>
          <w:lang w:eastAsia="en-GB"/>
        </w:rPr>
        <w:t xml:space="preserve">ange as indicated </w:t>
      </w:r>
      <w:r>
        <w:rPr>
          <w:rFonts w:eastAsia="MS Mincho"/>
          <w:lang w:eastAsia="en-GB"/>
        </w:rPr>
        <w:t>in table</w:t>
      </w:r>
      <w:r>
        <w:rPr>
          <w:lang w:eastAsia="en-GB"/>
        </w:rPr>
        <w:t xml:space="preserve"> 6.5A.4.2.5-1</w:t>
      </w:r>
      <w:r>
        <w:rPr>
          <w:rFonts w:eastAsia="MS Mincho"/>
          <w:lang w:eastAsia="en-GB"/>
        </w:rPr>
        <w:t>.</w:t>
      </w:r>
    </w:p>
    <w:p>
      <w:pPr>
        <w:rPr>
          <w:lang w:eastAsia="en-GB"/>
        </w:rPr>
      </w:pPr>
      <w:r>
        <w:rPr>
          <w:lang w:eastAsia="en-GB"/>
        </w:rPr>
        <w:t xml:space="preserve">The measured average power of spurious emission, derived in step </w:t>
      </w:r>
      <w:r>
        <w:rPr>
          <w:rFonts w:eastAsia="MS Mincho"/>
          <w:lang w:eastAsia="en-GB"/>
        </w:rPr>
        <w:t>3</w:t>
      </w:r>
      <w:r>
        <w:rPr>
          <w:lang w:eastAsia="en-GB"/>
        </w:rPr>
        <w:t>, shall not exceed the described value in Table 6.5A.4.2.5-1.</w:t>
      </w:r>
    </w:p>
    <w:p>
      <w:pPr>
        <w:rPr>
          <w:rFonts w:eastAsia="MS Mincho"/>
          <w:lang w:eastAsia="en-GB"/>
        </w:rPr>
      </w:pPr>
      <w:r>
        <w:rPr>
          <w:rFonts w:cs="v5.0.0"/>
          <w:snapToGrid w:val="0"/>
          <w:lang w:eastAsia="en-GB"/>
        </w:rPr>
        <w:t xml:space="preserve">The spurious emission limits apply for the frequency ranges that are more than </w:t>
      </w:r>
      <w:r>
        <w:rPr>
          <w:lang w:eastAsia="en-GB"/>
        </w:rPr>
        <w:t>Δf</w:t>
      </w:r>
      <w:r>
        <w:rPr>
          <w:vertAlign w:val="subscript"/>
          <w:lang w:eastAsia="en-GB"/>
        </w:rPr>
        <w:t>OOB</w:t>
      </w:r>
      <w:r>
        <w:rPr>
          <w:lang w:eastAsia="en-GB"/>
        </w:rPr>
        <w:t xml:space="preserve"> (MHz) from the edge of the channel bandwidth shown in Table 6.5A.4.2.3-1.</w:t>
      </w:r>
    </w:p>
    <w:p>
      <w:pPr>
        <w:pStyle w:val="100"/>
        <w:keepLines/>
        <w:ind w:left="1135"/>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pStyle w:val="113"/>
        <w:rPr>
          <w:lang w:eastAsia="en-GB"/>
        </w:rPr>
      </w:pPr>
      <w:r>
        <w:rPr>
          <w:lang w:eastAsia="en-GB"/>
        </w:rPr>
        <w:t>Table 6.5A.4.2.5-1: General spurious emissions test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5"/>
        <w:gridCol w:w="2009"/>
        <w:gridCol w:w="2318"/>
        <w:gridCol w:w="13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b/>
                <w:sz w:val="18"/>
              </w:rPr>
            </w:pPr>
            <w:r>
              <w:rPr>
                <w:rFonts w:ascii="Arial" w:hAnsi="Arial"/>
                <w:b/>
                <w:sz w:val="18"/>
              </w:rPr>
              <w:t>Frequency Range</w:t>
            </w:r>
          </w:p>
        </w:tc>
        <w:tc>
          <w:tcPr>
            <w:tcW w:w="2009" w:type="dxa"/>
          </w:tcPr>
          <w:p>
            <w:pPr>
              <w:keepNext/>
              <w:keepLines/>
              <w:spacing w:after="0"/>
              <w:jc w:val="center"/>
              <w:rPr>
                <w:rFonts w:ascii="Arial" w:hAnsi="Arial"/>
                <w:b/>
                <w:sz w:val="18"/>
              </w:rPr>
            </w:pPr>
            <w:r>
              <w:rPr>
                <w:rFonts w:ascii="Arial" w:hAnsi="Arial"/>
                <w:b/>
                <w:sz w:val="18"/>
              </w:rPr>
              <w:t>Maximum</w:t>
            </w:r>
            <w:r>
              <w:rPr>
                <w:rFonts w:ascii="Arial" w:hAnsi="Arial"/>
                <w:b/>
                <w:sz w:val="18"/>
              </w:rPr>
              <w:br w:type="textWrapping"/>
            </w:r>
            <w:r>
              <w:rPr>
                <w:rFonts w:ascii="Arial" w:hAnsi="Arial"/>
                <w:b/>
                <w:sz w:val="18"/>
              </w:rPr>
              <w:t>Level</w:t>
            </w:r>
          </w:p>
        </w:tc>
        <w:tc>
          <w:tcPr>
            <w:tcW w:w="2318" w:type="dxa"/>
          </w:tcPr>
          <w:p>
            <w:pPr>
              <w:keepNext/>
              <w:keepLines/>
              <w:spacing w:after="0"/>
              <w:jc w:val="center"/>
              <w:rPr>
                <w:rFonts w:ascii="Arial" w:hAnsi="Arial"/>
                <w:b/>
                <w:sz w:val="18"/>
              </w:rPr>
            </w:pPr>
            <w:r>
              <w:rPr>
                <w:rFonts w:ascii="Arial" w:hAnsi="Arial"/>
                <w:b/>
                <w:sz w:val="18"/>
              </w:rPr>
              <w:t>Measurement</w:t>
            </w:r>
            <w:r>
              <w:rPr>
                <w:rFonts w:ascii="Arial" w:hAnsi="Arial"/>
                <w:b/>
                <w:sz w:val="18"/>
              </w:rPr>
              <w:br w:type="textWrapping"/>
            </w:r>
            <w:r>
              <w:rPr>
                <w:rFonts w:ascii="Arial" w:hAnsi="Arial"/>
                <w:b/>
                <w:sz w:val="18"/>
              </w:rPr>
              <w:t>Bandwidth</w:t>
            </w:r>
          </w:p>
        </w:tc>
        <w:tc>
          <w:tcPr>
            <w:tcW w:w="1314" w:type="dxa"/>
          </w:tcPr>
          <w:p>
            <w:pPr>
              <w:keepNext/>
              <w:keepLines/>
              <w:spacing w:after="0"/>
              <w:jc w:val="center"/>
              <w:rPr>
                <w:rFonts w:ascii="Arial" w:hAnsi="Arial"/>
                <w:b/>
                <w:sz w:val="18"/>
              </w:rPr>
            </w:pPr>
            <w:r>
              <w:rPr>
                <w:rFonts w:ascii="Arial" w:hAnsi="Arial"/>
                <w:b/>
                <w:sz w:val="18"/>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sz w:val="18"/>
              </w:rPr>
            </w:pPr>
            <w:r>
              <w:rPr>
                <w:rFonts w:ascii="Arial" w:hAnsi="Arial"/>
                <w:sz w:val="18"/>
              </w:rPr>
              <w:t xml:space="preserve">9 kHz </w:t>
            </w:r>
            <w:r>
              <w:rPr>
                <w:rFonts w:ascii="Arial" w:hAnsi="Arial"/>
                <w:sz w:val="18"/>
              </w:rPr>
              <w:sym w:font="Symbol" w:char="F0A3"/>
            </w:r>
            <w:r>
              <w:rPr>
                <w:rFonts w:ascii="Arial" w:hAnsi="Arial"/>
                <w:sz w:val="18"/>
              </w:rPr>
              <w:t xml:space="preserve"> f &lt; 150 kHz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 xml:space="preserve">1 kHz </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sz w:val="18"/>
              </w:rPr>
            </w:pPr>
            <w:r>
              <w:rPr>
                <w:rFonts w:ascii="Arial" w:hAnsi="Arial"/>
                <w:sz w:val="18"/>
              </w:rPr>
              <w:t xml:space="preserve">150 kHz </w:t>
            </w:r>
            <w:r>
              <w:rPr>
                <w:rFonts w:ascii="Arial" w:hAnsi="Arial"/>
                <w:sz w:val="18"/>
              </w:rPr>
              <w:sym w:font="Symbol" w:char="F0A3"/>
            </w:r>
            <w:r>
              <w:rPr>
                <w:rFonts w:ascii="Arial" w:hAnsi="Arial"/>
                <w:sz w:val="18"/>
              </w:rPr>
              <w:t xml:space="preserve"> f &lt; 30 MHz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 xml:space="preserve">10 kHz </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sz w:val="18"/>
              </w:rPr>
            </w:pPr>
            <w:r>
              <w:rPr>
                <w:rFonts w:ascii="Arial" w:hAnsi="Arial"/>
                <w:sz w:val="18"/>
              </w:rPr>
              <w:t xml:space="preserve">30 MHz </w:t>
            </w:r>
            <w:r>
              <w:rPr>
                <w:rFonts w:ascii="Arial" w:hAnsi="Arial"/>
                <w:sz w:val="18"/>
              </w:rPr>
              <w:sym w:font="Symbol" w:char="F0A3"/>
            </w:r>
            <w:r>
              <w:rPr>
                <w:rFonts w:ascii="Arial" w:hAnsi="Arial"/>
                <w:sz w:val="18"/>
              </w:rPr>
              <w:t xml:space="preserve"> f &lt; 1000 MHz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100 kHz</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sz w:val="18"/>
              </w:rPr>
            </w:pPr>
            <w:r>
              <w:rPr>
                <w:rFonts w:ascii="Arial" w:hAnsi="Arial"/>
                <w:sz w:val="18"/>
              </w:rPr>
              <w:t xml:space="preserve">1 GHz </w:t>
            </w:r>
            <w:r>
              <w:rPr>
                <w:rFonts w:ascii="Arial" w:hAnsi="Arial"/>
                <w:sz w:val="18"/>
              </w:rPr>
              <w:sym w:font="Symbol" w:char="F0A3"/>
            </w:r>
            <w:r>
              <w:rPr>
                <w:rFonts w:ascii="Arial" w:hAnsi="Arial"/>
                <w:sz w:val="18"/>
              </w:rPr>
              <w:t xml:space="preserve"> f &lt; 12.75 GHz</w:t>
            </w:r>
          </w:p>
        </w:tc>
        <w:tc>
          <w:tcPr>
            <w:tcW w:w="2009" w:type="dxa"/>
          </w:tcPr>
          <w:p>
            <w:pPr>
              <w:keepNext/>
              <w:keepLines/>
              <w:spacing w:after="0"/>
              <w:jc w:val="center"/>
              <w:rPr>
                <w:rFonts w:ascii="Arial" w:hAnsi="Arial"/>
                <w:sz w:val="18"/>
              </w:rPr>
            </w:pPr>
            <w:r>
              <w:rPr>
                <w:rFonts w:ascii="Arial" w:hAnsi="Arial"/>
                <w:sz w:val="18"/>
              </w:rPr>
              <w:t>-30 dBm</w:t>
            </w:r>
          </w:p>
        </w:tc>
        <w:tc>
          <w:tcPr>
            <w:tcW w:w="2318" w:type="dxa"/>
          </w:tcPr>
          <w:p>
            <w:pPr>
              <w:keepNext/>
              <w:keepLines/>
              <w:spacing w:after="0"/>
              <w:jc w:val="center"/>
              <w:rPr>
                <w:rFonts w:ascii="Arial" w:hAnsi="Arial"/>
                <w:sz w:val="18"/>
              </w:rPr>
            </w:pPr>
            <w:r>
              <w:rPr>
                <w:rFonts w:ascii="Arial" w:hAnsi="Arial"/>
                <w:sz w:val="18"/>
              </w:rPr>
              <w:t>1 MHz</w:t>
            </w:r>
          </w:p>
        </w:tc>
        <w:tc>
          <w:tcPr>
            <w:tcW w:w="1314" w:type="dxa"/>
          </w:tcPr>
          <w:p>
            <w:pPr>
              <w:keepNext/>
              <w:keepLines/>
              <w:spacing w:after="0"/>
              <w:jc w:val="center"/>
              <w:rPr>
                <w:rFonts w:ascii="Arial" w:hAnsi="Arial"/>
                <w:sz w:val="18"/>
              </w:rPr>
            </w:pPr>
          </w:p>
        </w:tc>
      </w:tr>
    </w:tbl>
    <w:p>
      <w:pPr>
        <w:rPr>
          <w:rFonts w:eastAsia="宋体"/>
        </w:rPr>
      </w:pPr>
    </w:p>
    <w:p>
      <w:pPr>
        <w:pStyle w:val="6"/>
      </w:pPr>
      <w:bookmarkStart w:id="873" w:name="_Toc12921"/>
      <w:bookmarkStart w:id="874" w:name="_Toc28471"/>
      <w:bookmarkStart w:id="875" w:name="_Toc121162856"/>
      <w:bookmarkStart w:id="876" w:name="_Toc120570064"/>
      <w:bookmarkStart w:id="877" w:name="_Toc9260"/>
      <w:bookmarkStart w:id="878" w:name="_Toc10298"/>
      <w:bookmarkStart w:id="879" w:name="_Toc25448"/>
      <w:bookmarkStart w:id="880" w:name="_Toc13738"/>
      <w:bookmarkStart w:id="881" w:name="_Toc28023"/>
      <w:r>
        <w:t>6.5A.4.3</w:t>
      </w:r>
      <w:r>
        <w:tab/>
      </w:r>
      <w:r>
        <w:t>Spurious emission band UE co-existence</w:t>
      </w:r>
      <w:bookmarkEnd w:id="873"/>
      <w:bookmarkEnd w:id="874"/>
      <w:bookmarkEnd w:id="875"/>
      <w:bookmarkEnd w:id="876"/>
      <w:bookmarkEnd w:id="877"/>
      <w:r>
        <w:rPr>
          <w:rFonts w:hint="eastAsia"/>
        </w:rPr>
        <w:t xml:space="preserve"> for category M1</w:t>
      </w:r>
      <w:bookmarkEnd w:id="878"/>
      <w:bookmarkEnd w:id="879"/>
      <w:bookmarkEnd w:id="880"/>
      <w:bookmarkEnd w:id="881"/>
    </w:p>
    <w:p>
      <w:pPr>
        <w:pStyle w:val="112"/>
        <w:rPr>
          <w:lang w:val="en-US"/>
        </w:rPr>
      </w:pPr>
      <w:r>
        <w:t>Editor’s Note: Addition to applicability spec is pending.</w:t>
      </w:r>
    </w:p>
    <w:p>
      <w:pPr>
        <w:pStyle w:val="9"/>
      </w:pPr>
      <w:r>
        <w:t>6.5A.4.3.1</w:t>
      </w:r>
      <w:r>
        <w:tab/>
      </w:r>
      <w:r>
        <w:t>Test purpose</w:t>
      </w:r>
    </w:p>
    <w:p>
      <w:r>
        <w:t>To verify that UE transmitter does not cause unacceptable interference to co-existing systems for the specified bands which has specific requirements in terms of transmitter spurious emissions.</w:t>
      </w:r>
    </w:p>
    <w:p>
      <w:pPr>
        <w:pStyle w:val="9"/>
      </w:pPr>
      <w:r>
        <w:t>6.5A.4.3.2</w:t>
      </w:r>
      <w:r>
        <w:tab/>
      </w:r>
      <w:r>
        <w:t>Test applicability</w:t>
      </w:r>
    </w:p>
    <w:p>
      <w:r>
        <w:t>This test case applies to all types of E-UTRA UE release 17 and forward of UE category M1 that support satellite access operation.</w:t>
      </w:r>
    </w:p>
    <w:p>
      <w:pPr>
        <w:pStyle w:val="9"/>
      </w:pPr>
      <w:r>
        <w:t>6.5A.4.3.3</w:t>
      </w:r>
      <w:r>
        <w:tab/>
      </w:r>
      <w:r>
        <w:t>Minimum conformance requirements</w:t>
      </w:r>
    </w:p>
    <w:p>
      <w:r>
        <w:t xml:space="preserve">This clause specifies the requirements for </w:t>
      </w:r>
      <w:r>
        <w:rPr>
          <w:lang w:val="en-US"/>
        </w:rPr>
        <w:t>E-UTRA</w:t>
      </w:r>
      <w:r>
        <w:t xml:space="preserve"> satellite bands for UE coexistence with protected bands.</w:t>
      </w:r>
    </w:p>
    <w:p>
      <w:pPr>
        <w:pStyle w:val="113"/>
      </w:pPr>
      <w:r>
        <w:t>Table 6.</w:t>
      </w:r>
      <w:r>
        <w:rPr>
          <w:lang w:val="en-US"/>
        </w:rPr>
        <w:t>5A</w:t>
      </w:r>
      <w:r>
        <w:t>.</w:t>
      </w:r>
      <w:r>
        <w:rPr>
          <w:lang w:val="en-US"/>
        </w:rPr>
        <w:t>4</w:t>
      </w:r>
      <w:r>
        <w:t>.3.3-1: Requirements for spurious emissions for UE co-existence</w:t>
      </w:r>
    </w:p>
    <w:tbl>
      <w:tblPr>
        <w:tblStyle w:val="89"/>
        <w:tblW w:w="8940"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59"/>
        <w:gridCol w:w="3164"/>
        <w:gridCol w:w="772"/>
        <w:gridCol w:w="362"/>
        <w:gridCol w:w="772"/>
        <w:gridCol w:w="1133"/>
        <w:gridCol w:w="850"/>
        <w:gridCol w:w="92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70" w:hRule="atLeast"/>
          <w:jc w:val="center"/>
        </w:trPr>
        <w:tc>
          <w:tcPr>
            <w:tcW w:w="960" w:type="dxa"/>
            <w:vMerge w:val="restart"/>
            <w:tcBorders>
              <w:top w:val="single" w:color="auto" w:sz="4" w:space="0"/>
              <w:left w:val="single" w:color="auto" w:sz="4" w:space="0"/>
              <w:bottom w:val="single" w:color="auto" w:sz="6" w:space="0"/>
              <w:right w:val="single" w:color="auto" w:sz="6" w:space="0"/>
            </w:tcBorders>
            <w:vAlign w:val="center"/>
          </w:tcPr>
          <w:p>
            <w:pPr>
              <w:pStyle w:val="104"/>
              <w:rPr>
                <w:rFonts w:cs="Arial"/>
              </w:rPr>
            </w:pPr>
            <w:r>
              <w:rPr>
                <w:rFonts w:cs="Arial"/>
              </w:rPr>
              <w:t>E-UTRA Band</w:t>
            </w:r>
          </w:p>
        </w:tc>
        <w:tc>
          <w:tcPr>
            <w:tcW w:w="7986" w:type="dxa"/>
            <w:gridSpan w:val="7"/>
            <w:tcBorders>
              <w:top w:val="single" w:color="auto" w:sz="4" w:space="0"/>
              <w:left w:val="single" w:color="auto" w:sz="6" w:space="0"/>
              <w:bottom w:val="single" w:color="auto" w:sz="6" w:space="0"/>
              <w:right w:val="single" w:color="auto" w:sz="4" w:space="0"/>
            </w:tcBorders>
          </w:tcPr>
          <w:p>
            <w:pPr>
              <w:pStyle w:val="104"/>
              <w:rPr>
                <w:rFonts w:cs="Arial"/>
              </w:rPr>
            </w:pPr>
            <w:r>
              <w:rPr>
                <w:rFonts w:cs="Arial"/>
              </w:rPr>
              <w:t xml:space="preserve">Spurious emission </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8946" w:type="dxa"/>
            <w:vMerge w:val="continue"/>
            <w:tcBorders>
              <w:top w:val="single" w:color="auto" w:sz="4" w:space="0"/>
              <w:left w:val="single" w:color="auto" w:sz="4" w:space="0"/>
              <w:bottom w:val="single" w:color="auto" w:sz="6" w:space="0"/>
              <w:right w:val="single" w:color="auto" w:sz="6" w:space="0"/>
            </w:tcBorders>
            <w:vAlign w:val="center"/>
          </w:tcPr>
          <w:p>
            <w:pPr>
              <w:spacing w:after="0"/>
              <w:rPr>
                <w:rFonts w:ascii="Arial" w:hAnsi="Arial" w:cs="Arial"/>
                <w:b/>
                <w:sz w:val="18"/>
              </w:rPr>
            </w:pPr>
          </w:p>
        </w:tc>
        <w:tc>
          <w:tcPr>
            <w:tcW w:w="3166" w:type="dxa"/>
            <w:tcBorders>
              <w:top w:val="single" w:color="auto" w:sz="6" w:space="0"/>
              <w:left w:val="single" w:color="auto" w:sz="6" w:space="0"/>
              <w:bottom w:val="single" w:color="auto" w:sz="6" w:space="0"/>
              <w:right w:val="single" w:color="auto" w:sz="6" w:space="0"/>
            </w:tcBorders>
          </w:tcPr>
          <w:p>
            <w:pPr>
              <w:pStyle w:val="104"/>
              <w:rPr>
                <w:rFonts w:cs="Arial"/>
              </w:rPr>
            </w:pPr>
            <w:r>
              <w:rPr>
                <w:rFonts w:cs="Arial"/>
              </w:rPr>
              <w:t>Protected band</w:t>
            </w:r>
          </w:p>
        </w:tc>
        <w:tc>
          <w:tcPr>
            <w:tcW w:w="1906" w:type="dxa"/>
            <w:gridSpan w:val="3"/>
            <w:tcBorders>
              <w:top w:val="single" w:color="auto" w:sz="6" w:space="0"/>
              <w:left w:val="single" w:color="auto" w:sz="6" w:space="0"/>
              <w:bottom w:val="single" w:color="auto" w:sz="6" w:space="0"/>
              <w:right w:val="single" w:color="auto" w:sz="6" w:space="0"/>
            </w:tcBorders>
          </w:tcPr>
          <w:p>
            <w:pPr>
              <w:pStyle w:val="104"/>
              <w:rPr>
                <w:rFonts w:cs="Arial"/>
              </w:rPr>
            </w:pPr>
            <w:r>
              <w:rPr>
                <w:rFonts w:cs="Arial"/>
              </w:rPr>
              <w:t>Frequency range (MHz)</w:t>
            </w:r>
          </w:p>
        </w:tc>
        <w:tc>
          <w:tcPr>
            <w:tcW w:w="1134" w:type="dxa"/>
            <w:tcBorders>
              <w:top w:val="single" w:color="auto" w:sz="6" w:space="0"/>
              <w:left w:val="single" w:color="auto" w:sz="6" w:space="0"/>
              <w:bottom w:val="single" w:color="auto" w:sz="6" w:space="0"/>
              <w:right w:val="single" w:color="auto" w:sz="6" w:space="0"/>
            </w:tcBorders>
          </w:tcPr>
          <w:p>
            <w:pPr>
              <w:pStyle w:val="104"/>
              <w:rPr>
                <w:rFonts w:cs="Arial"/>
              </w:rPr>
            </w:pPr>
            <w:r>
              <w:rPr>
                <w:rFonts w:cs="Arial"/>
              </w:rPr>
              <w:t>Maximum Level (dBm)</w:t>
            </w:r>
          </w:p>
        </w:tc>
        <w:tc>
          <w:tcPr>
            <w:tcW w:w="851" w:type="dxa"/>
            <w:tcBorders>
              <w:top w:val="single" w:color="auto" w:sz="6" w:space="0"/>
              <w:left w:val="single" w:color="auto" w:sz="6" w:space="0"/>
              <w:bottom w:val="single" w:color="auto" w:sz="6" w:space="0"/>
              <w:right w:val="single" w:color="auto" w:sz="6" w:space="0"/>
            </w:tcBorders>
          </w:tcPr>
          <w:p>
            <w:pPr>
              <w:pStyle w:val="104"/>
              <w:rPr>
                <w:rFonts w:cs="Arial"/>
              </w:rPr>
            </w:pPr>
            <w:r>
              <w:rPr>
                <w:rFonts w:cs="Arial"/>
              </w:rPr>
              <w:t>MBW (MHz)</w:t>
            </w:r>
          </w:p>
        </w:tc>
        <w:tc>
          <w:tcPr>
            <w:tcW w:w="929" w:type="dxa"/>
            <w:tcBorders>
              <w:top w:val="single" w:color="auto" w:sz="6" w:space="0"/>
              <w:left w:val="single" w:color="auto" w:sz="6" w:space="0"/>
              <w:bottom w:val="single" w:color="auto" w:sz="6" w:space="0"/>
              <w:right w:val="single" w:color="auto" w:sz="4" w:space="0"/>
            </w:tcBorders>
            <w:noWrap/>
          </w:tcPr>
          <w:p>
            <w:pPr>
              <w:pStyle w:val="104"/>
              <w:rPr>
                <w:rFonts w:cs="Arial"/>
              </w:rPr>
            </w:pPr>
            <w:r>
              <w:rPr>
                <w:rFonts w:cs="Arial"/>
              </w:rPr>
              <w:t>NOTE</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960" w:type="dxa"/>
            <w:vMerge w:val="restart"/>
            <w:tcBorders>
              <w:top w:val="single" w:color="auto" w:sz="6" w:space="0"/>
              <w:left w:val="single" w:color="auto" w:sz="4" w:space="0"/>
              <w:bottom w:val="single" w:color="auto" w:sz="6" w:space="0"/>
              <w:right w:val="single" w:color="auto" w:sz="6" w:space="0"/>
            </w:tcBorders>
          </w:tcPr>
          <w:p>
            <w:pPr>
              <w:pStyle w:val="105"/>
              <w:rPr>
                <w:rFonts w:cs="Arial"/>
                <w:sz w:val="16"/>
                <w:szCs w:val="16"/>
                <w:lang w:val="en-US"/>
              </w:rPr>
            </w:pPr>
            <w:r>
              <w:rPr>
                <w:rFonts w:cs="Arial"/>
                <w:sz w:val="16"/>
                <w:szCs w:val="16"/>
                <w:lang w:val="en-US"/>
              </w:rPr>
              <w:t>255</w:t>
            </w: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lang w:eastAsia="ja-JP"/>
              </w:rPr>
            </w:pPr>
            <w:r>
              <w:rPr>
                <w:rFonts w:cs="Arial"/>
                <w:sz w:val="16"/>
                <w:szCs w:val="16"/>
              </w:rPr>
              <w:t xml:space="preserve">E-UTRA Band 2, 4, 5, 12, 13, 14, 17, 24, 25, 26, 29, 30, 41, </w:t>
            </w:r>
            <w:r>
              <w:rPr>
                <w:rFonts w:cs="Arial"/>
                <w:sz w:val="16"/>
                <w:szCs w:val="16"/>
                <w:lang w:eastAsia="ja-JP"/>
              </w:rPr>
              <w:t xml:space="preserve">48, </w:t>
            </w:r>
            <w:r>
              <w:rPr>
                <w:rFonts w:cs="Arial"/>
                <w:sz w:val="16"/>
                <w:szCs w:val="16"/>
              </w:rPr>
              <w:t>66, 70, 71, 85</w:t>
            </w:r>
            <w:r>
              <w:rPr>
                <w:rFonts w:cs="Arial"/>
                <w:sz w:val="16"/>
                <w:szCs w:val="16"/>
                <w:lang w:eastAsia="ja-JP"/>
              </w:rPr>
              <w:t>, 103</w:t>
            </w:r>
          </w:p>
          <w:p>
            <w:pPr>
              <w:pStyle w:val="103"/>
              <w:rPr>
                <w:rFonts w:cs="Arial"/>
                <w:sz w:val="16"/>
                <w:szCs w:val="16"/>
              </w:rPr>
            </w:pPr>
            <w:r>
              <w:rPr>
                <w:rFonts w:cs="Arial"/>
                <w:sz w:val="16"/>
                <w:szCs w:val="16"/>
                <w:lang w:val="sv-FI"/>
              </w:rPr>
              <w:t>NR Band n1, n3, n7, n8, n18, n20, n28, n34, n38, n39, n40, n50, n51, n53, n65, n67, n74, n75, n76, n90, n91, n92, n93, n94</w:t>
            </w:r>
          </w:p>
        </w:tc>
        <w:tc>
          <w:tcPr>
            <w:tcW w:w="772" w:type="dxa"/>
            <w:tcBorders>
              <w:top w:val="single" w:color="auto" w:sz="6" w:space="0"/>
              <w:left w:val="single" w:color="auto" w:sz="6" w:space="0"/>
              <w:bottom w:val="single" w:color="auto" w:sz="6" w:space="0"/>
              <w:right w:val="single" w:color="auto" w:sz="6" w:space="0"/>
            </w:tcBorders>
            <w:vAlign w:val="center"/>
          </w:tcPr>
          <w:p>
            <w:pPr>
              <w:pStyle w:val="102"/>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w:t>
            </w:r>
          </w:p>
        </w:tc>
        <w:tc>
          <w:tcPr>
            <w:tcW w:w="772"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rPr>
              <w:t>F</w:t>
            </w:r>
            <w:r>
              <w:rPr>
                <w:rFonts w:cs="Arial"/>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rFonts w:cs="Arial"/>
                <w:sz w:val="16"/>
                <w:szCs w:val="16"/>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lang w:val="sv-FI"/>
              </w:rPr>
              <w:t>NR Band n77, n78, n79</w:t>
            </w:r>
          </w:p>
        </w:tc>
        <w:tc>
          <w:tcPr>
            <w:tcW w:w="772" w:type="dxa"/>
            <w:tcBorders>
              <w:top w:val="single" w:color="auto" w:sz="6" w:space="0"/>
              <w:left w:val="single" w:color="auto" w:sz="6" w:space="0"/>
              <w:bottom w:val="single" w:color="auto" w:sz="6" w:space="0"/>
              <w:right w:val="single" w:color="auto" w:sz="6" w:space="0"/>
            </w:tcBorders>
            <w:vAlign w:val="center"/>
          </w:tcPr>
          <w:p>
            <w:pPr>
              <w:pStyle w:val="102"/>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w:t>
            </w:r>
          </w:p>
        </w:tc>
        <w:tc>
          <w:tcPr>
            <w:tcW w:w="772"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rPr>
              <w:t>F</w:t>
            </w:r>
            <w:r>
              <w:rPr>
                <w:rFonts w:cs="Arial"/>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rFonts w:cs="Arial"/>
                <w:sz w:val="16"/>
                <w:szCs w:val="16"/>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rPr>
            </w:pPr>
            <w:r>
              <w:rPr>
                <w:rFonts w:cs="Arial"/>
                <w:sz w:val="16"/>
                <w:szCs w:val="16"/>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960" w:type="dxa"/>
            <w:vMerge w:val="restart"/>
            <w:tcBorders>
              <w:top w:val="single" w:color="auto" w:sz="6" w:space="0"/>
              <w:left w:val="single" w:color="auto" w:sz="4" w:space="0"/>
              <w:bottom w:val="single" w:color="auto" w:sz="6" w:space="0"/>
              <w:right w:val="single" w:color="auto" w:sz="6" w:space="0"/>
            </w:tcBorders>
          </w:tcPr>
          <w:p>
            <w:pPr>
              <w:pStyle w:val="105"/>
              <w:rPr>
                <w:rFonts w:cs="Arial"/>
                <w:sz w:val="16"/>
                <w:szCs w:val="16"/>
                <w:lang w:val="en-US"/>
              </w:rPr>
            </w:pPr>
            <w:r>
              <w:rPr>
                <w:rFonts w:cs="Arial"/>
                <w:sz w:val="16"/>
                <w:szCs w:val="16"/>
                <w:lang w:val="en-US"/>
              </w:rPr>
              <w:t>256</w:t>
            </w: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lang w:val="sv-FI"/>
              </w:rPr>
            </w:pPr>
            <w:r>
              <w:rPr>
                <w:rFonts w:cs="Arial"/>
                <w:sz w:val="16"/>
                <w:szCs w:val="16"/>
                <w:lang w:val="sv-FI"/>
              </w:rPr>
              <w:t xml:space="preserve">E-UTRA Band 1, 3, </w:t>
            </w:r>
            <w:r>
              <w:rPr>
                <w:rFonts w:cs="Arial"/>
                <w:sz w:val="16"/>
                <w:szCs w:val="16"/>
                <w:lang w:val="en-US"/>
              </w:rPr>
              <w:t>5,</w:t>
            </w:r>
            <w:r>
              <w:rPr>
                <w:rFonts w:cs="Arial"/>
                <w:sz w:val="16"/>
                <w:szCs w:val="16"/>
                <w:lang w:val="sv-FI"/>
              </w:rPr>
              <w:t>7, 8,</w:t>
            </w:r>
            <w:r>
              <w:rPr>
                <w:rFonts w:cs="Arial"/>
                <w:sz w:val="16"/>
                <w:szCs w:val="16"/>
                <w:lang w:val="en-US"/>
              </w:rPr>
              <w:t xml:space="preserve"> 11, 18, 19,</w:t>
            </w:r>
            <w:r>
              <w:rPr>
                <w:rFonts w:cs="Arial"/>
                <w:sz w:val="16"/>
                <w:szCs w:val="16"/>
                <w:lang w:val="sv-FI"/>
              </w:rPr>
              <w:t xml:space="preserve"> 20, </w:t>
            </w:r>
            <w:r>
              <w:rPr>
                <w:rFonts w:cs="Arial"/>
                <w:sz w:val="16"/>
                <w:szCs w:val="16"/>
                <w:lang w:val="en-US"/>
              </w:rPr>
              <w:t xml:space="preserve">21, </w:t>
            </w:r>
            <w:r>
              <w:rPr>
                <w:rFonts w:cs="Arial"/>
                <w:sz w:val="16"/>
                <w:szCs w:val="16"/>
                <w:lang w:val="sv-FI"/>
              </w:rPr>
              <w:t xml:space="preserve">22, </w:t>
            </w:r>
            <w:r>
              <w:rPr>
                <w:rFonts w:cs="Arial"/>
                <w:sz w:val="16"/>
                <w:szCs w:val="16"/>
                <w:lang w:val="en-US"/>
              </w:rPr>
              <w:t xml:space="preserve">26, 27, </w:t>
            </w:r>
            <w:r>
              <w:rPr>
                <w:rFonts w:cs="Arial"/>
                <w:sz w:val="16"/>
                <w:szCs w:val="16"/>
                <w:lang w:val="sv-FI"/>
              </w:rPr>
              <w:t xml:space="preserve">28, 31, </w:t>
            </w:r>
            <w:r>
              <w:rPr>
                <w:rFonts w:cs="Arial"/>
                <w:sz w:val="16"/>
                <w:szCs w:val="16"/>
                <w:lang w:val="en-US"/>
              </w:rPr>
              <w:t xml:space="preserve">33, </w:t>
            </w:r>
            <w:r>
              <w:rPr>
                <w:rFonts w:cs="Arial"/>
                <w:sz w:val="16"/>
                <w:szCs w:val="16"/>
                <w:lang w:val="sv-FI"/>
              </w:rPr>
              <w:t xml:space="preserve">32, </w:t>
            </w:r>
            <w:r>
              <w:rPr>
                <w:rFonts w:cs="Arial"/>
                <w:sz w:val="16"/>
                <w:szCs w:val="16"/>
                <w:lang w:val="en-US"/>
              </w:rPr>
              <w:t xml:space="preserve">35, </w:t>
            </w:r>
            <w:r>
              <w:rPr>
                <w:rFonts w:cs="Arial"/>
                <w:sz w:val="16"/>
                <w:szCs w:val="16"/>
                <w:lang w:val="sv-FI"/>
              </w:rPr>
              <w:t>38, 40,</w:t>
            </w:r>
            <w:r>
              <w:rPr>
                <w:rFonts w:cs="Arial"/>
                <w:sz w:val="16"/>
                <w:szCs w:val="16"/>
                <w:lang w:val="en-US"/>
              </w:rPr>
              <w:t xml:space="preserve"> 41,</w:t>
            </w:r>
            <w:r>
              <w:rPr>
                <w:rFonts w:cs="Arial"/>
                <w:sz w:val="16"/>
                <w:szCs w:val="16"/>
                <w:lang w:val="sv-FI"/>
              </w:rPr>
              <w:t xml:space="preserve"> 42, 43, 50, 51</w:t>
            </w:r>
            <w:r>
              <w:rPr>
                <w:rFonts w:cs="Arial"/>
                <w:sz w:val="16"/>
                <w:szCs w:val="16"/>
                <w:lang w:val="en-US"/>
              </w:rPr>
              <w:t xml:space="preserve">, 54, </w:t>
            </w:r>
            <w:r>
              <w:rPr>
                <w:rFonts w:cs="Arial"/>
                <w:sz w:val="16"/>
                <w:szCs w:val="16"/>
                <w:lang w:val="sv-FI"/>
              </w:rPr>
              <w:t>65, 68, 69, 72</w:t>
            </w:r>
            <w:r>
              <w:rPr>
                <w:rFonts w:cs="Arial"/>
                <w:sz w:val="16"/>
                <w:szCs w:val="16"/>
                <w:lang w:val="sv-FI" w:eastAsia="ja-JP"/>
              </w:rPr>
              <w:t>, 74</w:t>
            </w:r>
            <w:r>
              <w:rPr>
                <w:rFonts w:cs="Arial"/>
                <w:sz w:val="16"/>
                <w:szCs w:val="16"/>
                <w:lang w:val="sv-FI"/>
              </w:rPr>
              <w:t>, 75, 76</w:t>
            </w:r>
            <w:r>
              <w:rPr>
                <w:rFonts w:cs="Arial"/>
                <w:sz w:val="16"/>
                <w:szCs w:val="16"/>
                <w:lang w:val="de-DE"/>
              </w:rPr>
              <w:t>, 87, 88</w:t>
            </w:r>
          </w:p>
          <w:p>
            <w:pPr>
              <w:pStyle w:val="103"/>
              <w:rPr>
                <w:rFonts w:cs="Arial"/>
                <w:sz w:val="16"/>
                <w:szCs w:val="16"/>
                <w:lang w:val="sv-FI"/>
              </w:rPr>
            </w:pPr>
            <w:r>
              <w:rPr>
                <w:rFonts w:cs="Arial"/>
                <w:sz w:val="16"/>
                <w:szCs w:val="16"/>
                <w:lang w:val="sv-FI"/>
              </w:rPr>
              <w:t>NR Band n12, n13, n14, n24, n29, n30,  n39,</w:t>
            </w:r>
            <w:r>
              <w:rPr>
                <w:rFonts w:cs="Arial"/>
                <w:sz w:val="16"/>
                <w:szCs w:val="16"/>
                <w:lang w:val="en-US"/>
              </w:rPr>
              <w:t xml:space="preserve"> </w:t>
            </w:r>
            <w:r>
              <w:rPr>
                <w:rFonts w:cs="Arial"/>
                <w:sz w:val="16"/>
                <w:szCs w:val="16"/>
                <w:lang w:val="sv-FI"/>
              </w:rPr>
              <w:t>n48, n53</w:t>
            </w:r>
            <w:r>
              <w:rPr>
                <w:rFonts w:cs="Arial"/>
                <w:sz w:val="16"/>
                <w:szCs w:val="16"/>
                <w:lang w:val="en-US"/>
              </w:rPr>
              <w:t>,</w:t>
            </w:r>
            <w:r>
              <w:rPr>
                <w:rFonts w:cs="Arial"/>
                <w:sz w:val="16"/>
                <w:szCs w:val="16"/>
                <w:lang w:val="sv-FI"/>
              </w:rPr>
              <w:t xml:space="preserve"> n66, n67, n71, n78, n79, n85, n90, n91, n92, n93, n94, n101</w:t>
            </w:r>
          </w:p>
        </w:tc>
        <w:tc>
          <w:tcPr>
            <w:tcW w:w="772" w:type="dxa"/>
            <w:tcBorders>
              <w:top w:val="single" w:color="auto" w:sz="6" w:space="0"/>
              <w:left w:val="single" w:color="auto" w:sz="6" w:space="0"/>
              <w:bottom w:val="single" w:color="auto" w:sz="6" w:space="0"/>
              <w:right w:val="single" w:color="auto" w:sz="6" w:space="0"/>
            </w:tcBorders>
            <w:vAlign w:val="center"/>
          </w:tcPr>
          <w:p>
            <w:pPr>
              <w:pStyle w:val="102"/>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w:t>
            </w:r>
          </w:p>
        </w:tc>
        <w:tc>
          <w:tcPr>
            <w:tcW w:w="772"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rPr>
              <w:t>F</w:t>
            </w:r>
            <w:r>
              <w:rPr>
                <w:rFonts w:cs="Arial"/>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rFonts w:cs="Arial"/>
                <w:sz w:val="16"/>
                <w:szCs w:val="16"/>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lang w:val="sv-FI"/>
              </w:rPr>
              <w:t>NR Band n77</w:t>
            </w:r>
          </w:p>
        </w:tc>
        <w:tc>
          <w:tcPr>
            <w:tcW w:w="772" w:type="dxa"/>
            <w:tcBorders>
              <w:top w:val="single" w:color="auto" w:sz="6" w:space="0"/>
              <w:left w:val="single" w:color="auto" w:sz="6" w:space="0"/>
              <w:bottom w:val="single" w:color="auto" w:sz="6" w:space="0"/>
              <w:right w:val="single" w:color="auto" w:sz="6" w:space="0"/>
            </w:tcBorders>
            <w:vAlign w:val="bottom"/>
          </w:tcPr>
          <w:p>
            <w:pPr>
              <w:pStyle w:val="102"/>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color="auto" w:sz="6" w:space="0"/>
              <w:left w:val="single" w:color="auto" w:sz="6" w:space="0"/>
              <w:bottom w:val="single" w:color="auto" w:sz="6" w:space="0"/>
              <w:right w:val="single" w:color="auto" w:sz="6" w:space="0"/>
            </w:tcBorders>
            <w:vAlign w:val="bottom"/>
          </w:tcPr>
          <w:p>
            <w:pPr>
              <w:pStyle w:val="105"/>
              <w:rPr>
                <w:rFonts w:cs="Arial"/>
                <w:sz w:val="16"/>
                <w:szCs w:val="16"/>
              </w:rPr>
            </w:pPr>
            <w:r>
              <w:rPr>
                <w:rFonts w:cs="Arial"/>
                <w:sz w:val="16"/>
                <w:szCs w:val="16"/>
              </w:rPr>
              <w:t xml:space="preserve">- </w:t>
            </w:r>
          </w:p>
        </w:tc>
        <w:tc>
          <w:tcPr>
            <w:tcW w:w="772" w:type="dxa"/>
            <w:tcBorders>
              <w:top w:val="single" w:color="auto" w:sz="6" w:space="0"/>
              <w:left w:val="single" w:color="auto" w:sz="6" w:space="0"/>
              <w:bottom w:val="single" w:color="auto" w:sz="6" w:space="0"/>
              <w:right w:val="single" w:color="auto" w:sz="6" w:space="0"/>
            </w:tcBorders>
            <w:vAlign w:val="bottom"/>
          </w:tcPr>
          <w:p>
            <w:pPr>
              <w:pStyle w:val="103"/>
              <w:rPr>
                <w:rFonts w:cs="Arial"/>
                <w:sz w:val="16"/>
                <w:szCs w:val="16"/>
              </w:rPr>
            </w:pPr>
            <w:r>
              <w:rPr>
                <w:rFonts w:cs="Arial"/>
                <w:sz w:val="16"/>
                <w:szCs w:val="16"/>
              </w:rPr>
              <w:t>F</w:t>
            </w:r>
            <w:r>
              <w:rPr>
                <w:rFonts w:cs="Arial"/>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rFonts w:cs="Arial"/>
                <w:sz w:val="16"/>
                <w:szCs w:val="16"/>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rPr>
            </w:pPr>
            <w:r>
              <w:rPr>
                <w:rFonts w:cs="Arial"/>
                <w:sz w:val="16"/>
                <w:szCs w:val="16"/>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bottom"/>
          </w:tcPr>
          <w:p>
            <w:pPr>
              <w:pStyle w:val="103"/>
              <w:rPr>
                <w:rFonts w:cs="Arial"/>
                <w:sz w:val="16"/>
                <w:szCs w:val="16"/>
                <w:lang w:eastAsia="ja-JP"/>
              </w:rPr>
            </w:pPr>
            <w:r>
              <w:rPr>
                <w:rFonts w:cs="Arial"/>
                <w:sz w:val="16"/>
                <w:szCs w:val="16"/>
                <w:lang w:val="sv-FI"/>
              </w:rPr>
              <w:t>NR Band n2, n25, n70</w:t>
            </w:r>
          </w:p>
        </w:tc>
        <w:tc>
          <w:tcPr>
            <w:tcW w:w="772" w:type="dxa"/>
            <w:tcBorders>
              <w:top w:val="single" w:color="auto" w:sz="6" w:space="0"/>
              <w:left w:val="single" w:color="auto" w:sz="6" w:space="0"/>
              <w:bottom w:val="single" w:color="auto" w:sz="6" w:space="0"/>
              <w:right w:val="single" w:color="auto" w:sz="6" w:space="0"/>
            </w:tcBorders>
            <w:vAlign w:val="bottom"/>
          </w:tcPr>
          <w:p>
            <w:pPr>
              <w:pStyle w:val="102"/>
              <w:rPr>
                <w:rFonts w:cs="Arial"/>
                <w:sz w:val="16"/>
                <w:szCs w:val="16"/>
              </w:rPr>
            </w:pPr>
            <w:r>
              <w:rPr>
                <w:sz w:val="16"/>
                <w:szCs w:val="16"/>
              </w:rPr>
              <w:t>F</w:t>
            </w:r>
            <w:r>
              <w:rPr>
                <w:sz w:val="16"/>
                <w:szCs w:val="16"/>
                <w:vertAlign w:val="subscript"/>
              </w:rPr>
              <w:t>DL_low</w:t>
            </w:r>
          </w:p>
        </w:tc>
        <w:tc>
          <w:tcPr>
            <w:tcW w:w="362" w:type="dxa"/>
            <w:tcBorders>
              <w:top w:val="single" w:color="auto" w:sz="6" w:space="0"/>
              <w:left w:val="single" w:color="auto" w:sz="6" w:space="0"/>
              <w:bottom w:val="single" w:color="auto" w:sz="6" w:space="0"/>
              <w:right w:val="single" w:color="auto" w:sz="6" w:space="0"/>
            </w:tcBorders>
            <w:vAlign w:val="bottom"/>
          </w:tcPr>
          <w:p>
            <w:pPr>
              <w:pStyle w:val="105"/>
              <w:rPr>
                <w:rFonts w:cs="Arial"/>
                <w:sz w:val="16"/>
                <w:szCs w:val="16"/>
              </w:rPr>
            </w:pPr>
            <w:r>
              <w:rPr>
                <w:rFonts w:cs="Arial"/>
                <w:sz w:val="16"/>
                <w:szCs w:val="16"/>
              </w:rPr>
              <w:t xml:space="preserve">- </w:t>
            </w:r>
          </w:p>
        </w:tc>
        <w:tc>
          <w:tcPr>
            <w:tcW w:w="772" w:type="dxa"/>
            <w:tcBorders>
              <w:top w:val="single" w:color="auto" w:sz="6" w:space="0"/>
              <w:left w:val="single" w:color="auto" w:sz="6" w:space="0"/>
              <w:bottom w:val="single" w:color="auto" w:sz="6" w:space="0"/>
              <w:right w:val="single" w:color="auto" w:sz="6" w:space="0"/>
            </w:tcBorders>
            <w:vAlign w:val="bottom"/>
          </w:tcPr>
          <w:p>
            <w:pPr>
              <w:pStyle w:val="103"/>
              <w:rPr>
                <w:rFonts w:cs="Arial"/>
                <w:sz w:val="16"/>
                <w:szCs w:val="16"/>
              </w:rPr>
            </w:pPr>
            <w:r>
              <w:rPr>
                <w:sz w:val="16"/>
                <w:szCs w:val="16"/>
              </w:rPr>
              <w:t>F</w:t>
            </w:r>
            <w:r>
              <w:rPr>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sz w:val="16"/>
                <w:szCs w:val="16"/>
              </w:rPr>
              <w:t>NA</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sz w:val="16"/>
                <w:szCs w:val="16"/>
              </w:rPr>
              <w:t>NA</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lang w:eastAsia="ja-JP"/>
              </w:rPr>
            </w:pPr>
            <w:r>
              <w:rPr>
                <w:sz w:val="16"/>
                <w:szCs w:val="16"/>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112" w:hRule="atLeast"/>
          <w:jc w:val="center"/>
        </w:trPr>
        <w:tc>
          <w:tcPr>
            <w:tcW w:w="8946" w:type="dxa"/>
            <w:gridSpan w:val="8"/>
            <w:tcBorders>
              <w:top w:val="single" w:color="auto" w:sz="6" w:space="0"/>
              <w:left w:val="single" w:color="auto" w:sz="4" w:space="0"/>
              <w:bottom w:val="single" w:color="auto" w:sz="4" w:space="0"/>
              <w:right w:val="single" w:color="auto" w:sz="4" w:space="0"/>
            </w:tcBorders>
            <w:vAlign w:val="bottom"/>
          </w:tcPr>
          <w:p>
            <w:pPr>
              <w:pStyle w:val="118"/>
            </w:pPr>
            <w:r>
              <w:t>NOTE 1:</w:t>
            </w:r>
            <w:r>
              <w:tab/>
            </w:r>
            <w:r>
              <w:t>F</w:t>
            </w:r>
            <w:r>
              <w:rPr>
                <w:vertAlign w:val="subscript"/>
              </w:rPr>
              <w:t>DL_low</w:t>
            </w:r>
            <w:r>
              <w:t xml:space="preserve"> and F</w:t>
            </w:r>
            <w:r>
              <w:rPr>
                <w:vertAlign w:val="subscript"/>
              </w:rPr>
              <w:t>DL_high</w:t>
            </w:r>
            <w:r>
              <w:t xml:space="preserve"> refer to each E-UTRA frequency band specified in Table 5.4A.2-1</w:t>
            </w:r>
          </w:p>
          <w:p>
            <w:pPr>
              <w:pStyle w:val="118"/>
            </w:pPr>
            <w:r>
              <w:t>NOTE 2:</w:t>
            </w:r>
            <w:r>
              <w:tab/>
            </w:r>
            <w:r>
              <w:t>As exceptions, measurements with a level up to the applicable requirements defined in Table 6.5A.4.2-2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p>
            <w:pPr>
              <w:pStyle w:val="118"/>
            </w:pPr>
            <w:r>
              <w:t>NOTE 3:</w:t>
            </w:r>
            <w:r>
              <w:tab/>
            </w:r>
            <w:r>
              <w:t>The co-existence between 256 and band 2, 25 and 70 is subject to regional/national regulation.</w:t>
            </w:r>
          </w:p>
        </w:tc>
      </w:tr>
    </w:tbl>
    <w:p/>
    <w:p>
      <w:r>
        <w:t>The normative reference for this requirement is TS 36.102 [11] subclause 6.5A.4.3.</w:t>
      </w:r>
    </w:p>
    <w:p>
      <w:pPr>
        <w:pStyle w:val="9"/>
      </w:pPr>
      <w:r>
        <w:t>6.5A.4.3.4</w:t>
      </w:r>
      <w:r>
        <w:tab/>
      </w:r>
      <w:r>
        <w:t>Test description</w:t>
      </w:r>
    </w:p>
    <w:p>
      <w:pPr>
        <w:pStyle w:val="9"/>
      </w:pPr>
      <w:r>
        <w:t>6.5A.4.3.4.1</w:t>
      </w:r>
      <w:r>
        <w:tab/>
      </w:r>
      <w:r>
        <w:rPr>
          <w:snapToGrid w:val="0"/>
        </w:rP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r>
        <w:rPr>
          <w:rFonts w:cs="v5.0.0"/>
        </w:rPr>
        <w:t>Configurations of PDSCH and MPDCCH before measurement are specified in Annex C.2.</w:t>
      </w:r>
    </w:p>
    <w:p>
      <w:pPr>
        <w:pStyle w:val="113"/>
      </w:pPr>
      <w:r>
        <w:t>Table 6.5A.4.3.4.1-1: Test Configuration Table</w:t>
      </w:r>
    </w:p>
    <w:tbl>
      <w:tblPr>
        <w:tblStyle w:val="89"/>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165"/>
        <w:gridCol w:w="2330"/>
        <w:gridCol w:w="1165"/>
        <w:gridCol w:w="3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56" w:type="dxa"/>
            <w:gridSpan w:val="5"/>
            <w:tcBorders>
              <w:top w:val="single" w:color="auto" w:sz="4" w:space="0"/>
              <w:left w:val="single" w:color="auto" w:sz="4" w:space="0"/>
              <w:bottom w:val="single" w:color="auto" w:sz="4" w:space="0"/>
              <w:right w:val="single" w:color="auto" w:sz="4" w:space="0"/>
            </w:tcBorders>
          </w:tcPr>
          <w:p>
            <w:pPr>
              <w:pStyle w:val="118"/>
              <w:jc w:val="center"/>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3"/>
          </w:tcPr>
          <w:p>
            <w:pPr>
              <w:pStyle w:val="103"/>
            </w:pPr>
            <w:r>
              <w:t>Test Environment</w:t>
            </w:r>
          </w:p>
          <w:p>
            <w:pPr>
              <w:pStyle w:val="103"/>
              <w:rPr>
                <w:bCs/>
              </w:rPr>
            </w:pPr>
            <w:r>
              <w:t>(as specified in TS 36.508 [12] subclause 4.1)</w:t>
            </w:r>
          </w:p>
        </w:tc>
        <w:tc>
          <w:tcPr>
            <w:tcW w:w="4696" w:type="dxa"/>
            <w:gridSpan w:val="2"/>
            <w:vAlign w:val="center"/>
          </w:tcPr>
          <w:p>
            <w:pPr>
              <w:pStyle w:val="103"/>
              <w:jc w:val="both"/>
            </w:pPr>
            <w:r>
              <w:rPr>
                <w:bCs/>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3"/>
          </w:tcPr>
          <w:p>
            <w:pPr>
              <w:pStyle w:val="103"/>
            </w:pPr>
            <w:r>
              <w:rPr>
                <w:bCs/>
              </w:rPr>
              <w:t>Test Frequencies</w:t>
            </w:r>
          </w:p>
          <w:p>
            <w:pPr>
              <w:pStyle w:val="103"/>
            </w:pPr>
            <w:r>
              <w:t>(as specified in TS36.508 [12] subclause 4.3.1)</w:t>
            </w:r>
            <w:r>
              <w:br w:type="textWrapping"/>
            </w:r>
            <w:r>
              <w:t>(Note 6, Note 7)</w:t>
            </w:r>
          </w:p>
        </w:tc>
        <w:tc>
          <w:tcPr>
            <w:tcW w:w="4696" w:type="dxa"/>
            <w:gridSpan w:val="2"/>
            <w:vAlign w:val="center"/>
          </w:tcPr>
          <w:p>
            <w:pPr>
              <w:pStyle w:val="103"/>
              <w:jc w:val="both"/>
            </w:pPr>
            <w:r>
              <w:rPr>
                <w:bCs/>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3"/>
          </w:tcPr>
          <w:p>
            <w:pPr>
              <w:pStyle w:val="103"/>
            </w:pPr>
            <w:r>
              <w:rPr>
                <w:bCs/>
              </w:rPr>
              <w:t>Test Channel Bandwidths</w:t>
            </w:r>
          </w:p>
          <w:p>
            <w:pPr>
              <w:pStyle w:val="103"/>
            </w:pPr>
            <w:r>
              <w:t>(as specified in TS 36.508 [12] subclause 4.3.1)</w:t>
            </w:r>
          </w:p>
        </w:tc>
        <w:tc>
          <w:tcPr>
            <w:tcW w:w="4696" w:type="dxa"/>
            <w:gridSpan w:val="2"/>
            <w:vAlign w:val="center"/>
          </w:tcPr>
          <w:p>
            <w:pPr>
              <w:pStyle w:val="103"/>
              <w:jc w:val="both"/>
            </w:pPr>
            <w:r>
              <w:rPr>
                <w:bCs/>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56" w:type="dxa"/>
            <w:gridSpan w:val="5"/>
          </w:tcPr>
          <w:p>
            <w:pPr>
              <w:pStyle w:val="104"/>
            </w:pPr>
            <w: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3495" w:type="dxa"/>
            <w:gridSpan w:val="2"/>
          </w:tcPr>
          <w:p>
            <w:pPr>
              <w:pStyle w:val="104"/>
            </w:pPr>
            <w:r>
              <w:t>Downlink Configuration</w:t>
            </w:r>
          </w:p>
        </w:tc>
        <w:tc>
          <w:tcPr>
            <w:tcW w:w="4696" w:type="dxa"/>
            <w:gridSpan w:val="2"/>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Pr>
          <w:p>
            <w:pPr>
              <w:pStyle w:val="105"/>
            </w:pPr>
            <w:r>
              <w:t>Ch BW</w:t>
            </w:r>
          </w:p>
        </w:tc>
        <w:tc>
          <w:tcPr>
            <w:tcW w:w="1165" w:type="dxa"/>
          </w:tcPr>
          <w:p>
            <w:pPr>
              <w:pStyle w:val="105"/>
            </w:pPr>
            <w:r>
              <w:t>Mod'n</w:t>
            </w:r>
          </w:p>
        </w:tc>
        <w:tc>
          <w:tcPr>
            <w:tcW w:w="2330" w:type="dxa"/>
          </w:tcPr>
          <w:p>
            <w:pPr>
              <w:pStyle w:val="105"/>
            </w:pPr>
            <w:r>
              <w:t>RB allocation</w:t>
            </w:r>
          </w:p>
        </w:tc>
        <w:tc>
          <w:tcPr>
            <w:tcW w:w="1165" w:type="dxa"/>
          </w:tcPr>
          <w:p>
            <w:pPr>
              <w:pStyle w:val="105"/>
            </w:pPr>
            <w:r>
              <w:t>Mod'n</w:t>
            </w:r>
          </w:p>
        </w:tc>
        <w:tc>
          <w:tcPr>
            <w:tcW w:w="3531" w:type="dxa"/>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1165" w:type="dxa"/>
            <w:tcBorders>
              <w:bottom w:val="single" w:color="auto" w:sz="4" w:space="0"/>
            </w:tcBorders>
          </w:tcPr>
          <w:p>
            <w:pPr>
              <w:pStyle w:val="105"/>
            </w:pPr>
          </w:p>
        </w:tc>
        <w:tc>
          <w:tcPr>
            <w:tcW w:w="2330" w:type="dxa"/>
            <w:tcBorders>
              <w:bottom w:val="single" w:color="auto" w:sz="4" w:space="0"/>
            </w:tcBorders>
          </w:tcPr>
          <w:p>
            <w:pPr>
              <w:pStyle w:val="105"/>
            </w:pPr>
            <w:r>
              <w:t>FDD</w:t>
            </w:r>
          </w:p>
        </w:tc>
        <w:tc>
          <w:tcPr>
            <w:tcW w:w="1165" w:type="dxa"/>
          </w:tcPr>
          <w:p>
            <w:pPr>
              <w:pStyle w:val="105"/>
            </w:pPr>
          </w:p>
        </w:tc>
        <w:tc>
          <w:tcPr>
            <w:tcW w:w="3531" w:type="dxa"/>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right w:val="single" w:color="auto" w:sz="4" w:space="0"/>
            </w:tcBorders>
          </w:tcPr>
          <w:p>
            <w:pPr>
              <w:pStyle w:val="105"/>
            </w:pPr>
            <w:r>
              <w:t>1.4MHz</w:t>
            </w:r>
          </w:p>
        </w:tc>
        <w:tc>
          <w:tcPr>
            <w:tcW w:w="3495" w:type="dxa"/>
            <w:gridSpan w:val="2"/>
            <w:vMerge w:val="restart"/>
            <w:tcBorders>
              <w:top w:val="single" w:color="auto" w:sz="4" w:space="0"/>
              <w:left w:val="single" w:color="auto" w:sz="4" w:space="0"/>
              <w:right w:val="single" w:color="auto" w:sz="4" w:space="0"/>
            </w:tcBorders>
          </w:tcPr>
          <w:p>
            <w:pPr>
              <w:pStyle w:val="105"/>
            </w:pPr>
            <w:r>
              <w:t>N/A for Spurious Emissions testing</w:t>
            </w:r>
          </w:p>
        </w:tc>
        <w:tc>
          <w:tcPr>
            <w:tcW w:w="1165" w:type="dxa"/>
            <w:tcBorders>
              <w:left w:val="single" w:color="auto" w:sz="4" w:space="0"/>
            </w:tcBorders>
          </w:tcPr>
          <w:p>
            <w:pPr>
              <w:pStyle w:val="105"/>
            </w:pPr>
            <w:r>
              <w:t>QPSK</w:t>
            </w:r>
          </w:p>
        </w:tc>
        <w:tc>
          <w:tcPr>
            <w:tcW w:w="3531" w:type="dxa"/>
          </w:tcPr>
          <w:p>
            <w:pPr>
              <w:pStyle w:val="105"/>
            </w:pPr>
            <w: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left w:val="single" w:color="auto" w:sz="4" w:space="0"/>
              <w:right w:val="single" w:color="auto" w:sz="4" w:space="0"/>
            </w:tcBorders>
          </w:tcPr>
          <w:p>
            <w:pPr>
              <w:pStyle w:val="105"/>
            </w:pPr>
            <w:r>
              <w:t>1.4MHz</w:t>
            </w:r>
          </w:p>
        </w:tc>
        <w:tc>
          <w:tcPr>
            <w:tcW w:w="3495" w:type="dxa"/>
            <w:gridSpan w:val="2"/>
            <w:vMerge w:val="continue"/>
            <w:tcBorders>
              <w:left w:val="single" w:color="auto" w:sz="4" w:space="0"/>
              <w:right w:val="single" w:color="auto" w:sz="4" w:space="0"/>
            </w:tcBorders>
          </w:tcPr>
          <w:p>
            <w:pPr>
              <w:pStyle w:val="105"/>
              <w:rPr>
                <w:rFonts w:cs="v5.0.0"/>
              </w:rPr>
            </w:pPr>
          </w:p>
        </w:tc>
        <w:tc>
          <w:tcPr>
            <w:tcW w:w="1165" w:type="dxa"/>
            <w:tcBorders>
              <w:left w:val="single" w:color="auto" w:sz="4" w:space="0"/>
            </w:tcBorders>
          </w:tcPr>
          <w:p>
            <w:pPr>
              <w:pStyle w:val="105"/>
            </w:pPr>
            <w:r>
              <w:t>QPSK</w:t>
            </w:r>
          </w:p>
        </w:tc>
        <w:tc>
          <w:tcPr>
            <w:tcW w:w="353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left w:val="single" w:color="auto" w:sz="4" w:space="0"/>
              <w:right w:val="single" w:color="auto" w:sz="4" w:space="0"/>
            </w:tcBorders>
          </w:tcPr>
          <w:p>
            <w:pPr>
              <w:pStyle w:val="105"/>
            </w:pPr>
            <w:r>
              <w:t>1.4MHz</w:t>
            </w:r>
          </w:p>
        </w:tc>
        <w:tc>
          <w:tcPr>
            <w:tcW w:w="3495" w:type="dxa"/>
            <w:gridSpan w:val="2"/>
            <w:vMerge w:val="continue"/>
            <w:tcBorders>
              <w:left w:val="single" w:color="auto" w:sz="4" w:space="0"/>
              <w:bottom w:val="nil"/>
              <w:right w:val="single" w:color="auto" w:sz="4" w:space="0"/>
            </w:tcBorders>
          </w:tcPr>
          <w:p>
            <w:pPr>
              <w:pStyle w:val="105"/>
              <w:rPr>
                <w:rFonts w:cs="v5.0.0"/>
              </w:rPr>
            </w:pPr>
          </w:p>
        </w:tc>
        <w:tc>
          <w:tcPr>
            <w:tcW w:w="1165" w:type="dxa"/>
            <w:tcBorders>
              <w:left w:val="single" w:color="auto" w:sz="4" w:space="0"/>
            </w:tcBorders>
          </w:tcPr>
          <w:p>
            <w:pPr>
              <w:pStyle w:val="105"/>
            </w:pPr>
            <w:r>
              <w:t>QPSK</w:t>
            </w:r>
          </w:p>
        </w:tc>
        <w:tc>
          <w:tcPr>
            <w:tcW w:w="3531" w:type="dxa"/>
          </w:tcPr>
          <w:p>
            <w:pPr>
              <w:pStyle w:val="105"/>
            </w:pPr>
            <w:r>
              <w:t>1@5</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36.508[12] Annex A Figure A.7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Table 6.5A.4.3.4.1-1.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pPr>
        <w:pStyle w:val="111"/>
        <w:overflowPunct w:val="0"/>
        <w:autoSpaceDE w:val="0"/>
        <w:autoSpaceDN w:val="0"/>
        <w:adjustRightInd w:val="0"/>
        <w:contextualSpacing w:val="0"/>
        <w:textAlignment w:val="baseline"/>
        <w:rPr>
          <w:color w:val="000000" w:themeColor="text1"/>
          <w14:textFill>
            <w14:solidFill>
              <w14:schemeClr w14:val="tx1"/>
            </w14:solidFill>
          </w14:textFill>
        </w:rPr>
      </w:pPr>
      <w:r>
        <w:rPr>
          <w:rFonts w:hint="eastAsia"/>
          <w:lang w:eastAsia="en-GB"/>
        </w:rPr>
        <w:t>7</w:t>
      </w:r>
      <w:r>
        <w:rPr>
          <w:lang w:eastAsia="en-GB"/>
        </w:rPr>
        <w:t>.</w:t>
      </w:r>
      <w:r>
        <w:rPr>
          <w:lang w:eastAsia="en-GB"/>
        </w:rPr>
        <w:tab/>
      </w:r>
      <w:r>
        <w:t>Test equipment shall emu</w:t>
      </w:r>
      <w:r>
        <w:rPr>
          <w:color w:val="000000" w:themeColor="text1"/>
          <w14:textFill>
            <w14:solidFill>
              <w14:schemeClr w14:val="tx1"/>
            </w14:solidFill>
          </w14:textFill>
        </w:rPr>
        <w:t xml:space="preserve">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duration of the test as define in TS 36.508[12] clause 5.6.3.1</w:t>
      </w:r>
    </w:p>
    <w:p>
      <w:pPr>
        <w:pStyle w:val="111"/>
        <w:overflowPunct w:val="0"/>
        <w:autoSpaceDE w:val="0"/>
        <w:autoSpaceDN w:val="0"/>
        <w:adjustRightInd w:val="0"/>
        <w:contextualSpacing w:val="0"/>
        <w:textAlignment w:val="baseline"/>
        <w:rPr>
          <w:lang w:eastAsia="en-GB"/>
        </w:rPr>
      </w:pPr>
      <w:r>
        <w:rPr>
          <w:rFonts w:hint="eastAsia"/>
        </w:rPr>
        <w:t>8</w:t>
      </w:r>
      <w:r>
        <w:t>.</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6.5A.4.3.4.3.</w:t>
      </w:r>
    </w:p>
    <w:p>
      <w:pPr>
        <w:pStyle w:val="9"/>
        <w:rPr>
          <w:snapToGrid w:val="0"/>
        </w:rPr>
      </w:pPr>
      <w:r>
        <w:t>6.5A.4.3.4.2</w:t>
      </w:r>
      <w:r>
        <w:tab/>
      </w:r>
      <w:r>
        <w:rPr>
          <w:snapToGrid w:val="0"/>
        </w:rP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MPDCCH DCI format 6-0A for C_RNTI to schedule the UL RMC according to Table 6.5A.4.3.4.1-1.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Send continuously uplink power control "up" commands in the uplink scheduling information to the UE until the UE transmits at PUMAX level.</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power of the transmitted signal with a measurement filter of bandwidths according to table 6.</w:t>
      </w:r>
      <w:r>
        <w:rPr>
          <w:rFonts w:hint="eastAsia"/>
          <w:lang w:val="en-US" w:eastAsia="en-GB"/>
        </w:rPr>
        <w:t>5A</w:t>
      </w:r>
      <w:r>
        <w:rPr>
          <w:rFonts w:hint="eastAsia"/>
          <w:lang w:eastAsia="en-GB"/>
        </w:rPr>
        <w:t>.</w:t>
      </w:r>
      <w:r>
        <w:rPr>
          <w:rFonts w:hint="eastAsia"/>
          <w:lang w:val="en-US" w:eastAsia="en-GB"/>
        </w:rPr>
        <w:t>4</w:t>
      </w:r>
      <w:r>
        <w:rPr>
          <w:rFonts w:hint="eastAsia"/>
          <w:lang w:eastAsia="en-GB"/>
        </w:rPr>
        <w:t>.3.3-1. The centre frequency of the filter shall be stepped in contiguous steps according to table 6.5A.4.3.3-1. The measured power shall be verified for each step. The measurement period shall capture the active time slots. During measurement the spectrum analyser shall be set to 'Detector' = RMS.</w:t>
      </w:r>
    </w:p>
    <w:p>
      <w:pPr>
        <w:pStyle w:val="9"/>
        <w:rPr>
          <w:snapToGrid w:val="0"/>
        </w:rPr>
      </w:pPr>
      <w:r>
        <w:t>6.5A.4.3.4.3</w:t>
      </w:r>
      <w:r>
        <w:tab/>
      </w:r>
      <w:r>
        <w:rPr>
          <w:snapToGrid w:val="0"/>
        </w:rPr>
        <w:t>Message contents</w:t>
      </w:r>
    </w:p>
    <w:p>
      <w:r>
        <w:t>Message contents are according to TS 36.508 [12] subclause 4.6 with the condition CEModeA.</w:t>
      </w:r>
    </w:p>
    <w:p>
      <w:pPr>
        <w:pStyle w:val="9"/>
      </w:pPr>
      <w:r>
        <w:rPr>
          <w:snapToGrid w:val="0"/>
        </w:rPr>
        <w:t>6.5A.4.3.5</w:t>
      </w:r>
      <w:r>
        <w:rPr>
          <w:snapToGrid w:val="0"/>
        </w:rPr>
        <w:tab/>
      </w:r>
      <w:r>
        <w:t xml:space="preserve">Test requirement </w:t>
      </w:r>
    </w:p>
    <w:p>
      <w:r>
        <w:t>Test requirements for Spurious Emissions UE Co-existence are the same as the minimum requirements and are not repeated in this section.</w:t>
      </w:r>
    </w:p>
    <w:p>
      <w:r>
        <w:t xml:space="preserve">The measured average power of spurious emission, derived in step </w:t>
      </w:r>
      <w:r>
        <w:rPr>
          <w:rFonts w:eastAsia="MS Mincho"/>
        </w:rPr>
        <w:t>3</w:t>
      </w:r>
      <w:r>
        <w:t>, shall not exceed the described value in table 6.5A.4.3.3-1</w:t>
      </w:r>
    </w:p>
    <w:p>
      <w:pPr>
        <w:pStyle w:val="6"/>
      </w:pPr>
      <w:bookmarkStart w:id="882" w:name="_Toc120570065"/>
      <w:bookmarkStart w:id="883" w:name="_Toc24911"/>
      <w:bookmarkStart w:id="884" w:name="_Toc18015"/>
      <w:bookmarkStart w:id="885" w:name="_Toc30291"/>
      <w:bookmarkStart w:id="886" w:name="_Toc121162857"/>
      <w:bookmarkStart w:id="887" w:name="_Toc15957"/>
      <w:bookmarkStart w:id="888" w:name="_Toc11932"/>
      <w:bookmarkStart w:id="889" w:name="_Toc22217"/>
      <w:bookmarkStart w:id="890" w:name="_Toc27185"/>
      <w:r>
        <w:t>6.5A.4.4</w:t>
      </w:r>
      <w:r>
        <w:tab/>
      </w:r>
      <w:r>
        <w:t>Additional spurious emissions</w:t>
      </w:r>
      <w:bookmarkEnd w:id="882"/>
      <w:bookmarkEnd w:id="883"/>
      <w:bookmarkEnd w:id="884"/>
      <w:bookmarkEnd w:id="885"/>
      <w:bookmarkEnd w:id="886"/>
      <w:r>
        <w:rPr>
          <w:rFonts w:hint="eastAsia"/>
        </w:rPr>
        <w:t xml:space="preserve"> for category M1</w:t>
      </w:r>
      <w:bookmarkEnd w:id="887"/>
      <w:bookmarkEnd w:id="888"/>
      <w:bookmarkEnd w:id="889"/>
      <w:bookmarkEnd w:id="890"/>
    </w:p>
    <w:p>
      <w:pPr>
        <w:pStyle w:val="112"/>
        <w:rPr>
          <w:lang w:val="en-US"/>
        </w:rPr>
      </w:pPr>
      <w:bookmarkStart w:id="891" w:name="_Toc11774"/>
      <w:bookmarkStart w:id="892" w:name="_Toc104503654"/>
      <w:bookmarkStart w:id="893" w:name="_Toc104206694"/>
      <w:bookmarkStart w:id="894" w:name="_Toc106127585"/>
      <w:bookmarkStart w:id="895" w:name="_Toc104205487"/>
      <w:bookmarkStart w:id="896" w:name="_Toc4013"/>
      <w:bookmarkStart w:id="897" w:name="_Toc120570066"/>
      <w:bookmarkStart w:id="898" w:name="_Toc104122536"/>
      <w:bookmarkStart w:id="899" w:name="_Toc121162858"/>
      <w:r>
        <w:t>Editor’s Note: Addition to applicability spec is pending.</w:t>
      </w:r>
    </w:p>
    <w:p>
      <w:pPr>
        <w:pStyle w:val="9"/>
        <w:rPr>
          <w:sz w:val="20"/>
        </w:rPr>
      </w:pPr>
      <w:bookmarkStart w:id="900" w:name="_Toc30129"/>
      <w:bookmarkStart w:id="901" w:name="_Toc18117"/>
      <w:bookmarkStart w:id="902" w:name="_Toc19366"/>
      <w:r>
        <w:rPr>
          <w:sz w:val="20"/>
        </w:rPr>
        <w:t>6.5A.4.4.</w:t>
      </w:r>
      <w:r>
        <w:rPr>
          <w:sz w:val="20"/>
          <w:lang w:val="en-GB"/>
        </w:rPr>
        <w:t>0</w:t>
      </w:r>
      <w:r>
        <w:rPr>
          <w:sz w:val="20"/>
        </w:rPr>
        <w:tab/>
      </w:r>
      <w:r>
        <w:rPr>
          <w:sz w:val="20"/>
        </w:rPr>
        <w:t>General</w:t>
      </w:r>
      <w:bookmarkEnd w:id="891"/>
      <w:bookmarkEnd w:id="892"/>
      <w:bookmarkEnd w:id="893"/>
      <w:bookmarkEnd w:id="894"/>
      <w:bookmarkEnd w:id="895"/>
      <w:bookmarkEnd w:id="896"/>
      <w:bookmarkEnd w:id="897"/>
      <w:bookmarkEnd w:id="898"/>
      <w:bookmarkEnd w:id="899"/>
      <w:bookmarkEnd w:id="900"/>
      <w:bookmarkEnd w:id="901"/>
      <w:bookmarkEnd w:id="902"/>
    </w:p>
    <w:p>
      <w:pPr>
        <w:rPr>
          <w:rFonts w:eastAsia="Times New Roman"/>
          <w:lang w:val="en-GB" w:eastAsia="en-US"/>
        </w:rPr>
      </w:pPr>
      <w:r>
        <w:rPr>
          <w:rFonts w:eastAsia="Times New Roman"/>
          <w:lang w:val="en-GB" w:eastAsia="en-US"/>
        </w:rPr>
        <w:t>These requirements are specified in terms of an additional spectrum emission requirement. Additional spurious</w:t>
      </w:r>
      <w:r>
        <w:t xml:space="preserve"> </w:t>
      </w:r>
      <w:r>
        <w:rPr>
          <w:rFonts w:eastAsia="Times New Roman"/>
          <w:lang w:val="en-GB" w:eastAsia="en-US"/>
        </w:rPr>
        <w:t>emission requirements are signalled by the network to indicate that the UE shall meet an additional requirement for a</w:t>
      </w:r>
      <w:r>
        <w:t xml:space="preserve"> </w:t>
      </w:r>
      <w:r>
        <w:rPr>
          <w:rFonts w:eastAsia="Times New Roman"/>
          <w:lang w:val="en-GB" w:eastAsia="en-US"/>
        </w:rPr>
        <w:t>specific deployment scenario as part of the cell handover/broadcast message.</w:t>
      </w:r>
    </w:p>
    <w:p>
      <w:pPr>
        <w:pStyle w:val="100"/>
        <w:rPr>
          <w:lang w:val="en-US" w:eastAsia="zh-CN"/>
        </w:rPr>
      </w:pPr>
      <w:r>
        <w:t>NOTE: In addition to the requirements below, additional UE region-specific emissions requirements for European are expected to be added once more information becomes available</w:t>
      </w:r>
      <w:r>
        <w:rPr>
          <w:lang w:val="en-US"/>
        </w:rPr>
        <w:t>.</w:t>
      </w:r>
    </w:p>
    <w:p>
      <w:pPr>
        <w:pStyle w:val="9"/>
      </w:pPr>
      <w:bookmarkStart w:id="903" w:name="_Toc84413808"/>
      <w:bookmarkStart w:id="904" w:name="_Toc104122537"/>
      <w:bookmarkStart w:id="905" w:name="_Toc26632"/>
      <w:bookmarkStart w:id="906" w:name="_Toc106127586"/>
      <w:bookmarkStart w:id="907" w:name="_Toc37251412"/>
      <w:bookmarkStart w:id="908" w:name="_Toc29801855"/>
      <w:bookmarkStart w:id="909" w:name="_Toc120570067"/>
      <w:bookmarkStart w:id="910" w:name="_Toc61372968"/>
      <w:bookmarkStart w:id="911" w:name="_Toc121162859"/>
      <w:bookmarkStart w:id="912" w:name="_Toc104503655"/>
      <w:bookmarkStart w:id="913" w:name="_Toc61367585"/>
      <w:bookmarkStart w:id="914" w:name="_Toc29802904"/>
      <w:bookmarkStart w:id="915" w:name="_Toc104205488"/>
      <w:bookmarkStart w:id="916" w:name="_Toc68230916"/>
      <w:bookmarkStart w:id="917" w:name="_Toc45888891"/>
      <w:bookmarkStart w:id="918" w:name="_Toc84405199"/>
      <w:bookmarkStart w:id="919" w:name="_Toc97562303"/>
      <w:bookmarkStart w:id="920" w:name="_Toc5179"/>
      <w:bookmarkStart w:id="921" w:name="_Toc83580690"/>
      <w:bookmarkStart w:id="922" w:name="_Toc104206695"/>
      <w:bookmarkStart w:id="923" w:name="_Toc45888292"/>
      <w:bookmarkStart w:id="924" w:name="_Toc75467339"/>
      <w:bookmarkStart w:id="925" w:name="_Toc69084329"/>
      <w:bookmarkStart w:id="926" w:name="_Toc29802279"/>
      <w:bookmarkStart w:id="927" w:name="_Toc76718351"/>
      <w:bookmarkStart w:id="928" w:name="_Toc76509361"/>
      <w:bookmarkStart w:id="929" w:name="_Toc21344369"/>
      <w:r>
        <w:t>6.5A.4.4.</w:t>
      </w:r>
      <w:r>
        <w:rPr>
          <w:lang w:val="en-US"/>
        </w:rPr>
        <w:t>1</w:t>
      </w:r>
      <w:r>
        <w:tab/>
      </w:r>
      <w:r>
        <w:t>Test purpose</w:t>
      </w:r>
    </w:p>
    <w:p>
      <w:pPr>
        <w:rPr>
          <w:lang w:eastAsia="en-GB"/>
        </w:rPr>
      </w:pPr>
      <w:r>
        <w:rPr>
          <w:lang w:eastAsia="en-GB"/>
        </w:rPr>
        <w:t>To verify that UE transmitter does not cause unacceptable interference to other channels or other systems in terms of transmitter spurious emissions under the deployment scenarios where additional requirements are specified.</w:t>
      </w:r>
    </w:p>
    <w:p>
      <w:pPr>
        <w:pStyle w:val="9"/>
        <w:rPr>
          <w:lang w:val="en-US"/>
        </w:rPr>
      </w:pPr>
      <w:r>
        <w:t>6.5A.4.4.</w:t>
      </w:r>
      <w:r>
        <w:rPr>
          <w:rFonts w:hint="eastAsia"/>
          <w:lang w:val="en-US"/>
        </w:rPr>
        <w:t>2</w:t>
      </w:r>
      <w:r>
        <w:rPr>
          <w:lang w:val="en-US"/>
        </w:rPr>
        <w:tab/>
      </w:r>
      <w:r>
        <w:rPr>
          <w:lang w:val="en-US"/>
        </w:rPr>
        <w:t>Test applicability</w:t>
      </w:r>
    </w:p>
    <w:p>
      <w:pPr>
        <w:rPr>
          <w:lang w:eastAsia="en-GB"/>
        </w:rPr>
      </w:pPr>
      <w:r>
        <w:rPr>
          <w:lang w:eastAsia="en-GB"/>
        </w:rPr>
        <w:t>This test case applies to all types of E-UTRA UE release 13 and forward of UE category M1 that support satellite access operation.</w:t>
      </w:r>
    </w:p>
    <w:p>
      <w:pPr>
        <w:pStyle w:val="9"/>
        <w:rPr>
          <w:lang w:val="en-US"/>
        </w:rPr>
      </w:pPr>
      <w:r>
        <w:t>6.5A.4.4.</w:t>
      </w:r>
      <w:r>
        <w:rPr>
          <w:rFonts w:hint="eastAsia"/>
          <w:lang w:val="en-US"/>
        </w:rPr>
        <w:t>3</w:t>
      </w:r>
      <w:r>
        <w:rPr>
          <w:lang w:val="en-US"/>
        </w:rPr>
        <w:tab/>
      </w:r>
      <w:r>
        <w:rPr>
          <w:lang w:val="en-US"/>
        </w:rPr>
        <w:t>Minimum conformance requirements</w:t>
      </w:r>
    </w:p>
    <w:p>
      <w:pPr>
        <w:rPr>
          <w:rFonts w:eastAsia="MS Mincho"/>
          <w:lang w:eastAsia="en-GB"/>
        </w:rPr>
      </w:pPr>
      <w:r>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pPr>
        <w:pStyle w:val="100"/>
        <w:keepLines/>
        <w:ind w:left="1135"/>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pStyle w:val="9"/>
      </w:pPr>
      <w:bookmarkStart w:id="930" w:name="_Hlk141196889"/>
      <w:r>
        <w:rPr>
          <w:rFonts w:hint="eastAsia"/>
        </w:rPr>
        <w:t>6.5A</w:t>
      </w:r>
      <w:r>
        <w:t>.4.4.3.1</w:t>
      </w:r>
      <w:r>
        <w:tab/>
      </w:r>
      <w:r>
        <w:t>Minimum requirement (network signalled value "NS_02N"</w:t>
      </w:r>
      <w:bookmarkEnd w:id="930"/>
      <w:r>
        <w:t>)</w:t>
      </w:r>
    </w:p>
    <w:p>
      <w:pPr>
        <w:rPr>
          <w:lang w:eastAsia="zh-TW"/>
        </w:rPr>
      </w:pPr>
      <w:r>
        <w:rPr>
          <w:lang w:eastAsia="en-GB"/>
        </w:rPr>
        <w:t>When "NS</w:t>
      </w:r>
      <w:r>
        <w:rPr>
          <w:rFonts w:hint="eastAsia"/>
          <w:lang w:val="en-US"/>
        </w:rPr>
        <w:t>_02</w:t>
      </w:r>
      <w:r>
        <w:rPr>
          <w:lang w:eastAsia="en-GB"/>
        </w:rPr>
        <w:t>N" is indicated in the cell, the power of any UE emission shall not exceed the levels specified in Table 6.5A.</w:t>
      </w:r>
      <w:r>
        <w:rPr>
          <w:lang w:val="en-US"/>
        </w:rPr>
        <w:t>4</w:t>
      </w:r>
      <w:r>
        <w:rPr>
          <w:lang w:eastAsia="en-GB"/>
        </w:rPr>
        <w:t>.4.3.1-1. This requirement also applies for the frequency ranges that are less than F</w:t>
      </w:r>
      <w:r>
        <w:rPr>
          <w:vertAlign w:val="subscript"/>
          <w:lang w:eastAsia="en-GB"/>
        </w:rPr>
        <w:t>OOB</w:t>
      </w:r>
      <w:r>
        <w:rPr>
          <w:lang w:eastAsia="en-GB"/>
        </w:rPr>
        <w:t xml:space="preserve"> (MHz) in Table 6.5A.4.1.5-1 from the edge of the channel bandwidth. Network signalling remark NS_02N applies integer-value 2. </w:t>
      </w:r>
    </w:p>
    <w:p>
      <w:pPr>
        <w:keepNext/>
        <w:keepLines/>
        <w:spacing w:before="60"/>
        <w:jc w:val="center"/>
        <w:rPr>
          <w:rFonts w:ascii="Arial" w:hAnsi="Arial"/>
          <w:b/>
          <w:lang w:eastAsia="en-GB"/>
        </w:rPr>
      </w:pPr>
      <w:r>
        <w:rPr>
          <w:rFonts w:ascii="Arial" w:hAnsi="Arial"/>
          <w:b/>
          <w:lang w:eastAsia="en-GB"/>
        </w:rPr>
        <w:t>Table 6.5A.</w:t>
      </w:r>
      <w:r>
        <w:rPr>
          <w:rFonts w:ascii="Arial" w:hAnsi="Arial"/>
          <w:b/>
          <w:lang w:val="en-US"/>
        </w:rPr>
        <w:t>4</w:t>
      </w:r>
      <w:r>
        <w:rPr>
          <w:rFonts w:ascii="Arial" w:hAnsi="Arial"/>
          <w:b/>
          <w:lang w:eastAsia="en-GB"/>
        </w:rPr>
        <w:t xml:space="preserve">.4.3.1-1: Additional requirements for </w:t>
      </w:r>
      <w:r>
        <w:rPr>
          <w:rFonts w:ascii="Arial" w:hAnsi="Arial" w:eastAsia="Yu Mincho"/>
          <w:b/>
          <w:lang w:eastAsia="en-GB"/>
        </w:rPr>
        <w:t>"</w:t>
      </w:r>
      <w:r>
        <w:rPr>
          <w:rFonts w:ascii="Arial" w:hAnsi="Arial"/>
          <w:b/>
          <w:lang w:eastAsia="en-GB"/>
        </w:rPr>
        <w:t>NS_</w:t>
      </w:r>
      <w:r>
        <w:rPr>
          <w:rFonts w:hint="eastAsia" w:ascii="Arial" w:hAnsi="Arial"/>
          <w:b/>
          <w:lang w:val="en-US"/>
        </w:rPr>
        <w:t>02</w:t>
      </w:r>
      <w:r>
        <w:rPr>
          <w:rFonts w:ascii="Arial" w:hAnsi="Arial"/>
          <w:b/>
          <w:lang w:val="en-US" w:eastAsia="en-GB"/>
        </w:rPr>
        <w:t>N</w:t>
      </w:r>
      <w:r>
        <w:rPr>
          <w:rFonts w:ascii="Arial" w:hAnsi="Arial" w:eastAsia="Yu Mincho"/>
          <w:b/>
          <w:lang w:eastAsia="en-GB"/>
        </w:rPr>
        <w:t>"</w:t>
      </w:r>
    </w:p>
    <w:tbl>
      <w:tblPr>
        <w:tblStyle w:val="89"/>
        <w:tblW w:w="8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2065"/>
        <w:gridCol w:w="1377"/>
        <w:gridCol w:w="3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1848"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Frequency band</w:t>
            </w:r>
          </w:p>
          <w:p>
            <w:pPr>
              <w:keepNext/>
              <w:keepLines/>
              <w:spacing w:after="0"/>
              <w:jc w:val="center"/>
              <w:rPr>
                <w:rFonts w:ascii="Arial" w:hAnsi="Arial" w:cs="Arial"/>
                <w:b/>
                <w:bCs/>
                <w:sz w:val="18"/>
                <w:lang w:eastAsia="en-GB"/>
              </w:rPr>
            </w:pPr>
            <w:r>
              <w:rPr>
                <w:rFonts w:ascii="Arial" w:hAnsi="Arial" w:cs="Arial"/>
                <w:b/>
                <w:bCs/>
                <w:sz w:val="18"/>
                <w:lang w:eastAsia="en-GB"/>
              </w:rPr>
              <w:t>(MHz)</w:t>
            </w:r>
          </w:p>
        </w:tc>
        <w:tc>
          <w:tcPr>
            <w:tcW w:w="2065" w:type="dxa"/>
          </w:tcPr>
          <w:p>
            <w:pPr>
              <w:keepNext/>
              <w:keepLines/>
              <w:spacing w:after="0"/>
              <w:jc w:val="center"/>
              <w:rPr>
                <w:rFonts w:ascii="Arial" w:hAnsi="Arial" w:cs="Arial"/>
                <w:b/>
                <w:bCs/>
                <w:sz w:val="18"/>
                <w:lang w:eastAsia="en-GB"/>
              </w:rPr>
            </w:pPr>
            <w:r>
              <w:rPr>
                <w:rFonts w:ascii="Arial" w:hAnsi="Arial" w:cs="Arial"/>
                <w:b/>
                <w:bCs/>
                <w:sz w:val="18"/>
                <w:lang w:eastAsia="en-GB"/>
              </w:rPr>
              <w:t>Channel bandwidth / Spectrum emission limit</w:t>
            </w:r>
            <w:r>
              <w:rPr>
                <w:rFonts w:ascii="Arial" w:hAnsi="Arial" w:cs="Arial"/>
                <w:b/>
                <w:bCs/>
                <w:sz w:val="18"/>
                <w:vertAlign w:val="superscript"/>
                <w:lang w:eastAsia="en-GB"/>
              </w:rPr>
              <w:t>1</w:t>
            </w:r>
            <w:r>
              <w:rPr>
                <w:rFonts w:ascii="Arial" w:hAnsi="Arial" w:cs="Arial"/>
                <w:b/>
                <w:bCs/>
                <w:sz w:val="18"/>
                <w:lang w:eastAsia="en-GB"/>
              </w:rPr>
              <w:t xml:space="preserve"> (dB</w:t>
            </w:r>
            <w:r>
              <w:rPr>
                <w:rFonts w:hint="eastAsia" w:ascii="Arial" w:hAnsi="Arial" w:cs="Arial"/>
                <w:b/>
                <w:bCs/>
                <w:sz w:val="18"/>
                <w:lang w:val="en-US"/>
              </w:rPr>
              <w:t>m</w:t>
            </w:r>
            <w:r>
              <w:rPr>
                <w:rFonts w:ascii="Arial" w:hAnsi="Arial" w:cs="Arial"/>
                <w:b/>
                <w:bCs/>
                <w:sz w:val="18"/>
                <w:lang w:eastAsia="en-GB"/>
              </w:rPr>
              <w:t>)</w:t>
            </w:r>
          </w:p>
        </w:tc>
        <w:tc>
          <w:tcPr>
            <w:tcW w:w="1377"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 xml:space="preserve">Measurement bandwidth </w:t>
            </w:r>
          </w:p>
        </w:tc>
        <w:tc>
          <w:tcPr>
            <w:tcW w:w="3003"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 w:hRule="atLeast"/>
          <w:jc w:val="center"/>
        </w:trPr>
        <w:tc>
          <w:tcPr>
            <w:tcW w:w="1848" w:type="dxa"/>
            <w:vMerge w:val="continue"/>
          </w:tcPr>
          <w:p>
            <w:pPr>
              <w:keepNext/>
              <w:keepLines/>
              <w:spacing w:after="0"/>
              <w:jc w:val="center"/>
              <w:rPr>
                <w:rFonts w:ascii="Arial" w:hAnsi="Arial" w:cs="Arial"/>
                <w:sz w:val="18"/>
                <w:lang w:eastAsia="en-GB"/>
              </w:rPr>
            </w:pPr>
          </w:p>
        </w:tc>
        <w:tc>
          <w:tcPr>
            <w:tcW w:w="2065" w:type="dxa"/>
          </w:tcPr>
          <w:p>
            <w:pPr>
              <w:keepNext/>
              <w:keepLines/>
              <w:spacing w:after="0"/>
              <w:jc w:val="center"/>
              <w:rPr>
                <w:rFonts w:ascii="Arial" w:hAnsi="Arial" w:cs="Arial"/>
                <w:sz w:val="18"/>
                <w:lang w:val="en-US"/>
              </w:rPr>
            </w:pPr>
            <w:r>
              <w:rPr>
                <w:rFonts w:ascii="Arial" w:hAnsi="Arial" w:cs="Arial"/>
                <w:sz w:val="18"/>
                <w:lang w:val="en-US"/>
              </w:rPr>
              <w:t>1.4MHz</w:t>
            </w:r>
          </w:p>
        </w:tc>
        <w:tc>
          <w:tcPr>
            <w:tcW w:w="1377" w:type="dxa"/>
            <w:vMerge w:val="continue"/>
          </w:tcPr>
          <w:p>
            <w:pPr>
              <w:keepNext/>
              <w:keepLines/>
              <w:ind w:left="800"/>
              <w:jc w:val="center"/>
              <w:rPr>
                <w:rFonts w:ascii="Arial" w:hAnsi="Arial" w:cs="Arial"/>
                <w:snapToGrid w:val="0"/>
                <w:kern w:val="2"/>
                <w:sz w:val="18"/>
                <w:szCs w:val="18"/>
                <w:lang w:eastAsia="en-GB"/>
              </w:rPr>
            </w:pPr>
          </w:p>
        </w:tc>
        <w:tc>
          <w:tcPr>
            <w:tcW w:w="3003" w:type="dxa"/>
            <w:vMerge w:val="continue"/>
            <w:tcBorders>
              <w:bottom w:val="single" w:color="auto" w:sz="4" w:space="0"/>
            </w:tcBorders>
          </w:tcPr>
          <w:p>
            <w:pPr>
              <w:keepNext/>
              <w:keepLines/>
              <w:ind w:left="800"/>
              <w:jc w:val="center"/>
              <w:rPr>
                <w:rFonts w:ascii="Arial" w:hAnsi="Arial" w:cs="Arial"/>
                <w:snapToGrid w:val="0"/>
                <w:kern w:val="2"/>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15</w:t>
            </w:r>
            <w:r>
              <w:rPr>
                <w:rFonts w:ascii="Arial" w:hAnsi="Arial" w:cs="Arial"/>
                <w:sz w:val="18"/>
                <w:szCs w:val="18"/>
                <w:lang w:val="en-US" w:eastAsia="en-GB"/>
              </w:rPr>
              <w:t>59</w:t>
            </w:r>
            <w:r>
              <w:rPr>
                <w:rFonts w:ascii="Arial" w:hAnsi="Arial" w:cs="Arial"/>
                <w:sz w:val="18"/>
                <w:szCs w:val="18"/>
                <w:lang w:eastAsia="en-GB"/>
              </w:rPr>
              <w:t>≤ f ≤ 16</w:t>
            </w:r>
            <w:r>
              <w:rPr>
                <w:rFonts w:ascii="Arial" w:hAnsi="Arial" w:cs="Arial"/>
                <w:sz w:val="18"/>
                <w:szCs w:val="18"/>
                <w:lang w:val="en-US" w:eastAsia="en-GB"/>
              </w:rPr>
              <w:t>05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p>
        </w:tc>
        <w:tc>
          <w:tcPr>
            <w:tcW w:w="1377"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700 Hz</w:t>
            </w:r>
          </w:p>
        </w:tc>
        <w:tc>
          <w:tcPr>
            <w:tcW w:w="3003"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605</w:t>
            </w:r>
            <w:r>
              <w:rPr>
                <w:rFonts w:ascii="Arial" w:hAnsi="Arial" w:cs="Arial"/>
                <w:sz w:val="18"/>
                <w:szCs w:val="18"/>
                <w:lang w:eastAsia="en-GB"/>
              </w:rPr>
              <w:t>≤ f ≤ 1610</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r>
              <w:rPr>
                <w:rFonts w:ascii="Arial" w:hAnsi="Arial" w:cs="Arial"/>
                <w:sz w:val="18"/>
                <w:szCs w:val="18"/>
                <w:lang w:eastAsia="en-GB"/>
              </w:rPr>
              <w:t xml:space="preserve"> </w:t>
            </w:r>
            <w:r>
              <w:rPr>
                <w:rFonts w:ascii="Arial" w:hAnsi="Arial" w:cs="Arial"/>
                <w:sz w:val="18"/>
                <w:szCs w:val="18"/>
                <w:lang w:val="en-US" w:eastAsia="en-GB"/>
              </w:rPr>
              <w:t>+ 24/5 (f-1605)</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700Hz</w:t>
            </w:r>
          </w:p>
        </w:tc>
        <w:tc>
          <w:tcPr>
            <w:tcW w:w="3003" w:type="dxa"/>
            <w:tcBorders>
              <w:top w:val="nil"/>
              <w:bottom w:val="nil"/>
            </w:tcBorders>
            <w:shd w:val="clear" w:color="auto" w:fill="auto"/>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559</w:t>
            </w:r>
            <w:r>
              <w:rPr>
                <w:rFonts w:ascii="Arial" w:hAnsi="Arial" w:cs="Arial"/>
                <w:sz w:val="18"/>
                <w:szCs w:val="18"/>
                <w:lang w:eastAsia="en-GB"/>
              </w:rPr>
              <w:t xml:space="preserve"> ≤ f ≤ 160</w:t>
            </w:r>
            <w:r>
              <w:rPr>
                <w:rFonts w:ascii="Arial" w:hAnsi="Arial" w:cs="Arial"/>
                <w:sz w:val="18"/>
                <w:szCs w:val="18"/>
                <w:lang w:val="en-US" w:eastAsia="en-GB"/>
              </w:rPr>
              <w:t>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-40</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1MHz</w:t>
            </w:r>
          </w:p>
        </w:tc>
        <w:tc>
          <w:tcPr>
            <w:tcW w:w="3003"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lang w:eastAsia="en-GB"/>
              </w:rPr>
            </w:pPr>
            <w:r>
              <w:rPr>
                <w:rFonts w:ascii="Arial" w:hAnsi="Arial" w:cs="Arial"/>
                <w:sz w:val="18"/>
                <w:lang w:eastAsia="en-GB"/>
              </w:rPr>
              <w:t>160</w:t>
            </w:r>
            <w:r>
              <w:rPr>
                <w:rFonts w:ascii="Arial" w:hAnsi="Arial" w:cs="Arial"/>
                <w:sz w:val="18"/>
                <w:lang w:val="en-US" w:eastAsia="en-GB"/>
              </w:rPr>
              <w:t>5</w:t>
            </w:r>
            <w:r>
              <w:rPr>
                <w:rFonts w:ascii="Arial" w:hAnsi="Arial" w:cs="Arial"/>
                <w:sz w:val="18"/>
                <w:lang w:eastAsia="en-GB"/>
              </w:rPr>
              <w:t>≤ f ≤ 1610</w:t>
            </w:r>
          </w:p>
        </w:tc>
        <w:tc>
          <w:tcPr>
            <w:tcW w:w="2065" w:type="dxa"/>
          </w:tcPr>
          <w:p>
            <w:pPr>
              <w:keepNext/>
              <w:keepLines/>
              <w:spacing w:after="0"/>
              <w:jc w:val="center"/>
              <w:rPr>
                <w:rFonts w:ascii="Arial" w:hAnsi="Arial" w:cs="Arial"/>
                <w:sz w:val="18"/>
                <w:lang w:val="en-US" w:eastAsia="en-GB"/>
              </w:rPr>
            </w:pPr>
            <w:r>
              <w:rPr>
                <w:rFonts w:ascii="Arial" w:hAnsi="Arial" w:cs="Arial"/>
                <w:sz w:val="18"/>
                <w:szCs w:val="18"/>
                <w:lang w:eastAsia="en-GB"/>
              </w:rPr>
              <w:t>-40</w:t>
            </w:r>
            <w:r>
              <w:rPr>
                <w:rFonts w:ascii="Arial" w:hAnsi="Arial" w:cs="Arial"/>
                <w:sz w:val="18"/>
                <w:lang w:eastAsia="en-GB"/>
              </w:rPr>
              <w:t xml:space="preserve"> </w:t>
            </w:r>
            <w:r>
              <w:rPr>
                <w:rFonts w:ascii="Arial" w:hAnsi="Arial" w:cs="Arial"/>
                <w:sz w:val="18"/>
                <w:lang w:val="en-US" w:eastAsia="en-GB"/>
              </w:rPr>
              <w:t>+ 24/5 (f-1605)</w:t>
            </w:r>
          </w:p>
        </w:tc>
        <w:tc>
          <w:tcPr>
            <w:tcW w:w="1377" w:type="dxa"/>
          </w:tcPr>
          <w:p>
            <w:pPr>
              <w:keepNext/>
              <w:keepLines/>
              <w:spacing w:after="0"/>
              <w:jc w:val="center"/>
              <w:rPr>
                <w:rFonts w:ascii="Arial" w:hAnsi="Arial" w:cs="Arial"/>
                <w:sz w:val="18"/>
                <w:lang w:eastAsia="en-GB"/>
              </w:rPr>
            </w:pPr>
            <w:r>
              <w:rPr>
                <w:rFonts w:ascii="Arial" w:hAnsi="Arial" w:cs="Arial"/>
                <w:sz w:val="18"/>
                <w:lang w:eastAsia="en-GB"/>
              </w:rPr>
              <w:t>1MHz</w:t>
            </w:r>
          </w:p>
        </w:tc>
        <w:tc>
          <w:tcPr>
            <w:tcW w:w="3003" w:type="dxa"/>
            <w:tcBorders>
              <w:top w:val="nil"/>
              <w:bottom w:val="nil"/>
            </w:tcBorders>
            <w:shd w:val="clear" w:color="auto" w:fill="auto"/>
          </w:tcPr>
          <w:p>
            <w:pPr>
              <w:keepNext/>
              <w:keepLines/>
              <w:spacing w:after="0"/>
              <w:jc w:val="center"/>
              <w:rPr>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93" w:type="dxa"/>
            <w:gridSpan w:val="4"/>
          </w:tcPr>
          <w:p>
            <w:pPr>
              <w:keepNext/>
              <w:keepLines/>
              <w:spacing w:after="0"/>
              <w:ind w:left="851" w:hanging="851"/>
              <w:rPr>
                <w:sz w:val="18"/>
                <w:lang w:eastAsia="en-GB"/>
              </w:rPr>
            </w:pPr>
            <w:r>
              <w:rPr>
                <w:rFonts w:ascii="Arial" w:hAnsi="Arial" w:cs="Arial"/>
                <w:sz w:val="18"/>
                <w:lang w:eastAsia="en-GB"/>
              </w:rPr>
              <w:t>NOTE:</w:t>
            </w:r>
            <w:r>
              <w:rPr>
                <w:rFonts w:ascii="Arial" w:hAnsi="Arial"/>
                <w:sz w:val="18"/>
                <w:lang w:eastAsia="en-GB"/>
              </w:rPr>
              <w:tab/>
            </w:r>
            <w:r>
              <w:rPr>
                <w:rFonts w:ascii="Arial" w:hAnsi="Arial"/>
                <w:sz w:val="18"/>
                <w:lang w:eastAsia="en-GB"/>
              </w:rPr>
              <w:t>The EIRP requirement in regulation is converted to conducted requirement using a 0 dBi antenna.</w:t>
            </w:r>
          </w:p>
        </w:tc>
      </w:tr>
    </w:tbl>
    <w:p>
      <w:pPr>
        <w:rPr>
          <w:lang w:eastAsia="en-GB"/>
        </w:rPr>
      </w:pPr>
    </w:p>
    <w:p>
      <w:pPr>
        <w:rPr>
          <w:lang w:eastAsia="en-GB"/>
        </w:rPr>
      </w:pPr>
      <w:r>
        <w:rPr>
          <w:lang w:eastAsia="en-GB"/>
        </w:rPr>
        <w:t>The normative reference for this requirement is TS 36.102[11] subclause 6.5A.4.4.2.</w:t>
      </w:r>
    </w:p>
    <w:p>
      <w:pPr>
        <w:pStyle w:val="9"/>
      </w:pPr>
      <w:r>
        <w:rPr>
          <w:rFonts w:hint="eastAsia"/>
        </w:rPr>
        <w:t>6.5A</w:t>
      </w:r>
      <w:r>
        <w:t>.4.4.3.2</w:t>
      </w:r>
      <w:r>
        <w:tab/>
      </w:r>
      <w:r>
        <w:t>Minimum requirement (network signalled value "NS_24")</w:t>
      </w:r>
    </w:p>
    <w:p>
      <w:pPr>
        <w:rPr>
          <w:lang w:eastAsia="en-GB"/>
        </w:rPr>
      </w:pPr>
      <w:r>
        <w:rPr>
          <w:lang w:eastAsia="en-GB"/>
        </w:rPr>
        <w:t>When "NS_24" is indicated in the cell, the power of any UE emission shall not exceed the levels specified in Table 6.5A.</w:t>
      </w:r>
      <w:r>
        <w:rPr>
          <w:lang w:val="en-US"/>
        </w:rPr>
        <w:t>4</w:t>
      </w:r>
      <w:r>
        <w:rPr>
          <w:lang w:eastAsia="en-GB"/>
        </w:rPr>
        <w:t>.</w:t>
      </w:r>
      <w:r>
        <w:rPr>
          <w:lang w:val="en-US"/>
        </w:rPr>
        <w:t>4.3.2</w:t>
      </w:r>
      <w:r>
        <w:rPr>
          <w:lang w:eastAsia="en-GB"/>
        </w:rPr>
        <w:t xml:space="preserve">-1. </w:t>
      </w:r>
    </w:p>
    <w:p>
      <w:pPr>
        <w:keepNext/>
        <w:keepLines/>
        <w:spacing w:before="60"/>
        <w:jc w:val="center"/>
        <w:rPr>
          <w:rFonts w:ascii="Arial" w:hAnsi="Arial"/>
          <w:b/>
          <w:lang w:eastAsia="en-GB"/>
        </w:rPr>
      </w:pPr>
      <w:r>
        <w:rPr>
          <w:rFonts w:ascii="Arial" w:hAnsi="Arial"/>
          <w:b/>
          <w:lang w:eastAsia="en-GB"/>
        </w:rPr>
        <w:t>Table 6.5A.</w:t>
      </w:r>
      <w:r>
        <w:rPr>
          <w:rFonts w:ascii="Arial" w:hAnsi="Arial"/>
          <w:b/>
          <w:lang w:val="en-US"/>
        </w:rPr>
        <w:t>4</w:t>
      </w:r>
      <w:r>
        <w:rPr>
          <w:rFonts w:ascii="Arial" w:hAnsi="Arial"/>
          <w:b/>
          <w:lang w:eastAsia="en-GB"/>
        </w:rPr>
        <w:t>.</w:t>
      </w:r>
      <w:r>
        <w:rPr>
          <w:rFonts w:ascii="Arial" w:hAnsi="Arial"/>
          <w:b/>
          <w:lang w:val="en-US"/>
        </w:rPr>
        <w:t>4</w:t>
      </w:r>
      <w:r>
        <w:rPr>
          <w:rFonts w:hint="eastAsia" w:ascii="Arial" w:hAnsi="Arial"/>
          <w:b/>
          <w:lang w:val="en-US"/>
        </w:rPr>
        <w:t>.3</w:t>
      </w:r>
      <w:r>
        <w:rPr>
          <w:rFonts w:ascii="Arial" w:hAnsi="Arial"/>
          <w:b/>
          <w:lang w:val="en-US"/>
        </w:rPr>
        <w:t>.2</w:t>
      </w:r>
      <w:r>
        <w:rPr>
          <w:rFonts w:ascii="Arial" w:hAnsi="Arial"/>
          <w:b/>
          <w:lang w:eastAsia="en-GB"/>
        </w:rPr>
        <w:t>-1: Additional requirements</w:t>
      </w:r>
      <w:r>
        <w:rPr>
          <w:rFonts w:ascii="Arial" w:hAnsi="Arial"/>
          <w:b/>
          <w:color w:val="000000"/>
          <w:lang w:eastAsia="zh-TW"/>
        </w:rPr>
        <w:t xml:space="preserve"> for </w:t>
      </w:r>
      <w:r>
        <w:rPr>
          <w:rFonts w:ascii="Arial" w:hAnsi="Arial" w:eastAsia="Yu Mincho"/>
          <w:b/>
          <w:lang w:eastAsia="en-GB"/>
        </w:rPr>
        <w:t>"</w:t>
      </w:r>
      <w:r>
        <w:rPr>
          <w:rFonts w:ascii="Arial" w:hAnsi="Arial"/>
          <w:b/>
          <w:lang w:eastAsia="en-GB"/>
        </w:rPr>
        <w:t>NS_</w:t>
      </w:r>
      <w:r>
        <w:rPr>
          <w:rFonts w:ascii="Arial" w:hAnsi="Arial"/>
          <w:b/>
          <w:lang w:val="en-US"/>
        </w:rPr>
        <w:t>24</w:t>
      </w:r>
      <w:r>
        <w:rPr>
          <w:rFonts w:ascii="Arial" w:hAnsi="Arial" w:eastAsia="Yu Mincho"/>
          <w:b/>
          <w:lang w:eastAsia="en-GB"/>
        </w:rPr>
        <w:t>"</w:t>
      </w:r>
    </w:p>
    <w:tbl>
      <w:tblPr>
        <w:tblStyle w:val="89"/>
        <w:tblW w:w="75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0"/>
        <w:gridCol w:w="3686"/>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restart"/>
          </w:tcPr>
          <w:p>
            <w:pPr>
              <w:keepNext/>
              <w:keepLines/>
              <w:spacing w:after="0"/>
              <w:jc w:val="center"/>
              <w:rPr>
                <w:rFonts w:ascii="Arial" w:hAnsi="Arial" w:cs="Arial"/>
                <w:b/>
                <w:sz w:val="18"/>
                <w:lang w:eastAsia="en-GB"/>
              </w:rPr>
            </w:pPr>
            <w:r>
              <w:rPr>
                <w:rFonts w:ascii="Arial" w:hAnsi="Arial" w:cs="Arial"/>
                <w:b/>
                <w:sz w:val="18"/>
                <w:lang w:eastAsia="en-GB"/>
              </w:rPr>
              <w:t>Frequency band</w:t>
            </w:r>
          </w:p>
          <w:p>
            <w:pPr>
              <w:keepNext/>
              <w:keepLines/>
              <w:spacing w:after="0"/>
              <w:jc w:val="center"/>
              <w:rPr>
                <w:rFonts w:ascii="Arial" w:hAnsi="Arial" w:cs="Arial"/>
                <w:b/>
                <w:sz w:val="18"/>
                <w:lang w:eastAsia="en-GB"/>
              </w:rPr>
            </w:pPr>
            <w:r>
              <w:rPr>
                <w:rFonts w:ascii="Arial" w:hAnsi="Arial" w:cs="Arial"/>
                <w:b/>
                <w:sz w:val="18"/>
                <w:lang w:eastAsia="en-GB"/>
              </w:rPr>
              <w:t>(MHz)</w:t>
            </w:r>
          </w:p>
        </w:tc>
        <w:tc>
          <w:tcPr>
            <w:tcW w:w="3686" w:type="dxa"/>
          </w:tcPr>
          <w:p>
            <w:pPr>
              <w:keepNext/>
              <w:keepLines/>
              <w:spacing w:after="0"/>
              <w:jc w:val="center"/>
              <w:rPr>
                <w:rFonts w:ascii="Arial" w:hAnsi="Arial" w:cs="Arial"/>
                <w:b/>
                <w:sz w:val="18"/>
                <w:lang w:eastAsia="en-GB"/>
              </w:rPr>
            </w:pPr>
            <w:r>
              <w:rPr>
                <w:rFonts w:ascii="Arial" w:hAnsi="Arial" w:cs="Arial"/>
                <w:b/>
                <w:sz w:val="18"/>
                <w:lang w:eastAsia="en-GB"/>
              </w:rPr>
              <w:t>Channel bandwidth /</w:t>
            </w:r>
          </w:p>
          <w:p>
            <w:pPr>
              <w:keepNext/>
              <w:keepLines/>
              <w:spacing w:after="0"/>
              <w:jc w:val="center"/>
              <w:rPr>
                <w:rFonts w:ascii="Arial" w:hAnsi="Arial" w:cs="Arial"/>
                <w:b/>
                <w:sz w:val="18"/>
                <w:lang w:eastAsia="en-GB"/>
              </w:rPr>
            </w:pPr>
            <w:r>
              <w:rPr>
                <w:rFonts w:ascii="Arial" w:hAnsi="Arial" w:cs="Arial"/>
                <w:b/>
                <w:sz w:val="18"/>
                <w:lang w:eastAsia="en-GB"/>
              </w:rPr>
              <w:t>Spectrum emission limit</w:t>
            </w:r>
          </w:p>
          <w:p>
            <w:pPr>
              <w:keepNext/>
              <w:keepLines/>
              <w:spacing w:after="0"/>
              <w:jc w:val="center"/>
              <w:rPr>
                <w:rFonts w:ascii="Arial" w:hAnsi="Arial" w:cs="Arial"/>
                <w:b/>
                <w:sz w:val="18"/>
                <w:lang w:eastAsia="en-GB"/>
              </w:rPr>
            </w:pPr>
            <w:r>
              <w:rPr>
                <w:rFonts w:ascii="Arial" w:hAnsi="Arial" w:cs="Arial"/>
                <w:b/>
                <w:sz w:val="18"/>
                <w:lang w:eastAsia="en-GB"/>
              </w:rPr>
              <w:t>(dBm)</w:t>
            </w:r>
          </w:p>
        </w:tc>
        <w:tc>
          <w:tcPr>
            <w:tcW w:w="1701" w:type="dxa"/>
            <w:vMerge w:val="restart"/>
          </w:tcPr>
          <w:p>
            <w:pPr>
              <w:keepNext/>
              <w:keepLines/>
              <w:spacing w:after="0"/>
              <w:jc w:val="center"/>
              <w:rPr>
                <w:rFonts w:ascii="Arial" w:hAnsi="Arial" w:cs="Arial"/>
                <w:b/>
                <w:sz w:val="18"/>
                <w:lang w:eastAsia="en-GB"/>
              </w:rPr>
            </w:pPr>
            <w:r>
              <w:rPr>
                <w:rFonts w:ascii="Arial" w:hAnsi="Arial" w:cs="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continue"/>
          </w:tcPr>
          <w:p>
            <w:pPr>
              <w:keepNext/>
              <w:keepLines/>
              <w:spacing w:after="0"/>
              <w:jc w:val="center"/>
              <w:rPr>
                <w:rFonts w:ascii="Arial" w:hAnsi="Arial" w:cs="Arial"/>
                <w:b/>
                <w:sz w:val="18"/>
                <w:lang w:eastAsia="en-GB"/>
              </w:rPr>
            </w:pPr>
          </w:p>
        </w:tc>
        <w:tc>
          <w:tcPr>
            <w:tcW w:w="3686" w:type="dxa"/>
          </w:tcPr>
          <w:p>
            <w:pPr>
              <w:keepNext/>
              <w:keepLines/>
              <w:spacing w:after="0"/>
              <w:jc w:val="center"/>
              <w:rPr>
                <w:rFonts w:ascii="Arial" w:hAnsi="Arial" w:cs="Arial"/>
                <w:b/>
                <w:sz w:val="18"/>
                <w:lang w:val="en-US"/>
              </w:rPr>
            </w:pPr>
            <w:r>
              <w:rPr>
                <w:rFonts w:ascii="Arial" w:hAnsi="Arial" w:cs="Arial"/>
                <w:b/>
                <w:sz w:val="18"/>
                <w:lang w:val="en-US"/>
              </w:rPr>
              <w:t>1.4MHz</w:t>
            </w:r>
          </w:p>
        </w:tc>
        <w:tc>
          <w:tcPr>
            <w:tcW w:w="1701" w:type="dxa"/>
            <w:vMerge w:val="continue"/>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tcPr>
          <w:p>
            <w:pPr>
              <w:keepNext/>
              <w:keepLines/>
              <w:spacing w:after="0"/>
              <w:jc w:val="center"/>
              <w:rPr>
                <w:rFonts w:ascii="Arial" w:hAnsi="Arial" w:cs="Arial"/>
                <w:sz w:val="18"/>
                <w:lang w:eastAsia="en-GB"/>
              </w:rPr>
            </w:pPr>
            <w:r>
              <w:rPr>
                <w:rFonts w:ascii="Arial" w:hAnsi="Arial" w:cs="Arial"/>
                <w:sz w:val="18"/>
                <w:lang w:eastAsia="en-GB"/>
              </w:rPr>
              <w:t>Band 34</w:t>
            </w:r>
          </w:p>
        </w:tc>
        <w:tc>
          <w:tcPr>
            <w:tcW w:w="3686" w:type="dxa"/>
          </w:tcPr>
          <w:p>
            <w:pPr>
              <w:keepNext/>
              <w:keepLines/>
              <w:spacing w:after="0"/>
              <w:jc w:val="center"/>
              <w:rPr>
                <w:rFonts w:ascii="Arial" w:hAnsi="Arial" w:cs="Arial"/>
                <w:sz w:val="18"/>
                <w:lang w:eastAsia="en-GB"/>
              </w:rPr>
            </w:pPr>
            <w:r>
              <w:rPr>
                <w:rFonts w:ascii="Arial" w:hAnsi="Arial" w:cs="Arial"/>
                <w:sz w:val="18"/>
                <w:lang w:eastAsia="en-GB"/>
              </w:rPr>
              <w:t>-50</w:t>
            </w:r>
          </w:p>
        </w:tc>
        <w:tc>
          <w:tcPr>
            <w:tcW w:w="1701" w:type="dxa"/>
          </w:tcPr>
          <w:p>
            <w:pPr>
              <w:keepNext/>
              <w:keepLines/>
              <w:spacing w:after="0"/>
              <w:jc w:val="center"/>
              <w:rPr>
                <w:rFonts w:ascii="Arial" w:hAnsi="Arial" w:cs="Arial"/>
                <w:sz w:val="18"/>
                <w:lang w:eastAsia="en-GB"/>
              </w:rPr>
            </w:pPr>
            <w:r>
              <w:rPr>
                <w:rFonts w:ascii="Arial" w:hAnsi="Arial" w:cs="Arial"/>
                <w:sz w:val="18"/>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7" w:type="dxa"/>
            <w:gridSpan w:val="3"/>
          </w:tcPr>
          <w:p>
            <w:pPr>
              <w:keepNext/>
              <w:keepLines/>
              <w:spacing w:after="0"/>
              <w:ind w:left="851" w:hanging="851"/>
              <w:rPr>
                <w:rFonts w:ascii="Arial" w:hAnsi="Arial" w:cs="Arial"/>
                <w:sz w:val="18"/>
                <w:lang w:eastAsia="ja-JP"/>
              </w:rPr>
            </w:pPr>
            <w:r>
              <w:rPr>
                <w:rFonts w:ascii="Arial" w:hAnsi="Arial" w:cs="Arial"/>
                <w:sz w:val="18"/>
                <w:lang w:eastAsia="en-GB"/>
              </w:rPr>
              <w:t>NOTE 1:</w:t>
            </w:r>
            <w:r>
              <w:rPr>
                <w:rFonts w:ascii="Arial" w:hAnsi="Arial"/>
                <w:sz w:val="18"/>
                <w:lang w:eastAsia="en-GB"/>
              </w:rPr>
              <w:tab/>
            </w:r>
            <w:r>
              <w:rPr>
                <w:rFonts w:ascii="Arial" w:hAnsi="Arial" w:cs="Arial"/>
                <w:sz w:val="18"/>
                <w:lang w:eastAsia="ja-JP"/>
              </w:rPr>
              <w:t>This requirement</w:t>
            </w:r>
            <w:r>
              <w:rPr>
                <w:rFonts w:hint="eastAsia" w:ascii="Arial" w:hAnsi="Arial" w:cs="Arial"/>
                <w:sz w:val="18"/>
                <w:lang w:eastAsia="ja-JP"/>
              </w:rPr>
              <w:t xml:space="preserve"> appl</w:t>
            </w:r>
            <w:r>
              <w:rPr>
                <w:rFonts w:ascii="Arial" w:hAnsi="Arial" w:cs="Arial"/>
                <w:sz w:val="18"/>
                <w:lang w:eastAsia="ja-JP"/>
              </w:rPr>
              <w:t>ies</w:t>
            </w:r>
            <w:r>
              <w:rPr>
                <w:rFonts w:hint="eastAsia" w:ascii="Arial" w:hAnsi="Arial" w:cs="Arial"/>
                <w:sz w:val="18"/>
                <w:lang w:eastAsia="ja-JP"/>
              </w:rPr>
              <w:t xml:space="preserve"> </w:t>
            </w:r>
            <w:r>
              <w:rPr>
                <w:rFonts w:ascii="Arial" w:hAnsi="Arial" w:cs="Arial"/>
                <w:sz w:val="18"/>
                <w:lang w:eastAsia="ja-JP"/>
              </w:rPr>
              <w:t xml:space="preserve">at a </w:t>
            </w:r>
            <w:r>
              <w:rPr>
                <w:rFonts w:hint="eastAsia" w:ascii="Arial" w:hAnsi="Arial" w:cs="Arial"/>
                <w:sz w:val="18"/>
                <w:lang w:eastAsia="ja-JP"/>
              </w:rPr>
              <w:t xml:space="preserve">frequency </w:t>
            </w:r>
            <w:r>
              <w:rPr>
                <w:rFonts w:ascii="Arial" w:hAnsi="Arial" w:cs="Arial"/>
                <w:sz w:val="18"/>
                <w:lang w:eastAsia="ja-JP"/>
              </w:rPr>
              <w:t xml:space="preserve">offset equal or larger than 5 MHz from the upper </w:t>
            </w:r>
            <w:r>
              <w:rPr>
                <w:rFonts w:hint="eastAsia" w:ascii="Arial" w:hAnsi="Arial" w:cs="Arial"/>
                <w:sz w:val="18"/>
                <w:lang w:eastAsia="ja-JP"/>
              </w:rPr>
              <w:t>edge of the channel bandwidth</w:t>
            </w:r>
            <w:r>
              <w:rPr>
                <w:rFonts w:ascii="Arial" w:hAnsi="Arial" w:cs="Arial"/>
                <w:sz w:val="18"/>
                <w:lang w:eastAsia="ja-JP"/>
              </w:rPr>
              <w:t>, whenever these frequencies overlap with the specified frequency band.</w:t>
            </w:r>
          </w:p>
        </w:tc>
      </w:tr>
    </w:tbl>
    <w:p/>
    <w:p>
      <w:pPr>
        <w:rPr>
          <w:lang w:eastAsia="en-GB"/>
        </w:rPr>
      </w:pPr>
      <w:r>
        <w:rPr>
          <w:lang w:eastAsia="en-GB"/>
        </w:rPr>
        <w:t>The normative reference for this requirement is TS 36.102[11] subclause 6.5A.4.4.3.</w:t>
      </w:r>
    </w:p>
    <w:p>
      <w:pPr>
        <w:pStyle w:val="9"/>
        <w:rPr>
          <w:lang w:val="en-US"/>
        </w:rPr>
      </w:pPr>
      <w:r>
        <w:t>6.5A.4.4.</w:t>
      </w:r>
      <w:r>
        <w:rPr>
          <w:lang w:val="en-US"/>
        </w:rPr>
        <w:t>4</w:t>
      </w:r>
      <w:r>
        <w:rPr>
          <w:lang w:val="en-US"/>
        </w:rPr>
        <w:tab/>
      </w:r>
      <w:r>
        <w:rPr>
          <w:lang w:val="en-US"/>
        </w:rPr>
        <w:t>Test description</w:t>
      </w:r>
    </w:p>
    <w:p>
      <w:pPr>
        <w:pStyle w:val="9"/>
      </w:pPr>
      <w:r>
        <w:rPr>
          <w:rFonts w:hint="eastAsia"/>
        </w:rPr>
        <w:t>6.5A</w:t>
      </w:r>
      <w:r>
        <w:t>.4.4.4.1</w:t>
      </w:r>
      <w:r>
        <w:tab/>
      </w:r>
      <w: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r>
        <w:rPr>
          <w:rFonts w:cs="v5.0.0"/>
          <w:lang w:eastAsia="en-GB"/>
        </w:rPr>
        <w:t>Configurations of PDSCH and MPDCCH before measurement are specified in Annex C.2.</w:t>
      </w:r>
    </w:p>
    <w:p>
      <w:pPr>
        <w:pStyle w:val="113"/>
        <w:rPr>
          <w:lang w:eastAsia="en-GB"/>
        </w:rPr>
      </w:pPr>
      <w:r>
        <w:rPr>
          <w:lang w:eastAsia="en-GB"/>
        </w:rPr>
        <w:t>Table 6.5A.4.4.4.1-1: Test Configuration Table (network signalled value "NS_02N")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354"/>
        <w:gridCol w:w="992"/>
        <w:gridCol w:w="2734"/>
        <w:gridCol w:w="1304"/>
        <w:gridCol w:w="3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shd w:val="clear" w:color="auto" w:fill="auto"/>
            <w:vAlign w:val="center"/>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4474" w:type="dxa"/>
            <w:gridSpan w:val="2"/>
            <w:shd w:val="clear" w:color="auto" w:fill="auto"/>
            <w:vAlign w:val="center"/>
          </w:tcPr>
          <w:p>
            <w:pPr>
              <w:keepNext/>
              <w:keepLines/>
              <w:spacing w:after="0"/>
              <w:rPr>
                <w:rFonts w:ascii="Arial" w:hAnsi="Arial"/>
                <w:sz w:val="18"/>
              </w:rPr>
            </w:pPr>
            <w:r>
              <w:rPr>
                <w:rFonts w:ascii="Arial" w:hAnsi="Arial"/>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keepNext/>
              <w:keepLines/>
              <w:spacing w:after="0"/>
              <w:rPr>
                <w:rFonts w:ascii="Arial" w:hAnsi="Arial"/>
                <w:sz w:val="18"/>
              </w:rPr>
            </w:pPr>
            <w:r>
              <w:rPr>
                <w:rFonts w:ascii="Arial" w:hAnsi="Arial"/>
                <w:bCs/>
                <w:sz w:val="18"/>
              </w:rPr>
              <w:t>Test Frequencies as specified in</w:t>
            </w:r>
          </w:p>
          <w:p>
            <w:pPr>
              <w:keepNext/>
              <w:keepLines/>
              <w:spacing w:after="0"/>
              <w:rPr>
                <w:rFonts w:ascii="Arial" w:hAnsi="Arial"/>
                <w:sz w:val="18"/>
              </w:rPr>
            </w:pPr>
            <w:r>
              <w:rPr>
                <w:rFonts w:ascii="Arial" w:hAnsi="Arial"/>
                <w:sz w:val="18"/>
              </w:rPr>
              <w:t>TS 36.508 [12] subclause 4.3.1</w:t>
            </w:r>
          </w:p>
        </w:tc>
        <w:tc>
          <w:tcPr>
            <w:tcW w:w="4474" w:type="dxa"/>
            <w:gridSpan w:val="2"/>
            <w:shd w:val="clear" w:color="auto" w:fill="auto"/>
            <w:vAlign w:val="center"/>
          </w:tcPr>
          <w:p>
            <w:pPr>
              <w:keepNext/>
              <w:keepLines/>
              <w:spacing w:after="0"/>
              <w:rPr>
                <w:rFonts w:ascii="Arial" w:hAnsi="Arial"/>
                <w:sz w:val="18"/>
              </w:rPr>
            </w:pPr>
            <w:r>
              <w:rPr>
                <w:rFonts w:ascii="Arial" w:hAnsi="Arial"/>
                <w:sz w:val="18"/>
                <w:lang w:eastAsia="en-GB"/>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keepNext/>
              <w:keepLines/>
              <w:spacing w:after="0"/>
              <w:rPr>
                <w:rFonts w:ascii="Arial" w:hAnsi="Arial"/>
                <w:sz w:val="18"/>
              </w:rPr>
            </w:pPr>
            <w:r>
              <w:rPr>
                <w:rFonts w:ascii="Arial" w:hAnsi="Arial"/>
                <w:bCs/>
                <w:sz w:val="18"/>
              </w:rPr>
              <w:t>Test Channel Bandwidths as specified in</w:t>
            </w:r>
          </w:p>
          <w:p>
            <w:pPr>
              <w:keepNext/>
              <w:keepLines/>
              <w:spacing w:after="0"/>
              <w:rPr>
                <w:rFonts w:ascii="Arial" w:hAnsi="Arial"/>
                <w:sz w:val="18"/>
              </w:rPr>
            </w:pPr>
            <w:r>
              <w:rPr>
                <w:rFonts w:ascii="Arial" w:hAnsi="Arial"/>
                <w:sz w:val="18"/>
              </w:rPr>
              <w:t>TS 36.508 [12] subclause 4.3.1</w:t>
            </w:r>
          </w:p>
        </w:tc>
        <w:tc>
          <w:tcPr>
            <w:tcW w:w="4474" w:type="dxa"/>
            <w:gridSpan w:val="2"/>
            <w:shd w:val="clear" w:color="auto" w:fill="auto"/>
            <w:vAlign w:val="center"/>
          </w:tcPr>
          <w:p>
            <w:pPr>
              <w:keepNext/>
              <w:keepLines/>
              <w:spacing w:after="0"/>
              <w:rPr>
                <w:rFonts w:ascii="Arial" w:hAnsi="Arial"/>
                <w:sz w:val="18"/>
              </w:rPr>
            </w:pPr>
            <w:r>
              <w:rPr>
                <w:rFonts w:ascii="Arial" w:hAnsi="Arial"/>
                <w:sz w:val="18"/>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shd w:val="clear" w:color="auto" w:fill="auto"/>
            <w:vAlign w:val="center"/>
          </w:tcPr>
          <w:p>
            <w:pPr>
              <w:keepNext/>
              <w:keepLines/>
              <w:spacing w:after="0"/>
              <w:jc w:val="center"/>
              <w:rPr>
                <w:rFonts w:ascii="Arial" w:hAnsi="Arial"/>
                <w:b/>
                <w:sz w:val="18"/>
              </w:rPr>
            </w:pPr>
            <w:r>
              <w:rPr>
                <w:rFonts w:ascii="Arial" w:hAnsi="Arial"/>
                <w:b/>
                <w:sz w:val="18"/>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54" w:type="dxa"/>
            <w:shd w:val="clear" w:color="auto" w:fill="auto"/>
            <w:vAlign w:val="center"/>
          </w:tcPr>
          <w:p>
            <w:pPr>
              <w:keepNext/>
              <w:keepLines/>
              <w:spacing w:after="0"/>
              <w:jc w:val="center"/>
              <w:rPr>
                <w:rFonts w:ascii="Arial" w:hAnsi="Arial"/>
                <w:b/>
                <w:sz w:val="18"/>
              </w:rPr>
            </w:pPr>
          </w:p>
        </w:tc>
        <w:tc>
          <w:tcPr>
            <w:tcW w:w="992" w:type="dxa"/>
            <w:shd w:val="clear" w:color="auto" w:fill="auto"/>
            <w:vAlign w:val="center"/>
          </w:tcPr>
          <w:p>
            <w:pPr>
              <w:keepNext/>
              <w:keepLines/>
              <w:spacing w:after="0"/>
              <w:jc w:val="center"/>
              <w:rPr>
                <w:rFonts w:ascii="Arial" w:hAnsi="Arial"/>
                <w:b/>
                <w:sz w:val="18"/>
              </w:rPr>
            </w:pPr>
          </w:p>
        </w:tc>
        <w:tc>
          <w:tcPr>
            <w:tcW w:w="2734" w:type="dxa"/>
            <w:shd w:val="clear" w:color="auto" w:fill="auto"/>
            <w:vAlign w:val="center"/>
          </w:tcPr>
          <w:p>
            <w:pPr>
              <w:keepNext/>
              <w:keepLines/>
              <w:spacing w:after="0"/>
              <w:jc w:val="center"/>
              <w:rPr>
                <w:rFonts w:ascii="Arial" w:hAnsi="Arial"/>
                <w:b/>
                <w:sz w:val="18"/>
              </w:rPr>
            </w:pPr>
            <w:r>
              <w:rPr>
                <w:rFonts w:ascii="Arial" w:hAnsi="Arial"/>
                <w:b/>
                <w:sz w:val="18"/>
              </w:rPr>
              <w:t>Downlink Configuration</w:t>
            </w:r>
          </w:p>
        </w:tc>
        <w:tc>
          <w:tcPr>
            <w:tcW w:w="4474" w:type="dxa"/>
            <w:gridSpan w:val="2"/>
            <w:shd w:val="clear" w:color="auto" w:fill="auto"/>
            <w:vAlign w:val="center"/>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54"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Configuration ID</w:t>
            </w:r>
          </w:p>
        </w:tc>
        <w:tc>
          <w:tcPr>
            <w:tcW w:w="992"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Ch BW</w:t>
            </w:r>
          </w:p>
        </w:tc>
        <w:tc>
          <w:tcPr>
            <w:tcW w:w="2734" w:type="dxa"/>
            <w:vMerge w:val="restart"/>
            <w:shd w:val="clear" w:color="auto" w:fill="auto"/>
            <w:vAlign w:val="center"/>
          </w:tcPr>
          <w:p>
            <w:pPr>
              <w:keepNext/>
              <w:keepLines/>
              <w:spacing w:after="0"/>
              <w:jc w:val="center"/>
              <w:rPr>
                <w:rFonts w:ascii="Arial" w:hAnsi="Arial"/>
                <w:sz w:val="18"/>
              </w:rPr>
            </w:pPr>
            <w:r>
              <w:rPr>
                <w:rFonts w:ascii="Arial" w:hAnsi="Arial"/>
                <w:sz w:val="18"/>
              </w:rPr>
              <w:t>N/A</w:t>
            </w:r>
          </w:p>
        </w:tc>
        <w:tc>
          <w:tcPr>
            <w:tcW w:w="1304"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Mod'n</w:t>
            </w:r>
          </w:p>
        </w:tc>
        <w:tc>
          <w:tcPr>
            <w:tcW w:w="3170" w:type="dxa"/>
            <w:shd w:val="clear" w:color="auto" w:fill="auto"/>
            <w:vAlign w:val="center"/>
          </w:tcPr>
          <w:p>
            <w:pPr>
              <w:keepNext/>
              <w:keepLines/>
              <w:spacing w:after="0"/>
              <w:jc w:val="center"/>
              <w:rPr>
                <w:rFonts w:ascii="Arial" w:hAnsi="Arial"/>
                <w:b/>
                <w:bCs/>
                <w:sz w:val="18"/>
              </w:rPr>
            </w:pPr>
            <w:r>
              <w:rPr>
                <w:rFonts w:ascii="Arial" w:hAnsi="Arial"/>
                <w:b/>
                <w:bCs/>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470" w:hRule="atLeast"/>
          <w:jc w:val="center"/>
        </w:trPr>
        <w:tc>
          <w:tcPr>
            <w:tcW w:w="1354" w:type="dxa"/>
            <w:vMerge w:val="continue"/>
            <w:tcBorders>
              <w:bottom w:val="single" w:color="auto" w:sz="4" w:space="0"/>
            </w:tcBorders>
            <w:shd w:val="clear" w:color="auto" w:fill="auto"/>
            <w:vAlign w:val="center"/>
          </w:tcPr>
          <w:p>
            <w:pPr>
              <w:keepNext/>
              <w:keepLines/>
              <w:spacing w:after="0"/>
              <w:jc w:val="center"/>
              <w:rPr>
                <w:rFonts w:ascii="Arial" w:hAnsi="Arial"/>
                <w:sz w:val="18"/>
              </w:rPr>
            </w:pPr>
          </w:p>
        </w:tc>
        <w:tc>
          <w:tcPr>
            <w:tcW w:w="992" w:type="dxa"/>
            <w:vMerge w:val="continue"/>
            <w:tcBorders>
              <w:bottom w:val="single" w:color="auto" w:sz="4" w:space="0"/>
            </w:tcBorders>
            <w:shd w:val="clear" w:color="auto" w:fill="auto"/>
            <w:vAlign w:val="center"/>
          </w:tcPr>
          <w:p>
            <w:pPr>
              <w:keepNext/>
              <w:keepLines/>
              <w:spacing w:after="0"/>
              <w:jc w:val="center"/>
              <w:rPr>
                <w:rFonts w:ascii="Arial" w:hAnsi="Arial"/>
                <w:sz w:val="18"/>
              </w:rPr>
            </w:pPr>
          </w:p>
        </w:tc>
        <w:tc>
          <w:tcPr>
            <w:tcW w:w="2734" w:type="dxa"/>
            <w:vMerge w:val="continue"/>
            <w:tcBorders>
              <w:bottom w:val="single" w:color="auto" w:sz="4" w:space="0"/>
            </w:tcBorders>
            <w:vAlign w:val="center"/>
          </w:tcPr>
          <w:p>
            <w:pPr>
              <w:keepNext/>
              <w:keepLines/>
              <w:spacing w:after="0"/>
              <w:jc w:val="center"/>
              <w:rPr>
                <w:rFonts w:ascii="Arial" w:hAnsi="Arial"/>
                <w:sz w:val="18"/>
              </w:rPr>
            </w:pPr>
          </w:p>
        </w:tc>
        <w:tc>
          <w:tcPr>
            <w:tcW w:w="1304" w:type="dxa"/>
            <w:vMerge w:val="continue"/>
            <w:tcBorders>
              <w:bottom w:val="single" w:color="auto" w:sz="4" w:space="0"/>
            </w:tcBorders>
            <w:shd w:val="clear" w:color="auto" w:fill="auto"/>
            <w:vAlign w:val="center"/>
          </w:tcPr>
          <w:p>
            <w:pPr>
              <w:keepNext/>
              <w:keepLines/>
              <w:spacing w:after="0"/>
              <w:jc w:val="center"/>
              <w:rPr>
                <w:rFonts w:ascii="Arial" w:hAnsi="Arial"/>
                <w:b/>
                <w:bCs/>
                <w:sz w:val="18"/>
              </w:rPr>
            </w:pPr>
          </w:p>
        </w:tc>
        <w:tc>
          <w:tcPr>
            <w:tcW w:w="3170" w:type="dxa"/>
            <w:tcBorders>
              <w:bottom w:val="single" w:color="auto" w:sz="4" w:space="0"/>
            </w:tcBorders>
            <w:shd w:val="clear" w:color="auto" w:fill="auto"/>
            <w:vAlign w:val="center"/>
          </w:tcPr>
          <w:p>
            <w:pPr>
              <w:keepNext/>
              <w:keepLines/>
              <w:spacing w:after="0"/>
              <w:jc w:val="center"/>
              <w:rPr>
                <w:rFonts w:ascii="Arial" w:hAnsi="Arial"/>
                <w:b/>
                <w:bCs/>
                <w:sz w:val="18"/>
              </w:rPr>
            </w:pPr>
            <w:r>
              <w:rPr>
                <w:rFonts w:ascii="Arial" w:hAnsi="Arial"/>
                <w:b/>
                <w:bCs/>
                <w:sz w:val="18"/>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54" w:type="dxa"/>
            <w:shd w:val="clear" w:color="auto" w:fill="auto"/>
            <w:vAlign w:val="center"/>
          </w:tcPr>
          <w:p>
            <w:pPr>
              <w:keepNext/>
              <w:keepLines/>
              <w:spacing w:after="0"/>
              <w:jc w:val="center"/>
              <w:rPr>
                <w:rFonts w:ascii="Arial" w:hAnsi="Arial"/>
                <w:sz w:val="18"/>
              </w:rPr>
            </w:pPr>
            <w:r>
              <w:rPr>
                <w:rFonts w:ascii="Arial" w:hAnsi="Arial"/>
                <w:sz w:val="18"/>
              </w:rPr>
              <w:t>1</w:t>
            </w:r>
          </w:p>
        </w:tc>
        <w:tc>
          <w:tcPr>
            <w:tcW w:w="992" w:type="dxa"/>
            <w:shd w:val="clear" w:color="auto" w:fill="auto"/>
            <w:vAlign w:val="center"/>
          </w:tcPr>
          <w:p>
            <w:pPr>
              <w:keepNext/>
              <w:keepLines/>
              <w:spacing w:after="0"/>
              <w:jc w:val="center"/>
              <w:rPr>
                <w:rFonts w:ascii="Arial" w:hAnsi="Arial"/>
                <w:sz w:val="18"/>
              </w:rPr>
            </w:pPr>
            <w:r>
              <w:rPr>
                <w:rFonts w:ascii="Arial" w:hAnsi="Arial"/>
                <w:sz w:val="18"/>
              </w:rPr>
              <w:t>1.4 MHz</w:t>
            </w:r>
          </w:p>
        </w:tc>
        <w:tc>
          <w:tcPr>
            <w:tcW w:w="2734" w:type="dxa"/>
            <w:vMerge w:val="continue"/>
            <w:shd w:val="clear" w:color="auto" w:fill="auto"/>
            <w:vAlign w:val="center"/>
          </w:tcPr>
          <w:p>
            <w:pPr>
              <w:keepNext/>
              <w:keepLines/>
              <w:spacing w:after="0"/>
              <w:jc w:val="center"/>
              <w:rPr>
                <w:rFonts w:ascii="Arial" w:hAnsi="Arial"/>
                <w:sz w:val="18"/>
              </w:rPr>
            </w:pPr>
          </w:p>
        </w:tc>
        <w:tc>
          <w:tcPr>
            <w:tcW w:w="1304" w:type="dxa"/>
            <w:shd w:val="clear" w:color="auto" w:fill="auto"/>
            <w:vAlign w:val="center"/>
          </w:tcPr>
          <w:p>
            <w:pPr>
              <w:keepNext/>
              <w:keepLines/>
              <w:spacing w:after="0"/>
              <w:jc w:val="center"/>
              <w:rPr>
                <w:rFonts w:ascii="Arial" w:hAnsi="Arial"/>
                <w:sz w:val="18"/>
              </w:rPr>
            </w:pPr>
            <w:r>
              <w:rPr>
                <w:rFonts w:ascii="Arial" w:hAnsi="Arial"/>
                <w:sz w:val="18"/>
              </w:rPr>
              <w:t>QPSK</w:t>
            </w:r>
          </w:p>
        </w:tc>
        <w:tc>
          <w:tcPr>
            <w:tcW w:w="3170" w:type="dxa"/>
            <w:shd w:val="clear" w:color="auto" w:fill="auto"/>
            <w:vAlign w:val="center"/>
          </w:tcPr>
          <w:p>
            <w:pPr>
              <w:keepNext/>
              <w:keepLines/>
              <w:spacing w:after="0"/>
              <w:jc w:val="center"/>
              <w:rPr>
                <w:rFonts w:ascii="Arial" w:hAnsi="Arial"/>
                <w:sz w:val="18"/>
              </w:rPr>
            </w:pPr>
            <w:r>
              <w:rPr>
                <w:rFonts w:ascii="Arial" w:hAnsi="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54"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2</w:t>
            </w:r>
          </w:p>
        </w:tc>
        <w:tc>
          <w:tcPr>
            <w:tcW w:w="992"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1</w:t>
            </w:r>
            <w:r>
              <w:rPr>
                <w:rFonts w:ascii="Arial" w:hAnsi="Arial" w:eastAsiaTheme="minorEastAsia"/>
                <w:sz w:val="18"/>
              </w:rPr>
              <w:t>.4 MHz</w:t>
            </w:r>
          </w:p>
        </w:tc>
        <w:tc>
          <w:tcPr>
            <w:tcW w:w="2734" w:type="dxa"/>
            <w:vMerge w:val="continue"/>
            <w:shd w:val="clear" w:color="auto" w:fill="auto"/>
            <w:vAlign w:val="center"/>
          </w:tcPr>
          <w:p>
            <w:pPr>
              <w:keepNext/>
              <w:keepLines/>
              <w:spacing w:after="0"/>
              <w:jc w:val="center"/>
              <w:rPr>
                <w:rFonts w:ascii="Arial" w:hAnsi="Arial"/>
                <w:sz w:val="18"/>
              </w:rPr>
            </w:pPr>
          </w:p>
        </w:tc>
        <w:tc>
          <w:tcPr>
            <w:tcW w:w="1304"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Q</w:t>
            </w:r>
            <w:r>
              <w:rPr>
                <w:rFonts w:ascii="Arial" w:hAnsi="Arial" w:eastAsiaTheme="minorEastAsia"/>
                <w:sz w:val="18"/>
              </w:rPr>
              <w:t>PSK</w:t>
            </w:r>
          </w:p>
        </w:tc>
        <w:tc>
          <w:tcPr>
            <w:tcW w:w="3170"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54" w:type="dxa"/>
            <w:shd w:val="clear" w:color="auto" w:fill="auto"/>
            <w:vAlign w:val="center"/>
          </w:tcPr>
          <w:p>
            <w:pPr>
              <w:keepNext/>
              <w:keepLines/>
              <w:spacing w:after="0"/>
              <w:jc w:val="center"/>
              <w:rPr>
                <w:rFonts w:ascii="Arial" w:hAnsi="Arial"/>
                <w:sz w:val="18"/>
              </w:rPr>
            </w:pPr>
            <w:r>
              <w:rPr>
                <w:rFonts w:ascii="Arial" w:hAnsi="Arial"/>
                <w:sz w:val="18"/>
              </w:rPr>
              <w:t>3</w:t>
            </w:r>
          </w:p>
        </w:tc>
        <w:tc>
          <w:tcPr>
            <w:tcW w:w="992" w:type="dxa"/>
            <w:shd w:val="clear" w:color="auto" w:fill="auto"/>
            <w:vAlign w:val="center"/>
          </w:tcPr>
          <w:p>
            <w:pPr>
              <w:keepNext/>
              <w:keepLines/>
              <w:spacing w:after="0"/>
              <w:jc w:val="center"/>
              <w:rPr>
                <w:rFonts w:ascii="Arial" w:hAnsi="Arial"/>
                <w:sz w:val="18"/>
              </w:rPr>
            </w:pPr>
            <w:r>
              <w:rPr>
                <w:rFonts w:ascii="Arial" w:hAnsi="Arial"/>
                <w:sz w:val="18"/>
              </w:rPr>
              <w:t>1.4 MHz</w:t>
            </w:r>
          </w:p>
        </w:tc>
        <w:tc>
          <w:tcPr>
            <w:tcW w:w="2734" w:type="dxa"/>
            <w:vMerge w:val="continue"/>
            <w:shd w:val="clear" w:color="auto" w:fill="auto"/>
            <w:vAlign w:val="center"/>
          </w:tcPr>
          <w:p>
            <w:pPr>
              <w:keepNext/>
              <w:keepLines/>
              <w:spacing w:after="0"/>
              <w:jc w:val="center"/>
              <w:rPr>
                <w:rFonts w:ascii="Arial" w:hAnsi="Arial"/>
                <w:sz w:val="18"/>
              </w:rPr>
            </w:pPr>
          </w:p>
        </w:tc>
        <w:tc>
          <w:tcPr>
            <w:tcW w:w="1304" w:type="dxa"/>
            <w:shd w:val="clear" w:color="auto" w:fill="auto"/>
            <w:vAlign w:val="center"/>
          </w:tcPr>
          <w:p>
            <w:pPr>
              <w:keepNext/>
              <w:keepLines/>
              <w:spacing w:after="0"/>
              <w:jc w:val="center"/>
              <w:rPr>
                <w:rFonts w:ascii="Arial" w:hAnsi="Arial"/>
                <w:sz w:val="18"/>
              </w:rPr>
            </w:pPr>
            <w:r>
              <w:rPr>
                <w:rFonts w:ascii="Arial" w:hAnsi="Arial"/>
                <w:sz w:val="18"/>
              </w:rPr>
              <w:t>QPSK</w:t>
            </w:r>
          </w:p>
        </w:tc>
        <w:tc>
          <w:tcPr>
            <w:tcW w:w="3170" w:type="dxa"/>
            <w:shd w:val="clear" w:color="auto" w:fill="auto"/>
            <w:vAlign w:val="center"/>
          </w:tcPr>
          <w:p>
            <w:pPr>
              <w:keepNext/>
              <w:keepLines/>
              <w:spacing w:after="0"/>
              <w:jc w:val="center"/>
              <w:rPr>
                <w:rFonts w:ascii="Arial" w:hAnsi="Arial"/>
                <w:sz w:val="18"/>
              </w:rPr>
            </w:pPr>
            <w:r>
              <w:rPr>
                <w:rFonts w:ascii="Arial" w:hAnsi="Arial"/>
                <w:sz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shd w:val="clear" w:color="auto" w:fill="auto"/>
            <w:vAlign w:val="center"/>
          </w:tcPr>
          <w:p>
            <w:pPr>
              <w:keepNext/>
              <w:keepLines/>
              <w:spacing w:after="0"/>
              <w:ind w:left="578" w:hanging="578"/>
              <w:rPr>
                <w:rFonts w:ascii="Arial" w:hAnsi="Arial"/>
                <w:sz w:val="18"/>
                <w:lang w:eastAsia="sv-SE"/>
              </w:rPr>
            </w:pPr>
            <w:r>
              <w:rPr>
                <w:rFonts w:ascii="Arial" w:hAnsi="Arial"/>
                <w:sz w:val="18"/>
              </w:rPr>
              <w:t xml:space="preserve">Note 1: </w:t>
            </w:r>
            <w:r>
              <w:rPr>
                <w:rFonts w:ascii="Arial" w:hAnsi="Arial"/>
                <w:sz w:val="18"/>
                <w:lang w:eastAsia="sv-SE"/>
              </w:rPr>
              <w:t>The RB</w:t>
            </w:r>
            <w:r>
              <w:rPr>
                <w:rFonts w:ascii="Arial" w:hAnsi="Arial"/>
                <w:sz w:val="18"/>
                <w:vertAlign w:val="subscript"/>
                <w:lang w:eastAsia="sv-SE"/>
              </w:rPr>
              <w:t>start</w:t>
            </w:r>
            <w:r>
              <w:rPr>
                <w:rFonts w:ascii="Arial" w:hAnsi="Arial"/>
                <w:sz w:val="18"/>
                <w:lang w:eastAsia="sv-SE"/>
              </w:rPr>
              <w:t xml:space="preserve"> of partial RB allocation shall be RB#0.</w:t>
            </w:r>
          </w:p>
        </w:tc>
      </w:tr>
    </w:tbl>
    <w:p>
      <w:pPr>
        <w:rPr>
          <w:lang w:eastAsia="en-GB"/>
        </w:rPr>
      </w:pPr>
    </w:p>
    <w:p>
      <w:pPr>
        <w:pStyle w:val="113"/>
      </w:pPr>
      <w:r>
        <w:rPr>
          <w:bCs/>
          <w:lang w:eastAsia="en-GB"/>
        </w:rPr>
        <w:t xml:space="preserve">Table 6.5A.4.4.4.1-1a: </w:t>
      </w:r>
      <w:r>
        <w:t>Test Configuration Table, subPRB allocation (network signalled value “NS_02N”)</w:t>
      </w:r>
    </w:p>
    <w:tbl>
      <w:tblPr>
        <w:tblStyle w:val="89"/>
        <w:tblpPr w:leftFromText="180" w:rightFromText="180" w:vertAnchor="text" w:tblpY="1"/>
        <w:tblOverlap w:val="never"/>
        <w:tblW w:w="95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320"/>
        <w:gridCol w:w="1124"/>
        <w:gridCol w:w="2695"/>
        <w:gridCol w:w="1286"/>
        <w:gridCol w:w="3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t>Test Environment as specified in</w:t>
            </w:r>
          </w:p>
          <w:p>
            <w:pPr>
              <w:pStyle w:val="103"/>
            </w:pPr>
            <w:r>
              <w:t>TS 36.508 [12] subclause 4.1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Frequencies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Channel Bandwidths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
          <w:p>
            <w:pPr>
              <w:pStyle w:val="104"/>
            </w:pPr>
            <w:r>
              <w:t>Downlink Configuration</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4"/>
            </w:pPr>
            <w:r>
              <w:t>Configuration ID</w:t>
            </w:r>
          </w:p>
        </w:tc>
        <w:tc>
          <w:tcPr>
            <w:tcW w:w="1124" w:type="dxa"/>
            <w:tcBorders>
              <w:top w:val="single" w:color="auto" w:sz="4" w:space="0"/>
              <w:left w:val="single" w:color="auto" w:sz="4" w:space="0"/>
              <w:bottom w:val="single" w:color="auto" w:sz="4" w:space="0"/>
              <w:right w:val="single" w:color="auto" w:sz="4" w:space="0"/>
            </w:tcBorders>
            <w:vAlign w:val="center"/>
          </w:tcPr>
          <w:p>
            <w:pPr>
              <w:pStyle w:val="104"/>
            </w:pPr>
            <w:r>
              <w:t>Ch BW</w:t>
            </w:r>
          </w:p>
        </w:tc>
        <w:tc>
          <w:tcPr>
            <w:tcW w:w="2695" w:type="dxa"/>
            <w:vMerge w:val="restart"/>
            <w:tcBorders>
              <w:top w:val="single" w:color="auto" w:sz="4" w:space="0"/>
              <w:left w:val="single" w:color="auto" w:sz="4" w:space="0"/>
              <w:bottom w:val="single" w:color="auto" w:sz="4" w:space="0"/>
              <w:right w:val="single" w:color="auto" w:sz="4" w:space="0"/>
            </w:tcBorders>
            <w:vAlign w:val="center"/>
          </w:tcPr>
          <w:p>
            <w:pPr>
              <w:pStyle w:val="105"/>
            </w:pPr>
            <w:r>
              <w:t>N/A</w:t>
            </w:r>
          </w:p>
        </w:tc>
        <w:tc>
          <w:tcPr>
            <w:tcW w:w="1286" w:type="dxa"/>
            <w:tcBorders>
              <w:top w:val="single" w:color="auto" w:sz="4" w:space="0"/>
              <w:left w:val="single" w:color="auto" w:sz="4" w:space="0"/>
              <w:bottom w:val="single" w:color="auto" w:sz="4" w:space="0"/>
              <w:right w:val="single" w:color="auto" w:sz="4" w:space="0"/>
            </w:tcBorders>
            <w:vAlign w:val="center"/>
          </w:tcPr>
          <w:p>
            <w:pPr>
              <w:pStyle w:val="104"/>
            </w:pPr>
            <w:r>
              <w:t>Mod'n</w:t>
            </w:r>
          </w:p>
        </w:tc>
        <w:tc>
          <w:tcPr>
            <w:tcW w:w="3129" w:type="dxa"/>
            <w:tcBorders>
              <w:top w:val="single" w:color="auto" w:sz="4" w:space="0"/>
              <w:left w:val="single" w:color="auto" w:sz="4" w:space="0"/>
              <w:bottom w:val="single" w:color="auto" w:sz="4" w:space="0"/>
              <w:right w:val="single" w:color="auto" w:sz="4" w:space="0"/>
            </w:tcBorders>
            <w:vAlign w:val="center"/>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320" w:type="dxa"/>
            <w:vMerge w:val="restart"/>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320"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124" w:type="dxa"/>
            <w:tcBorders>
              <w:top w:val="single" w:color="auto" w:sz="4" w:space="0"/>
              <w:left w:val="single" w:color="auto" w:sz="4" w:space="0"/>
              <w:bottom w:val="single" w:color="auto" w:sz="4" w:space="0"/>
              <w:right w:val="single" w:color="auto" w:sz="4" w:space="0"/>
            </w:tcBorders>
          </w:tcPr>
          <w:p>
            <w:pPr>
              <w:pStyle w:val="105"/>
            </w:pPr>
            <w:r>
              <w:t>1.4 MHz</w:t>
            </w:r>
          </w:p>
        </w:tc>
        <w:tc>
          <w:tcPr>
            <w:tcW w:w="2695" w:type="dxa"/>
            <w:tcBorders>
              <w:top w:val="single" w:color="auto" w:sz="4" w:space="0"/>
              <w:left w:val="single" w:color="auto" w:sz="4" w:space="0"/>
              <w:bottom w:val="single" w:color="auto" w:sz="4" w:space="0"/>
              <w:right w:val="single" w:color="auto" w:sz="4" w:space="0"/>
            </w:tcBorders>
            <w:vAlign w:val="center"/>
          </w:tcPr>
          <w:p>
            <w:pPr>
              <w:pStyle w:val="105"/>
            </w:pPr>
          </w:p>
        </w:tc>
        <w:tc>
          <w:tcPr>
            <w:tcW w:w="1286" w:type="dxa"/>
            <w:tcBorders>
              <w:top w:val="single" w:color="auto" w:sz="4" w:space="0"/>
              <w:left w:val="single" w:color="auto" w:sz="4" w:space="0"/>
              <w:bottom w:val="single" w:color="auto" w:sz="4" w:space="0"/>
              <w:right w:val="single" w:color="auto" w:sz="4" w:space="0"/>
            </w:tcBorders>
            <w:vAlign w:val="center"/>
          </w:tcPr>
          <w:p>
            <w:pPr>
              <w:pStyle w:val="105"/>
            </w:pPr>
            <w:r>
              <w:t>QPSK</w:t>
            </w:r>
          </w:p>
        </w:tc>
        <w:tc>
          <w:tcPr>
            <w:tcW w:w="3129" w:type="dxa"/>
            <w:tcBorders>
              <w:top w:val="single" w:color="auto" w:sz="4" w:space="0"/>
              <w:left w:val="single" w:color="auto" w:sz="4" w:space="0"/>
              <w:bottom w:val="single" w:color="auto" w:sz="4" w:space="0"/>
              <w:right w:val="single" w:color="auto" w:sz="4" w:space="0"/>
            </w:tcBorders>
            <w:vAlign w:val="center"/>
          </w:tcPr>
          <w:p>
            <w:pPr>
              <w:pStyle w:val="105"/>
            </w:pPr>
            <w:r>
              <w:t>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18"/>
              <w:rPr>
                <w:lang w:eastAsia="sv-SE"/>
              </w:rPr>
            </w:pPr>
            <w:r>
              <w:rPr>
                <w:lang w:eastAsia="sv-SE"/>
              </w:rPr>
              <w:t>Note 1:</w:t>
            </w:r>
            <w:r>
              <w:rPr>
                <w:lang w:eastAsia="sv-SE"/>
              </w:rPr>
              <w:tab/>
            </w:r>
            <w:r>
              <w:rPr>
                <w:lang w:eastAsia="sv-SE"/>
              </w:rPr>
              <w:t>the SC</w:t>
            </w:r>
            <w:r>
              <w:rPr>
                <w:vertAlign w:val="subscript"/>
                <w:lang w:eastAsia="sv-SE"/>
              </w:rPr>
              <w:t>start</w:t>
            </w:r>
            <w:r>
              <w:rPr>
                <w:lang w:eastAsia="sv-SE"/>
              </w:rPr>
              <w:t xml:space="preserve"> shall be 0. </w:t>
            </w:r>
          </w:p>
        </w:tc>
      </w:tr>
    </w:tbl>
    <w:p>
      <w:pPr>
        <w:rPr>
          <w:lang w:eastAsia="en-GB"/>
        </w:rPr>
      </w:pPr>
    </w:p>
    <w:p>
      <w:pPr>
        <w:pStyle w:val="113"/>
        <w:rPr>
          <w:lang w:eastAsia="en-GB"/>
        </w:rPr>
      </w:pPr>
      <w:r>
        <w:rPr>
          <w:lang w:eastAsia="en-GB"/>
        </w:rPr>
        <w:t>Table 6.5A.4.4.4.1-2: Test Configuration Table (network signalled value "NS_24")</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212"/>
        <w:gridCol w:w="1134"/>
        <w:gridCol w:w="2734"/>
        <w:gridCol w:w="2153"/>
        <w:gridCol w:w="2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shd w:val="clear" w:color="auto" w:fill="auto"/>
            <w:vAlign w:val="center"/>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4474" w:type="dxa"/>
            <w:gridSpan w:val="2"/>
            <w:shd w:val="clear" w:color="auto" w:fill="auto"/>
            <w:vAlign w:val="center"/>
          </w:tcPr>
          <w:p>
            <w:pPr>
              <w:keepNext/>
              <w:keepLines/>
              <w:spacing w:after="0"/>
              <w:rPr>
                <w:rFonts w:ascii="Arial" w:hAnsi="Arial"/>
                <w:sz w:val="18"/>
              </w:rPr>
            </w:pPr>
            <w:r>
              <w:rPr>
                <w:rFonts w:ascii="Arial" w:hAnsi="Arial"/>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keepNext/>
              <w:keepLines/>
              <w:spacing w:after="0"/>
              <w:rPr>
                <w:rFonts w:ascii="Arial" w:hAnsi="Arial"/>
                <w:sz w:val="18"/>
              </w:rPr>
            </w:pPr>
            <w:r>
              <w:rPr>
                <w:rFonts w:ascii="Arial" w:hAnsi="Arial"/>
                <w:bCs/>
                <w:sz w:val="18"/>
              </w:rPr>
              <w:t>Test Frequencies as specified in</w:t>
            </w:r>
          </w:p>
          <w:p>
            <w:pPr>
              <w:keepNext/>
              <w:keepLines/>
              <w:spacing w:after="0"/>
              <w:rPr>
                <w:rFonts w:ascii="Arial" w:hAnsi="Arial"/>
                <w:sz w:val="18"/>
              </w:rPr>
            </w:pPr>
            <w:r>
              <w:rPr>
                <w:rFonts w:ascii="Arial" w:hAnsi="Arial"/>
                <w:sz w:val="18"/>
              </w:rPr>
              <w:t>TS 36.508 [12] subclause 4.3.1</w:t>
            </w:r>
          </w:p>
        </w:tc>
        <w:tc>
          <w:tcPr>
            <w:tcW w:w="4474" w:type="dxa"/>
            <w:gridSpan w:val="2"/>
            <w:shd w:val="clear" w:color="auto" w:fill="auto"/>
            <w:vAlign w:val="center"/>
          </w:tcPr>
          <w:p>
            <w:pPr>
              <w:keepNext/>
              <w:keepLines/>
              <w:spacing w:after="0"/>
              <w:rPr>
                <w:rFonts w:ascii="Arial" w:hAnsi="Arial"/>
                <w:sz w:val="18"/>
              </w:rPr>
            </w:pPr>
            <w:r>
              <w:rPr>
                <w:rFonts w:ascii="Arial" w:hAnsi="Arial"/>
                <w:sz w:val="18"/>
                <w:lang w:eastAsia="en-GB"/>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keepNext/>
              <w:keepLines/>
              <w:spacing w:after="0"/>
              <w:rPr>
                <w:rFonts w:ascii="Arial" w:hAnsi="Arial"/>
                <w:sz w:val="18"/>
              </w:rPr>
            </w:pPr>
            <w:r>
              <w:rPr>
                <w:rFonts w:ascii="Arial" w:hAnsi="Arial"/>
                <w:bCs/>
                <w:sz w:val="18"/>
              </w:rPr>
              <w:t>Test Channel Bandwidths as specified in</w:t>
            </w:r>
          </w:p>
          <w:p>
            <w:pPr>
              <w:keepNext/>
              <w:keepLines/>
              <w:spacing w:after="0"/>
              <w:rPr>
                <w:rFonts w:ascii="Arial" w:hAnsi="Arial"/>
                <w:sz w:val="18"/>
              </w:rPr>
            </w:pPr>
            <w:r>
              <w:rPr>
                <w:rFonts w:ascii="Arial" w:hAnsi="Arial"/>
                <w:sz w:val="18"/>
              </w:rPr>
              <w:t>TS 36.508 [12] subclause 4.3.1</w:t>
            </w:r>
          </w:p>
        </w:tc>
        <w:tc>
          <w:tcPr>
            <w:tcW w:w="4474" w:type="dxa"/>
            <w:gridSpan w:val="2"/>
            <w:shd w:val="clear" w:color="auto" w:fill="auto"/>
            <w:vAlign w:val="center"/>
          </w:tcPr>
          <w:p>
            <w:pPr>
              <w:keepNext/>
              <w:keepLines/>
              <w:spacing w:after="0"/>
              <w:rPr>
                <w:rFonts w:ascii="Arial" w:hAnsi="Arial"/>
                <w:sz w:val="18"/>
              </w:rPr>
            </w:pPr>
            <w:r>
              <w:rPr>
                <w:rFonts w:ascii="Arial" w:hAnsi="Arial"/>
                <w:sz w:val="18"/>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shd w:val="clear" w:color="auto" w:fill="auto"/>
            <w:vAlign w:val="center"/>
          </w:tcPr>
          <w:p>
            <w:pPr>
              <w:keepNext/>
              <w:keepLines/>
              <w:spacing w:after="0"/>
              <w:jc w:val="center"/>
              <w:rPr>
                <w:rFonts w:ascii="Arial" w:hAnsi="Arial"/>
                <w:b/>
                <w:sz w:val="18"/>
              </w:rPr>
            </w:pPr>
            <w:r>
              <w:rPr>
                <w:rFonts w:ascii="Arial" w:hAnsi="Arial"/>
                <w:b/>
                <w:sz w:val="18"/>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keepNext/>
              <w:keepLines/>
              <w:spacing w:after="0"/>
              <w:jc w:val="center"/>
              <w:rPr>
                <w:rFonts w:ascii="Arial" w:hAnsi="Arial"/>
                <w:b/>
                <w:sz w:val="18"/>
              </w:rPr>
            </w:pPr>
          </w:p>
        </w:tc>
        <w:tc>
          <w:tcPr>
            <w:tcW w:w="1134" w:type="dxa"/>
            <w:shd w:val="clear" w:color="auto" w:fill="auto"/>
            <w:vAlign w:val="center"/>
          </w:tcPr>
          <w:p>
            <w:pPr>
              <w:keepNext/>
              <w:keepLines/>
              <w:spacing w:after="0"/>
              <w:jc w:val="center"/>
              <w:rPr>
                <w:rFonts w:ascii="Arial" w:hAnsi="Arial"/>
                <w:b/>
                <w:sz w:val="18"/>
              </w:rPr>
            </w:pPr>
          </w:p>
        </w:tc>
        <w:tc>
          <w:tcPr>
            <w:tcW w:w="2734" w:type="dxa"/>
            <w:shd w:val="clear" w:color="auto" w:fill="auto"/>
            <w:vAlign w:val="center"/>
          </w:tcPr>
          <w:p>
            <w:pPr>
              <w:keepNext/>
              <w:keepLines/>
              <w:spacing w:after="0"/>
              <w:jc w:val="center"/>
              <w:rPr>
                <w:rFonts w:ascii="Arial" w:hAnsi="Arial"/>
                <w:b/>
                <w:sz w:val="18"/>
              </w:rPr>
            </w:pPr>
            <w:r>
              <w:rPr>
                <w:rFonts w:ascii="Arial" w:hAnsi="Arial"/>
                <w:b/>
                <w:sz w:val="18"/>
              </w:rPr>
              <w:t>Downlink Configuration</w:t>
            </w:r>
          </w:p>
        </w:tc>
        <w:tc>
          <w:tcPr>
            <w:tcW w:w="4474" w:type="dxa"/>
            <w:gridSpan w:val="2"/>
            <w:shd w:val="clear" w:color="auto" w:fill="auto"/>
            <w:vAlign w:val="center"/>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Configuration ID</w:t>
            </w:r>
          </w:p>
        </w:tc>
        <w:tc>
          <w:tcPr>
            <w:tcW w:w="1134"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Ch BW</w:t>
            </w:r>
          </w:p>
        </w:tc>
        <w:tc>
          <w:tcPr>
            <w:tcW w:w="2734" w:type="dxa"/>
            <w:vMerge w:val="restart"/>
            <w:shd w:val="clear" w:color="auto" w:fill="auto"/>
            <w:vAlign w:val="center"/>
          </w:tcPr>
          <w:p>
            <w:pPr>
              <w:keepNext/>
              <w:keepLines/>
              <w:spacing w:after="0"/>
              <w:jc w:val="center"/>
              <w:rPr>
                <w:rFonts w:ascii="Arial" w:hAnsi="Arial"/>
                <w:sz w:val="18"/>
              </w:rPr>
            </w:pPr>
            <w:r>
              <w:rPr>
                <w:rFonts w:ascii="Arial" w:hAnsi="Arial"/>
                <w:sz w:val="18"/>
              </w:rPr>
              <w:t>N/A</w:t>
            </w:r>
          </w:p>
        </w:tc>
        <w:tc>
          <w:tcPr>
            <w:tcW w:w="2153"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Mod'n</w:t>
            </w:r>
          </w:p>
        </w:tc>
        <w:tc>
          <w:tcPr>
            <w:tcW w:w="2321" w:type="dxa"/>
            <w:shd w:val="clear" w:color="auto" w:fill="auto"/>
            <w:vAlign w:val="center"/>
          </w:tcPr>
          <w:p>
            <w:pPr>
              <w:keepNext/>
              <w:keepLines/>
              <w:spacing w:after="0"/>
              <w:jc w:val="center"/>
              <w:rPr>
                <w:rFonts w:ascii="Arial" w:hAnsi="Arial"/>
                <w:b/>
                <w:bCs/>
                <w:sz w:val="18"/>
              </w:rPr>
            </w:pPr>
            <w:r>
              <w:rPr>
                <w:rFonts w:ascii="Arial" w:hAnsi="Arial"/>
                <w:b/>
                <w:bCs/>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470" w:hRule="atLeast"/>
          <w:jc w:val="center"/>
        </w:trPr>
        <w:tc>
          <w:tcPr>
            <w:tcW w:w="1212" w:type="dxa"/>
            <w:vMerge w:val="continue"/>
            <w:tcBorders>
              <w:bottom w:val="single" w:color="auto" w:sz="4" w:space="0"/>
            </w:tcBorders>
            <w:shd w:val="clear" w:color="auto" w:fill="auto"/>
            <w:vAlign w:val="center"/>
          </w:tcPr>
          <w:p>
            <w:pPr>
              <w:keepNext/>
              <w:keepLines/>
              <w:spacing w:after="0"/>
              <w:jc w:val="center"/>
              <w:rPr>
                <w:rFonts w:ascii="Arial" w:hAnsi="Arial"/>
                <w:sz w:val="18"/>
              </w:rPr>
            </w:pPr>
          </w:p>
        </w:tc>
        <w:tc>
          <w:tcPr>
            <w:tcW w:w="1134" w:type="dxa"/>
            <w:vMerge w:val="continue"/>
            <w:tcBorders>
              <w:bottom w:val="single" w:color="auto" w:sz="4" w:space="0"/>
            </w:tcBorders>
            <w:shd w:val="clear" w:color="auto" w:fill="auto"/>
            <w:vAlign w:val="center"/>
          </w:tcPr>
          <w:p>
            <w:pPr>
              <w:keepNext/>
              <w:keepLines/>
              <w:spacing w:after="0"/>
              <w:jc w:val="center"/>
              <w:rPr>
                <w:rFonts w:ascii="Arial" w:hAnsi="Arial"/>
                <w:sz w:val="18"/>
              </w:rPr>
            </w:pPr>
          </w:p>
        </w:tc>
        <w:tc>
          <w:tcPr>
            <w:tcW w:w="2734" w:type="dxa"/>
            <w:vMerge w:val="continue"/>
            <w:tcBorders>
              <w:bottom w:val="single" w:color="auto" w:sz="4" w:space="0"/>
            </w:tcBorders>
            <w:vAlign w:val="center"/>
          </w:tcPr>
          <w:p>
            <w:pPr>
              <w:keepNext/>
              <w:keepLines/>
              <w:spacing w:after="0"/>
              <w:jc w:val="center"/>
              <w:rPr>
                <w:rFonts w:ascii="Arial" w:hAnsi="Arial"/>
                <w:sz w:val="18"/>
              </w:rPr>
            </w:pPr>
          </w:p>
        </w:tc>
        <w:tc>
          <w:tcPr>
            <w:tcW w:w="2153" w:type="dxa"/>
            <w:vMerge w:val="continue"/>
            <w:tcBorders>
              <w:bottom w:val="single" w:color="auto" w:sz="4" w:space="0"/>
            </w:tcBorders>
            <w:shd w:val="clear" w:color="auto" w:fill="auto"/>
            <w:vAlign w:val="center"/>
          </w:tcPr>
          <w:p>
            <w:pPr>
              <w:keepNext/>
              <w:keepLines/>
              <w:spacing w:after="0"/>
              <w:jc w:val="center"/>
              <w:rPr>
                <w:rFonts w:ascii="Arial" w:hAnsi="Arial"/>
                <w:b/>
                <w:bCs/>
                <w:sz w:val="18"/>
              </w:rPr>
            </w:pPr>
          </w:p>
        </w:tc>
        <w:tc>
          <w:tcPr>
            <w:tcW w:w="2321" w:type="dxa"/>
            <w:tcBorders>
              <w:bottom w:val="single" w:color="auto" w:sz="4" w:space="0"/>
            </w:tcBorders>
            <w:shd w:val="clear" w:color="auto" w:fill="auto"/>
            <w:vAlign w:val="center"/>
          </w:tcPr>
          <w:p>
            <w:pPr>
              <w:keepNext/>
              <w:keepLines/>
              <w:spacing w:after="0"/>
              <w:jc w:val="center"/>
              <w:rPr>
                <w:rFonts w:ascii="Arial" w:hAnsi="Arial"/>
                <w:b/>
                <w:bCs/>
                <w:sz w:val="18"/>
              </w:rPr>
            </w:pPr>
            <w:r>
              <w:rPr>
                <w:rFonts w:ascii="Arial" w:hAnsi="Arial"/>
                <w:b/>
                <w:bCs/>
                <w:sz w:val="18"/>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keepNext/>
              <w:keepLines/>
              <w:spacing w:after="0"/>
              <w:jc w:val="center"/>
              <w:rPr>
                <w:rFonts w:ascii="Arial" w:hAnsi="Arial"/>
                <w:sz w:val="18"/>
              </w:rPr>
            </w:pPr>
            <w:r>
              <w:rPr>
                <w:rFonts w:ascii="Arial" w:hAnsi="Arial"/>
                <w:sz w:val="18"/>
              </w:rPr>
              <w:t>1</w:t>
            </w:r>
          </w:p>
        </w:tc>
        <w:tc>
          <w:tcPr>
            <w:tcW w:w="1134" w:type="dxa"/>
            <w:shd w:val="clear" w:color="auto" w:fill="auto"/>
            <w:vAlign w:val="center"/>
          </w:tcPr>
          <w:p>
            <w:pPr>
              <w:keepNext/>
              <w:keepLines/>
              <w:spacing w:after="0"/>
              <w:jc w:val="center"/>
              <w:rPr>
                <w:rFonts w:ascii="Arial" w:hAnsi="Arial"/>
                <w:sz w:val="18"/>
              </w:rPr>
            </w:pPr>
            <w:r>
              <w:rPr>
                <w:rFonts w:ascii="Arial" w:hAnsi="Arial"/>
                <w:sz w:val="18"/>
              </w:rPr>
              <w:t>1.4 MHz</w:t>
            </w:r>
          </w:p>
        </w:tc>
        <w:tc>
          <w:tcPr>
            <w:tcW w:w="2734" w:type="dxa"/>
            <w:vMerge w:val="continue"/>
            <w:shd w:val="clear" w:color="auto" w:fill="auto"/>
            <w:vAlign w:val="center"/>
          </w:tcPr>
          <w:p>
            <w:pPr>
              <w:keepNext/>
              <w:keepLines/>
              <w:spacing w:after="0"/>
              <w:jc w:val="center"/>
              <w:rPr>
                <w:rFonts w:ascii="Arial" w:hAnsi="Arial"/>
                <w:sz w:val="18"/>
              </w:rPr>
            </w:pPr>
          </w:p>
        </w:tc>
        <w:tc>
          <w:tcPr>
            <w:tcW w:w="2153" w:type="dxa"/>
            <w:shd w:val="clear" w:color="auto" w:fill="auto"/>
            <w:vAlign w:val="center"/>
          </w:tcPr>
          <w:p>
            <w:pPr>
              <w:keepNext/>
              <w:keepLines/>
              <w:spacing w:after="0"/>
              <w:jc w:val="center"/>
              <w:rPr>
                <w:rFonts w:ascii="Arial" w:hAnsi="Arial"/>
                <w:sz w:val="18"/>
              </w:rPr>
            </w:pPr>
            <w:r>
              <w:rPr>
                <w:rFonts w:ascii="Arial" w:hAnsi="Arial"/>
                <w:sz w:val="18"/>
              </w:rPr>
              <w:t>QPSK</w:t>
            </w:r>
          </w:p>
        </w:tc>
        <w:tc>
          <w:tcPr>
            <w:tcW w:w="2321" w:type="dxa"/>
            <w:shd w:val="clear" w:color="auto" w:fill="auto"/>
            <w:vAlign w:val="center"/>
          </w:tcPr>
          <w:p>
            <w:pPr>
              <w:keepNext/>
              <w:keepLines/>
              <w:spacing w:after="0"/>
              <w:jc w:val="center"/>
              <w:rPr>
                <w:rFonts w:ascii="Arial" w:hAnsi="Arial"/>
                <w:sz w:val="18"/>
              </w:rPr>
            </w:pPr>
            <w:r>
              <w:rPr>
                <w:rFonts w:ascii="Arial" w:hAnsi="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keepNext/>
              <w:keepLines/>
              <w:spacing w:after="0"/>
              <w:jc w:val="center"/>
              <w:rPr>
                <w:rFonts w:ascii="Arial" w:hAnsi="Arial"/>
                <w:sz w:val="18"/>
              </w:rPr>
            </w:pPr>
            <w:r>
              <w:rPr>
                <w:rFonts w:hint="eastAsia" w:ascii="Arial" w:hAnsi="Arial"/>
                <w:sz w:val="18"/>
              </w:rPr>
              <w:t>2</w:t>
            </w:r>
          </w:p>
        </w:tc>
        <w:tc>
          <w:tcPr>
            <w:tcW w:w="1134" w:type="dxa"/>
            <w:shd w:val="clear" w:color="auto" w:fill="auto"/>
            <w:vAlign w:val="center"/>
          </w:tcPr>
          <w:p>
            <w:pPr>
              <w:keepNext/>
              <w:keepLines/>
              <w:spacing w:after="0"/>
              <w:jc w:val="center"/>
              <w:rPr>
                <w:rFonts w:ascii="Arial" w:hAnsi="Arial" w:eastAsiaTheme="minorEastAsia"/>
                <w:sz w:val="18"/>
              </w:rPr>
            </w:pPr>
            <w:r>
              <w:rPr>
                <w:rFonts w:hint="eastAsia" w:ascii="Arial" w:hAnsi="Arial"/>
                <w:sz w:val="18"/>
              </w:rPr>
              <w:t>1</w:t>
            </w:r>
            <w:r>
              <w:rPr>
                <w:rFonts w:ascii="Arial" w:hAnsi="Arial"/>
                <w:sz w:val="18"/>
              </w:rPr>
              <w:t>.4 MHz</w:t>
            </w:r>
          </w:p>
        </w:tc>
        <w:tc>
          <w:tcPr>
            <w:tcW w:w="2734" w:type="dxa"/>
            <w:vMerge w:val="continue"/>
            <w:shd w:val="clear" w:color="auto" w:fill="auto"/>
            <w:vAlign w:val="center"/>
          </w:tcPr>
          <w:p>
            <w:pPr>
              <w:keepNext/>
              <w:keepLines/>
              <w:spacing w:after="0"/>
              <w:jc w:val="center"/>
              <w:rPr>
                <w:rFonts w:ascii="Arial" w:hAnsi="Arial"/>
                <w:sz w:val="18"/>
              </w:rPr>
            </w:pPr>
          </w:p>
        </w:tc>
        <w:tc>
          <w:tcPr>
            <w:tcW w:w="2153"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Q</w:t>
            </w:r>
            <w:r>
              <w:rPr>
                <w:rFonts w:ascii="Arial" w:hAnsi="Arial" w:eastAsiaTheme="minorEastAsia"/>
                <w:sz w:val="18"/>
              </w:rPr>
              <w:t>PSK</w:t>
            </w:r>
          </w:p>
        </w:tc>
        <w:tc>
          <w:tcPr>
            <w:tcW w:w="2321"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keepNext/>
              <w:keepLines/>
              <w:spacing w:after="0"/>
              <w:jc w:val="center"/>
              <w:rPr>
                <w:rFonts w:ascii="Arial" w:hAnsi="Arial"/>
                <w:sz w:val="18"/>
              </w:rPr>
            </w:pPr>
            <w:r>
              <w:rPr>
                <w:rFonts w:ascii="Arial" w:hAnsi="Arial"/>
                <w:sz w:val="18"/>
              </w:rPr>
              <w:t>3</w:t>
            </w:r>
          </w:p>
        </w:tc>
        <w:tc>
          <w:tcPr>
            <w:tcW w:w="1134" w:type="dxa"/>
            <w:shd w:val="clear" w:color="auto" w:fill="auto"/>
            <w:vAlign w:val="center"/>
          </w:tcPr>
          <w:p>
            <w:pPr>
              <w:keepNext/>
              <w:keepLines/>
              <w:spacing w:after="0"/>
              <w:jc w:val="center"/>
              <w:rPr>
                <w:rFonts w:ascii="Arial" w:hAnsi="Arial"/>
                <w:sz w:val="18"/>
              </w:rPr>
            </w:pPr>
            <w:r>
              <w:rPr>
                <w:rFonts w:ascii="Arial" w:hAnsi="Arial"/>
                <w:sz w:val="18"/>
              </w:rPr>
              <w:t>1.4 MHz</w:t>
            </w:r>
          </w:p>
        </w:tc>
        <w:tc>
          <w:tcPr>
            <w:tcW w:w="2734" w:type="dxa"/>
            <w:vMerge w:val="continue"/>
            <w:shd w:val="clear" w:color="auto" w:fill="auto"/>
            <w:vAlign w:val="center"/>
          </w:tcPr>
          <w:p>
            <w:pPr>
              <w:keepNext/>
              <w:keepLines/>
              <w:spacing w:after="0"/>
              <w:jc w:val="center"/>
              <w:rPr>
                <w:rFonts w:ascii="Arial" w:hAnsi="Arial"/>
                <w:sz w:val="18"/>
              </w:rPr>
            </w:pPr>
          </w:p>
        </w:tc>
        <w:tc>
          <w:tcPr>
            <w:tcW w:w="2153" w:type="dxa"/>
            <w:shd w:val="clear" w:color="auto" w:fill="auto"/>
            <w:vAlign w:val="center"/>
          </w:tcPr>
          <w:p>
            <w:pPr>
              <w:keepNext/>
              <w:keepLines/>
              <w:spacing w:after="0"/>
              <w:jc w:val="center"/>
              <w:rPr>
                <w:rFonts w:ascii="Arial" w:hAnsi="Arial"/>
                <w:sz w:val="18"/>
              </w:rPr>
            </w:pPr>
            <w:r>
              <w:rPr>
                <w:rFonts w:ascii="Arial" w:hAnsi="Arial"/>
                <w:sz w:val="18"/>
              </w:rPr>
              <w:t>QPSK</w:t>
            </w:r>
          </w:p>
        </w:tc>
        <w:tc>
          <w:tcPr>
            <w:tcW w:w="2321" w:type="dxa"/>
            <w:shd w:val="clear" w:color="auto" w:fill="auto"/>
            <w:vAlign w:val="center"/>
          </w:tcPr>
          <w:p>
            <w:pPr>
              <w:keepNext/>
              <w:keepLines/>
              <w:spacing w:after="0"/>
              <w:jc w:val="center"/>
              <w:rPr>
                <w:rFonts w:ascii="Arial" w:hAnsi="Arial"/>
                <w:sz w:val="18"/>
              </w:rPr>
            </w:pPr>
            <w:r>
              <w:rPr>
                <w:rFonts w:ascii="Arial" w:hAnsi="Arial"/>
                <w:sz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shd w:val="clear" w:color="auto" w:fill="auto"/>
            <w:vAlign w:val="center"/>
          </w:tcPr>
          <w:p>
            <w:pPr>
              <w:keepNext/>
              <w:keepLines/>
              <w:spacing w:after="0"/>
              <w:ind w:left="578" w:hanging="578"/>
              <w:rPr>
                <w:rFonts w:ascii="Arial" w:hAnsi="Arial"/>
                <w:sz w:val="18"/>
                <w:lang w:eastAsia="sv-SE"/>
              </w:rPr>
            </w:pPr>
            <w:r>
              <w:rPr>
                <w:rFonts w:ascii="Arial" w:hAnsi="Arial"/>
                <w:sz w:val="18"/>
              </w:rPr>
              <w:t xml:space="preserve">Note 1: </w:t>
            </w:r>
            <w:r>
              <w:rPr>
                <w:lang w:eastAsia="sv-SE"/>
              </w:rPr>
              <w:t>The RB</w:t>
            </w:r>
            <w:r>
              <w:rPr>
                <w:vertAlign w:val="subscript"/>
                <w:lang w:eastAsia="sv-SE"/>
              </w:rPr>
              <w:t>start</w:t>
            </w:r>
            <w:r>
              <w:rPr>
                <w:lang w:eastAsia="sv-SE"/>
              </w:rPr>
              <w:t xml:space="preserve"> of partial RB allocation shall be RB#0</w:t>
            </w:r>
            <w:r>
              <w:rPr>
                <w:rFonts w:ascii="Arial" w:hAnsi="Arial"/>
                <w:sz w:val="18"/>
                <w:lang w:eastAsia="sv-SE"/>
              </w:rPr>
              <w:t>.</w:t>
            </w:r>
          </w:p>
        </w:tc>
      </w:tr>
    </w:tbl>
    <w:p>
      <w:pPr>
        <w:rPr>
          <w:lang w:eastAsia="en-GB"/>
        </w:rPr>
      </w:pPr>
    </w:p>
    <w:p>
      <w:pPr>
        <w:pStyle w:val="113"/>
      </w:pPr>
      <w:r>
        <w:t>Table 6.5A.4.4.4.1-2a: Test Configuration Table, subPRB allocation (network signalled value "NS_24")</w:t>
      </w:r>
    </w:p>
    <w:tbl>
      <w:tblPr>
        <w:tblStyle w:val="89"/>
        <w:tblpPr w:leftFromText="180" w:rightFromText="180" w:vertAnchor="text" w:tblpY="1"/>
        <w:tblOverlap w:val="never"/>
        <w:tblW w:w="95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320"/>
        <w:gridCol w:w="1124"/>
        <w:gridCol w:w="2695"/>
        <w:gridCol w:w="1286"/>
        <w:gridCol w:w="3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t>Test Environment as specified in</w:t>
            </w:r>
          </w:p>
          <w:p>
            <w:pPr>
              <w:pStyle w:val="103"/>
            </w:pPr>
            <w:r>
              <w:t>TS 36.508 [12] subclause 4.1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Frequencies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Channel Bandwidths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
          <w:p>
            <w:pPr>
              <w:pStyle w:val="104"/>
            </w:pPr>
            <w:r>
              <w:t>Downlink Configuration</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4"/>
            </w:pPr>
            <w:r>
              <w:t>Configuration ID</w:t>
            </w:r>
          </w:p>
        </w:tc>
        <w:tc>
          <w:tcPr>
            <w:tcW w:w="1124" w:type="dxa"/>
            <w:tcBorders>
              <w:top w:val="single" w:color="auto" w:sz="4" w:space="0"/>
              <w:left w:val="single" w:color="auto" w:sz="4" w:space="0"/>
              <w:bottom w:val="single" w:color="auto" w:sz="4" w:space="0"/>
              <w:right w:val="single" w:color="auto" w:sz="4" w:space="0"/>
            </w:tcBorders>
            <w:vAlign w:val="center"/>
          </w:tcPr>
          <w:p>
            <w:pPr>
              <w:pStyle w:val="104"/>
            </w:pPr>
            <w:r>
              <w:t>Ch BW</w:t>
            </w:r>
          </w:p>
        </w:tc>
        <w:tc>
          <w:tcPr>
            <w:tcW w:w="2695" w:type="dxa"/>
            <w:vMerge w:val="restart"/>
            <w:tcBorders>
              <w:top w:val="single" w:color="auto" w:sz="4" w:space="0"/>
              <w:left w:val="single" w:color="auto" w:sz="4" w:space="0"/>
              <w:bottom w:val="single" w:color="auto" w:sz="4" w:space="0"/>
              <w:right w:val="single" w:color="auto" w:sz="4" w:space="0"/>
            </w:tcBorders>
            <w:vAlign w:val="center"/>
          </w:tcPr>
          <w:p>
            <w:pPr>
              <w:pStyle w:val="105"/>
            </w:pPr>
            <w:r>
              <w:t>N/A</w:t>
            </w:r>
          </w:p>
        </w:tc>
        <w:tc>
          <w:tcPr>
            <w:tcW w:w="1286" w:type="dxa"/>
            <w:tcBorders>
              <w:top w:val="single" w:color="auto" w:sz="4" w:space="0"/>
              <w:left w:val="single" w:color="auto" w:sz="4" w:space="0"/>
              <w:bottom w:val="single" w:color="auto" w:sz="4" w:space="0"/>
              <w:right w:val="single" w:color="auto" w:sz="4" w:space="0"/>
            </w:tcBorders>
            <w:vAlign w:val="center"/>
          </w:tcPr>
          <w:p>
            <w:pPr>
              <w:pStyle w:val="104"/>
            </w:pPr>
            <w:r>
              <w:t>Mod'n</w:t>
            </w:r>
          </w:p>
        </w:tc>
        <w:tc>
          <w:tcPr>
            <w:tcW w:w="3129" w:type="dxa"/>
            <w:tcBorders>
              <w:top w:val="single" w:color="auto" w:sz="4" w:space="0"/>
              <w:left w:val="single" w:color="auto" w:sz="4" w:space="0"/>
              <w:bottom w:val="single" w:color="auto" w:sz="4" w:space="0"/>
              <w:right w:val="single" w:color="auto" w:sz="4" w:space="0"/>
            </w:tcBorders>
            <w:vAlign w:val="center"/>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320" w:type="dxa"/>
            <w:vMerge w:val="restart"/>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320"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124" w:type="dxa"/>
            <w:tcBorders>
              <w:top w:val="single" w:color="auto" w:sz="4" w:space="0"/>
              <w:left w:val="single" w:color="auto" w:sz="4" w:space="0"/>
              <w:bottom w:val="single" w:color="auto" w:sz="4" w:space="0"/>
              <w:right w:val="single" w:color="auto" w:sz="4" w:space="0"/>
            </w:tcBorders>
          </w:tcPr>
          <w:p>
            <w:pPr>
              <w:pStyle w:val="105"/>
            </w:pPr>
            <w:r>
              <w:t>1.4MHz</w:t>
            </w:r>
          </w:p>
        </w:tc>
        <w:tc>
          <w:tcPr>
            <w:tcW w:w="2695" w:type="dxa"/>
            <w:tcBorders>
              <w:top w:val="single" w:color="auto" w:sz="4" w:space="0"/>
              <w:left w:val="single" w:color="auto" w:sz="4" w:space="0"/>
              <w:bottom w:val="single" w:color="auto" w:sz="4" w:space="0"/>
              <w:right w:val="single" w:color="auto" w:sz="4" w:space="0"/>
            </w:tcBorders>
            <w:vAlign w:val="center"/>
          </w:tcPr>
          <w:p>
            <w:pPr>
              <w:pStyle w:val="105"/>
            </w:pPr>
          </w:p>
        </w:tc>
        <w:tc>
          <w:tcPr>
            <w:tcW w:w="1286" w:type="dxa"/>
            <w:tcBorders>
              <w:top w:val="single" w:color="auto" w:sz="4" w:space="0"/>
              <w:left w:val="single" w:color="auto" w:sz="4" w:space="0"/>
              <w:bottom w:val="single" w:color="auto" w:sz="4" w:space="0"/>
              <w:right w:val="single" w:color="auto" w:sz="4" w:space="0"/>
            </w:tcBorders>
            <w:vAlign w:val="center"/>
          </w:tcPr>
          <w:p>
            <w:pPr>
              <w:pStyle w:val="105"/>
            </w:pPr>
            <w:r>
              <w:t>QPSK</w:t>
            </w:r>
          </w:p>
        </w:tc>
        <w:tc>
          <w:tcPr>
            <w:tcW w:w="3129" w:type="dxa"/>
            <w:tcBorders>
              <w:top w:val="single" w:color="auto" w:sz="4" w:space="0"/>
              <w:left w:val="single" w:color="auto" w:sz="4" w:space="0"/>
              <w:bottom w:val="single" w:color="auto" w:sz="4" w:space="0"/>
              <w:right w:val="single" w:color="auto" w:sz="4" w:space="0"/>
            </w:tcBorders>
            <w:vAlign w:val="center"/>
          </w:tcPr>
          <w:p>
            <w:pPr>
              <w:pStyle w:val="105"/>
            </w:pPr>
            <w:r>
              <w:t>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18"/>
              <w:rPr>
                <w:lang w:eastAsia="sv-SE"/>
              </w:rPr>
            </w:pPr>
            <w:r>
              <w:rPr>
                <w:lang w:eastAsia="sv-SE"/>
              </w:rPr>
              <w:t>Note 1:</w:t>
            </w:r>
            <w:r>
              <w:rPr>
                <w:lang w:eastAsia="sv-SE"/>
              </w:rPr>
              <w:tab/>
            </w:r>
            <w:r>
              <w:rPr>
                <w:lang w:eastAsia="sv-SE"/>
              </w:rPr>
              <w:t>the SC</w:t>
            </w:r>
            <w:r>
              <w:rPr>
                <w:vertAlign w:val="subscript"/>
                <w:lang w:eastAsia="sv-SE"/>
              </w:rPr>
              <w:t>start</w:t>
            </w:r>
            <w:r>
              <w:rPr>
                <w:lang w:eastAsia="sv-SE"/>
              </w:rPr>
              <w:t xml:space="preserve"> shall be 0. </w:t>
            </w:r>
          </w:p>
        </w:tc>
      </w:tr>
    </w:tbl>
    <w:p>
      <w:pPr>
        <w:rPr>
          <w:lang w:eastAsia="en-GB"/>
        </w:rP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SS to the UE antenna connectors as shown in TS 36.508[12] Annex A Figure A.7 using only main UE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4.4.3.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 and H.3.0.</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The UL Reference Measurement channels are set according to Table 6.5A.4.4.4.1-1 to Table 6.5A.4.4.4.1-2a.</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pPr>
        <w:pStyle w:val="111"/>
        <w:overflowPunct w:val="0"/>
        <w:autoSpaceDE w:val="0"/>
        <w:autoSpaceDN w:val="0"/>
        <w:adjustRightInd w:val="0"/>
        <w:ind w:left="568"/>
        <w:contextualSpacing w:val="0"/>
        <w:textAlignment w:val="baseline"/>
        <w:rPr>
          <w:lang w:eastAsia="en-GB"/>
        </w:rPr>
      </w:pPr>
      <w:r>
        <w:rPr>
          <w:rFonts w:hint="eastAsia"/>
          <w:lang w:eastAsia="en-GB"/>
        </w:rPr>
        <w:t>7</w:t>
      </w:r>
      <w:r>
        <w:rPr>
          <w:lang w:eastAsia="en-GB"/>
        </w:rPr>
        <w:t>.</w:t>
      </w:r>
      <w:r>
        <w:rPr>
          <w:lang w:eastAsia="en-GB"/>
        </w:rPr>
        <w:tab/>
      </w:r>
      <w:r>
        <w:rPr>
          <w:lang w:eastAsia="en-GB"/>
        </w:rPr>
        <w:t xml:space="preserve">Test equipment shall emulate </w:t>
      </w:r>
      <w:r>
        <w:rPr>
          <w:rFonts w:hint="eastAsia"/>
          <w:color w:val="FF0000"/>
          <w:lang w:eastAsia="en-GB"/>
        </w:rPr>
        <w:t xml:space="preserve">the signal with doppler and delay according to ephemeris defined in TS 36.508 [12] table </w:t>
      </w:r>
      <w:r>
        <w:rPr>
          <w:color w:val="FF0000"/>
          <w:lang w:eastAsia="en-GB"/>
        </w:rPr>
        <w:t>5</w:t>
      </w:r>
      <w:r>
        <w:rPr>
          <w:rFonts w:hint="eastAsia"/>
          <w:color w:val="FF0000"/>
          <w:lang w:eastAsia="en-GB"/>
        </w:rPr>
        <w:t xml:space="preserve">.6.2.1-1 for GSO if UE supports only GSO or both GSO and NGSO satellites and table </w:t>
      </w:r>
      <w:r>
        <w:rPr>
          <w:color w:val="FF0000"/>
          <w:lang w:eastAsia="en-GB"/>
        </w:rPr>
        <w:t>5</w:t>
      </w:r>
      <w:r>
        <w:rPr>
          <w:rFonts w:hint="eastAsia"/>
          <w:color w:val="FF0000"/>
          <w:lang w:eastAsia="en-GB"/>
        </w:rPr>
        <w:t>.6.2.1-3 for NGSO (LEO-1200) if UE supports only NGSO satellites</w:t>
      </w:r>
      <w:r>
        <w:rPr>
          <w:lang w:eastAsia="en-GB"/>
        </w:rPr>
        <w:t>. Test system shall send same SIB31 information during the duration of the test as define in TS 36.508[12] clause 5.6.3.1</w:t>
      </w:r>
    </w:p>
    <w:p>
      <w:pPr>
        <w:pStyle w:val="111"/>
        <w:overflowPunct w:val="0"/>
        <w:autoSpaceDE w:val="0"/>
        <w:autoSpaceDN w:val="0"/>
        <w:adjustRightInd w:val="0"/>
        <w:ind w:left="568"/>
        <w:contextualSpacing w:val="0"/>
        <w:textAlignment w:val="baseline"/>
        <w:rPr>
          <w:lang w:eastAsia="en-GB"/>
        </w:rPr>
      </w:pPr>
      <w:r>
        <w:rPr>
          <w:rFonts w:hint="eastAsia"/>
          <w:lang w:eastAsia="en-GB"/>
        </w:rPr>
        <w:t>8</w:t>
      </w:r>
      <w:r>
        <w:rPr>
          <w:lang w:eastAsia="en-GB"/>
        </w:rPr>
        <w:t>.</w:t>
      </w:r>
      <w:r>
        <w:rPr>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9.</w:t>
      </w:r>
      <w:r>
        <w:rPr>
          <w:lang w:eastAsia="en-GB"/>
        </w:rPr>
        <w:tab/>
      </w:r>
      <w:r>
        <w:rPr>
          <w:lang w:eastAsia="en-GB"/>
        </w:rPr>
        <w:t xml:space="preserve">Ensure the UE is in State 3A-RF-CE according to TS 36.508 [12] clause </w:t>
      </w:r>
      <w:r>
        <w:rPr>
          <w:rFonts w:eastAsia="MS Mincho"/>
          <w:lang w:eastAsia="en-GB"/>
        </w:rPr>
        <w:t>5.2A.2AA</w:t>
      </w:r>
      <w:r>
        <w:rPr>
          <w:lang w:eastAsia="en-GB"/>
        </w:rPr>
        <w:t>. Message contents are defined in clause 6.5A.4.4.4.3.</w:t>
      </w:r>
    </w:p>
    <w:p>
      <w:pPr>
        <w:pStyle w:val="9"/>
      </w:pPr>
      <w:r>
        <w:rPr>
          <w:rFonts w:hint="eastAsia"/>
        </w:rPr>
        <w:t>6.5A</w:t>
      </w:r>
      <w:r>
        <w:t>.4.4.4.2</w:t>
      </w:r>
      <w:r>
        <w:tab/>
      </w:r>
      <w:r>
        <w:t>Test procedure</w:t>
      </w:r>
    </w:p>
    <w:p>
      <w:pPr>
        <w:pStyle w:val="111"/>
        <w:overflowPunct w:val="0"/>
        <w:autoSpaceDE w:val="0"/>
        <w:autoSpaceDN w:val="0"/>
        <w:adjustRightInd w:val="0"/>
        <w:ind w:left="584" w:leftChars="150"/>
        <w:contextualSpacing w:val="0"/>
        <w:textAlignment w:val="baseline"/>
        <w:rPr>
          <w:lang w:eastAsia="en-GB"/>
        </w:rPr>
      </w:pPr>
      <w:r>
        <w:rPr>
          <w:lang w:eastAsia="en-GB"/>
        </w:rPr>
        <w:t>1.</w:t>
      </w:r>
      <w:r>
        <w:rPr>
          <w:lang w:eastAsia="en-GB"/>
        </w:rPr>
        <w:tab/>
      </w:r>
      <w:r>
        <w:rPr>
          <w:lang w:eastAsia="en-GB"/>
        </w:rPr>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pPr>
        <w:pStyle w:val="111"/>
        <w:overflowPunct w:val="0"/>
        <w:autoSpaceDE w:val="0"/>
        <w:autoSpaceDN w:val="0"/>
        <w:adjustRightInd w:val="0"/>
        <w:ind w:left="584" w:leftChars="150"/>
        <w:contextualSpacing w:val="0"/>
        <w:textAlignment w:val="baseline"/>
        <w:rPr>
          <w:lang w:eastAsia="en-GB"/>
        </w:rPr>
      </w:pPr>
      <w:r>
        <w:rPr>
          <w:lang w:eastAsia="en-GB"/>
        </w:rPr>
        <w:t>2.</w:t>
      </w:r>
      <w:r>
        <w:rPr>
          <w:lang w:eastAsia="en-GB"/>
        </w:rPr>
        <w:tab/>
      </w:r>
      <w:r>
        <w:rPr>
          <w:lang w:eastAsia="en-GB"/>
        </w:rPr>
        <w:t>Send continuously uplink power control "up" commands in the uplink scheduling information to the UE to ensure that the UE transmits at PUMAX level.</w:t>
      </w:r>
    </w:p>
    <w:p>
      <w:pPr>
        <w:pStyle w:val="111"/>
        <w:overflowPunct w:val="0"/>
        <w:autoSpaceDE w:val="0"/>
        <w:autoSpaceDN w:val="0"/>
        <w:adjustRightInd w:val="0"/>
        <w:ind w:left="584" w:leftChars="150"/>
        <w:contextualSpacing w:val="0"/>
        <w:textAlignment w:val="baseline"/>
        <w:rPr>
          <w:lang w:eastAsia="en-GB"/>
        </w:rPr>
      </w:pPr>
      <w:r>
        <w:rPr>
          <w:lang w:eastAsia="en-GB"/>
        </w:rPr>
        <w:t>3.</w:t>
      </w:r>
      <w:r>
        <w:rPr>
          <w:lang w:eastAsia="en-GB"/>
        </w:rPr>
        <w:tab/>
      </w:r>
      <w:r>
        <w:rPr>
          <w:lang w:eastAsia="en-GB"/>
        </w:rPr>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pPr>
        <w:pStyle w:val="111"/>
        <w:overflowPunct w:val="0"/>
        <w:autoSpaceDE w:val="0"/>
        <w:autoSpaceDN w:val="0"/>
        <w:adjustRightInd w:val="0"/>
        <w:contextualSpacing w:val="0"/>
        <w:textAlignment w:val="baseline"/>
        <w:rPr>
          <w:rFonts w:eastAsia="Times New Roman"/>
          <w:lang w:val="en-GB" w:eastAsia="en-GB"/>
        </w:rPr>
      </w:pPr>
      <w:r>
        <w:rPr>
          <w:lang w:eastAsia="en-GB"/>
        </w:rPr>
        <w:t>4.</w:t>
      </w:r>
      <w:r>
        <w:rPr>
          <w:lang w:eastAsia="en-GB"/>
        </w:rPr>
        <w:tab/>
      </w:r>
      <w:r>
        <w:rPr>
          <w:lang w:eastAsia="en-GB"/>
        </w:rPr>
        <w:t>Measure the power of the transmitted signal with a measurement filter of bandwidths according to Table 6.5A.4.4.3.1-1 to 6.5A.4.4.3.2-1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pPr>
        <w:pStyle w:val="9"/>
      </w:pPr>
      <w:r>
        <w:rPr>
          <w:rFonts w:hint="eastAsia"/>
        </w:rPr>
        <w:t>6.5A</w:t>
      </w:r>
      <w:r>
        <w:t>.4.4.4.3</w:t>
      </w:r>
      <w:r>
        <w:tab/>
      </w:r>
      <w:r>
        <w:t>Message contents</w:t>
      </w:r>
    </w:p>
    <w:p>
      <w:r>
        <w:t>Message contents are same as in clause 6.2A.3.4.3.</w:t>
      </w:r>
    </w:p>
    <w:p>
      <w:pPr>
        <w:pStyle w:val="9"/>
        <w:rPr>
          <w:lang w:val="en-US"/>
        </w:rPr>
      </w:pPr>
      <w:r>
        <w:t>6.5A.4.4.</w:t>
      </w:r>
      <w:r>
        <w:rPr>
          <w:lang w:val="en-US"/>
        </w:rPr>
        <w:t>5</w:t>
      </w:r>
      <w:r>
        <w:rPr>
          <w:lang w:val="en-US"/>
        </w:rPr>
        <w:tab/>
      </w:r>
      <w:r>
        <w:rPr>
          <w:lang w:val="en-US"/>
        </w:rPr>
        <w:t>Test requirement</w:t>
      </w:r>
    </w:p>
    <w:p>
      <w:pPr>
        <w:rPr>
          <w:lang w:val="en-US"/>
        </w:rPr>
      </w:pPr>
      <w:r>
        <w:rPr>
          <w:lang w:val="en-US"/>
        </w:rPr>
        <w:t>The measured UE mean power in the channel bandwidth, derived in step 3, shall fulfil requirements in Tables 6.2A.3.5-1 to 6.2A.3.5-2a as appropriate,</w:t>
      </w:r>
    </w:p>
    <w:p>
      <w:pPr>
        <w:rPr>
          <w:lang w:val="en-US"/>
        </w:rPr>
      </w:pPr>
      <w:r>
        <w:rPr>
          <w:lang w:val="en-US"/>
        </w:rPr>
        <w:t>Test requirements for Additional Spurious Emissions are the same as the minimum requirements and are not repeated in this section.</w:t>
      </w:r>
    </w:p>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Pr>
        <w:pStyle w:val="4"/>
      </w:pPr>
      <w:bookmarkStart w:id="931" w:name="_Toc7662"/>
      <w:bookmarkStart w:id="932" w:name="_Toc2944"/>
      <w:bookmarkStart w:id="933" w:name="_Toc12805"/>
      <w:bookmarkStart w:id="934" w:name="_Toc6983"/>
      <w:bookmarkStart w:id="935" w:name="_Toc120570069"/>
      <w:bookmarkStart w:id="936" w:name="_Toc30499"/>
      <w:bookmarkStart w:id="937" w:name="_Toc3003"/>
      <w:bookmarkStart w:id="938" w:name="_Toc6717"/>
      <w:bookmarkStart w:id="939" w:name="_Toc121162861"/>
      <w:r>
        <w:t>6.5B</w:t>
      </w:r>
      <w:r>
        <w:tab/>
      </w:r>
      <w:r>
        <w:t>Output RF spectrum emissions for category NB1 and NB2</w:t>
      </w:r>
      <w:bookmarkEnd w:id="931"/>
      <w:bookmarkEnd w:id="932"/>
      <w:bookmarkEnd w:id="933"/>
      <w:bookmarkEnd w:id="934"/>
      <w:bookmarkEnd w:id="935"/>
      <w:bookmarkEnd w:id="936"/>
      <w:bookmarkEnd w:id="937"/>
      <w:bookmarkEnd w:id="938"/>
      <w:bookmarkEnd w:id="939"/>
    </w:p>
    <w:p>
      <w:pPr>
        <w:pStyle w:val="5"/>
      </w:pPr>
      <w:bookmarkStart w:id="940" w:name="_Toc6239"/>
      <w:bookmarkStart w:id="941" w:name="_Toc7942"/>
      <w:bookmarkStart w:id="942" w:name="_Toc22870"/>
      <w:bookmarkStart w:id="943" w:name="_Toc10112"/>
      <w:bookmarkStart w:id="944" w:name="_Toc10084"/>
      <w:bookmarkStart w:id="945" w:name="_Toc121162862"/>
      <w:bookmarkStart w:id="946" w:name="_Toc120570070"/>
      <w:bookmarkStart w:id="947" w:name="_Toc8868"/>
      <w:bookmarkStart w:id="948" w:name="_Toc18"/>
      <w:r>
        <w:t>6.5B.1</w:t>
      </w:r>
      <w:r>
        <w:tab/>
      </w:r>
      <w:r>
        <w:t>General</w:t>
      </w:r>
      <w:bookmarkEnd w:id="940"/>
      <w:bookmarkEnd w:id="941"/>
      <w:bookmarkEnd w:id="942"/>
      <w:bookmarkEnd w:id="943"/>
      <w:bookmarkEnd w:id="944"/>
      <w:bookmarkEnd w:id="945"/>
      <w:bookmarkEnd w:id="946"/>
      <w:bookmarkEnd w:id="947"/>
      <w:bookmarkEnd w:id="948"/>
    </w:p>
    <w:p>
      <w:pPr>
        <w:rPr>
          <w:lang w:val="en-US"/>
        </w:rPr>
      </w:pPr>
      <w:r>
        <w:t>The definitions in clause 6.5 shall apply</w:t>
      </w:r>
      <w:r>
        <w:rPr>
          <w:lang w:val="en-US"/>
        </w:rPr>
        <w:t>.</w:t>
      </w:r>
    </w:p>
    <w:p>
      <w:pPr>
        <w:pStyle w:val="5"/>
      </w:pPr>
      <w:bookmarkStart w:id="949" w:name="_Toc31759"/>
      <w:bookmarkStart w:id="950" w:name="_Toc6613"/>
      <w:bookmarkStart w:id="951" w:name="_Toc120570071"/>
      <w:bookmarkStart w:id="952" w:name="_Toc29521"/>
      <w:bookmarkStart w:id="953" w:name="_Toc25821"/>
      <w:bookmarkStart w:id="954" w:name="_Toc4766"/>
      <w:bookmarkStart w:id="955" w:name="_Toc31308"/>
      <w:bookmarkStart w:id="956" w:name="_Toc121162863"/>
      <w:bookmarkStart w:id="957" w:name="_Toc19444"/>
      <w:r>
        <w:t>6.5B.</w:t>
      </w:r>
      <w:r>
        <w:rPr>
          <w:rFonts w:hint="eastAsia"/>
          <w:lang w:eastAsia="zh-TW"/>
        </w:rPr>
        <w:t>2</w:t>
      </w:r>
      <w:r>
        <w:tab/>
      </w:r>
      <w:r>
        <w:t>Occupied bandwidth for category NB1 and NB2</w:t>
      </w:r>
      <w:bookmarkEnd w:id="805"/>
      <w:bookmarkEnd w:id="949"/>
      <w:bookmarkEnd w:id="950"/>
      <w:bookmarkEnd w:id="951"/>
      <w:bookmarkEnd w:id="952"/>
      <w:bookmarkEnd w:id="953"/>
      <w:bookmarkEnd w:id="954"/>
      <w:bookmarkEnd w:id="955"/>
      <w:bookmarkEnd w:id="956"/>
      <w:bookmarkEnd w:id="957"/>
    </w:p>
    <w:p>
      <w:pPr>
        <w:pStyle w:val="112"/>
        <w:rPr>
          <w:lang w:val="en-US"/>
        </w:rPr>
      </w:pPr>
      <w:r>
        <w:t>Editor’s Note: Addition to applicability spec is pending.</w:t>
      </w:r>
    </w:p>
    <w:p>
      <w:pPr>
        <w:pStyle w:val="9"/>
        <w:rPr>
          <w:lang w:eastAsia="en-GB"/>
        </w:rPr>
      </w:pPr>
      <w:bookmarkStart w:id="958" w:name="_Hlk140755284"/>
      <w:r>
        <w:rPr>
          <w:lang w:eastAsia="en-GB"/>
        </w:rPr>
        <w:t>6.</w:t>
      </w:r>
      <w:bookmarkStart w:id="959" w:name="_Hlk140754848"/>
      <w:r>
        <w:rPr>
          <w:lang w:eastAsia="en-GB"/>
        </w:rPr>
        <w:t>5B.2</w:t>
      </w:r>
      <w:bookmarkEnd w:id="959"/>
      <w:r>
        <w:rPr>
          <w:lang w:eastAsia="en-GB"/>
        </w:rPr>
        <w:t>.1</w:t>
      </w:r>
      <w:r>
        <w:rPr>
          <w:lang w:eastAsia="en-GB"/>
        </w:rPr>
        <w:tab/>
      </w:r>
      <w:r>
        <w:rPr>
          <w:lang w:eastAsia="en-GB"/>
        </w:rPr>
        <w:t>Test purpose</w:t>
      </w:r>
    </w:p>
    <w:p>
      <w:pPr>
        <w:rPr>
          <w:lang w:eastAsia="en-GB"/>
        </w:rPr>
      </w:pPr>
      <w:r>
        <w:rPr>
          <w:lang w:eastAsia="en-GB"/>
        </w:rPr>
        <w:t>To verify that the UE occupied bandwidth for all transmission bandwidth configurations supported by the UE are less than their specific limits.</w:t>
      </w:r>
    </w:p>
    <w:bookmarkEnd w:id="958"/>
    <w:p>
      <w:pPr>
        <w:pStyle w:val="9"/>
        <w:rPr>
          <w:lang w:eastAsia="en-GB"/>
        </w:rPr>
      </w:pPr>
      <w:r>
        <w:rPr>
          <w:lang w:eastAsia="en-GB"/>
        </w:rPr>
        <w:t>6.5B.2.2</w:t>
      </w:r>
      <w:r>
        <w:rPr>
          <w:lang w:eastAsia="en-GB"/>
        </w:rPr>
        <w:tab/>
      </w:r>
      <w:r>
        <w:rPr>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rPr>
          <w:lang w:eastAsia="en-GB"/>
        </w:rPr>
      </w:pPr>
      <w:r>
        <w:rPr>
          <w:lang w:eastAsia="en-GB"/>
        </w:rPr>
        <w:t>6.5B.2.3</w:t>
      </w:r>
      <w:r>
        <w:rPr>
          <w:lang w:eastAsia="en-GB"/>
        </w:rPr>
        <w:tab/>
      </w:r>
      <w:r>
        <w:rPr>
          <w:lang w:eastAsia="en-GB"/>
        </w:rPr>
        <w:t>Minimum conformance requirements</w:t>
      </w:r>
    </w:p>
    <w:p>
      <w:pPr>
        <w:rPr>
          <w:kern w:val="24"/>
          <w:lang w:eastAsia="en-GB"/>
        </w:rPr>
      </w:pPr>
      <w:r>
        <w:rPr>
          <w:lang w:eastAsia="en-GB"/>
        </w:rPr>
        <w:t xml:space="preserve">The occupied bandwidth is defined as the bandwidth containing 99 % of the total integrated mean power of the transmitted spectrum on the assigned channel at the transmit antenna connector. </w:t>
      </w:r>
      <w:r>
        <w:rPr>
          <w:rFonts w:eastAsia="ヒラギノ角ゴ Pro W3"/>
          <w:kern w:val="24"/>
          <w:lang w:eastAsia="en-GB"/>
        </w:rPr>
        <w:t>Occupied bandwidth shall be less than the channel bandwidth of category NB1</w:t>
      </w:r>
      <w:r>
        <w:rPr>
          <w:kern w:val="24"/>
          <w:lang w:eastAsia="en-GB"/>
        </w:rPr>
        <w:t xml:space="preserve"> and NB2 that is 200 kHz. </w:t>
      </w:r>
    </w:p>
    <w:p>
      <w:pPr>
        <w:rPr>
          <w:lang w:eastAsia="en-GB"/>
        </w:rPr>
      </w:pPr>
      <w:r>
        <w:rPr>
          <w:lang w:eastAsia="en-GB"/>
        </w:rPr>
        <w:t>The normative reference for this requirement is TS 36.102[11] clause 6.5B.2.</w:t>
      </w:r>
    </w:p>
    <w:p>
      <w:pPr>
        <w:pStyle w:val="9"/>
        <w:rPr>
          <w:lang w:eastAsia="en-GB"/>
        </w:rPr>
      </w:pPr>
      <w:r>
        <w:rPr>
          <w:lang w:eastAsia="en-GB"/>
        </w:rPr>
        <w:t>6.5B.2.4</w:t>
      </w:r>
      <w:r>
        <w:rPr>
          <w:lang w:eastAsia="en-GB"/>
        </w:rPr>
        <w:tab/>
      </w:r>
      <w:r>
        <w:rPr>
          <w:lang w:eastAsia="en-GB"/>
        </w:rPr>
        <w:t>Test description</w:t>
      </w:r>
    </w:p>
    <w:p>
      <w:pPr>
        <w:pStyle w:val="9"/>
        <w:rPr>
          <w:lang w:eastAsia="en-GB"/>
        </w:rPr>
      </w:pPr>
      <w:r>
        <w:rPr>
          <w:lang w:eastAsia="en-GB"/>
        </w:rPr>
        <w:t>6.5B.2.4.1</w:t>
      </w:r>
      <w:r>
        <w:rPr>
          <w:lang w:eastAsia="en-GB"/>
        </w:rPr>
        <w:tab/>
      </w:r>
      <w:r>
        <w:rPr>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6.5B.2.4.1-1: Test Configuration Table</w:t>
      </w:r>
      <w:r>
        <w:rPr>
          <w:rFonts w:ascii="Arial" w:hAnsi="Arial"/>
          <w:b/>
        </w:rPr>
        <w:t xml:space="preserve"> for FDD </w:t>
      </w:r>
    </w:p>
    <w:tbl>
      <w:tblPr>
        <w:tblStyle w:val="89"/>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jc w:val="center"/>
              <w:rPr>
                <w:rFonts w:ascii="Arial" w:hAnsi="Arial"/>
                <w:b/>
                <w:sz w:val="18"/>
                <w:lang w:eastAsia="en-GB"/>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w:t>
            </w:r>
            <w:r>
              <w:t xml:space="preserve">[12] </w:t>
            </w:r>
            <w:r>
              <w:rPr>
                <w:rFonts w:ascii="Arial" w:hAnsi="Arial"/>
                <w:sz w:val="18"/>
              </w:rPr>
              <w:t>subclause 8.1.1</w:t>
            </w:r>
          </w:p>
        </w:tc>
        <w:tc>
          <w:tcPr>
            <w:tcW w:w="5202" w:type="dxa"/>
            <w:gridSpan w:val="3"/>
            <w:shd w:val="clear" w:color="auto" w:fill="FFFFFF"/>
            <w:tcMar>
              <w:top w:w="0" w:type="dxa"/>
              <w:left w:w="108" w:type="dxa"/>
              <w:bottom w:w="0" w:type="dxa"/>
              <w:right w:w="108" w:type="dxa"/>
            </w:tcMar>
          </w:tcPr>
          <w:p>
            <w:pPr>
              <w:keepNext/>
              <w:keepLines/>
              <w:spacing w:after="0"/>
              <w:rPr>
                <w:rFonts w:ascii="Arial" w:hAnsi="Arial"/>
                <w:sz w:val="18"/>
              </w:rPr>
            </w:pPr>
            <w:r>
              <w:rPr>
                <w:rFonts w:ascii="Arial" w:hAnsi="Arial" w:cs="v5.0.0"/>
                <w:bCs/>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 36.508</w:t>
            </w:r>
            <w:r>
              <w:t>[12]</w:t>
            </w:r>
            <w:r>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pPr>
              <w:keepNext/>
              <w:keepLines/>
              <w:spacing w:after="0"/>
              <w:rPr>
                <w:rFonts w:ascii="Arial" w:hAnsi="Arial"/>
                <w:sz w:val="18"/>
              </w:rPr>
            </w:pPr>
            <w:r>
              <w:rPr>
                <w:rFonts w:ascii="Arial" w:hAnsi="Arial" w:eastAsia="微软雅黑" w:cs="Arial"/>
                <w:sz w:val="18"/>
                <w:lang w:eastAsia="en-GB"/>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jc w:val="center"/>
        </w:trPr>
        <w:tc>
          <w:tcPr>
            <w:tcW w:w="1522" w:type="dxa"/>
            <w:shd w:val="clear" w:color="auto" w:fill="FFFFFF"/>
          </w:tcPr>
          <w:p>
            <w:pPr>
              <w:keepNext/>
              <w:keepLines/>
              <w:spacing w:after="0"/>
              <w:jc w:val="center"/>
              <w:rPr>
                <w:rFonts w:ascii="Arial" w:hAnsi="Arial"/>
                <w:b/>
                <w:sz w:val="18"/>
              </w:rPr>
            </w:pPr>
            <w:r>
              <w:rPr>
                <w:rFonts w:ascii="Arial" w:hAnsi="Arial"/>
                <w:b/>
                <w:sz w:val="18"/>
              </w:rPr>
              <w:t>Configuration ID</w:t>
            </w:r>
          </w:p>
        </w:tc>
        <w:tc>
          <w:tcPr>
            <w:tcW w:w="2616" w:type="dxa"/>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N/A</w:t>
            </w: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Modulation</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r>
              <w:rPr>
                <w:rFonts w:ascii="Arial" w:hAnsi="Arial" w:cs="Arial"/>
                <w:sz w:val="18"/>
                <w:lang w:eastAsia="en-GB"/>
              </w:rPr>
              <w:t>1</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lang w:eastAsia="en-GB"/>
              </w:rPr>
              <w:t>3.75kHz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r>
              <w:rPr>
                <w:rFonts w:ascii="Arial" w:hAnsi="Arial" w:cs="Arial"/>
                <w:sz w:val="18"/>
                <w:lang w:eastAsia="en-GB"/>
              </w:rPr>
              <w:t>2</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vertAlign w:val="superscript"/>
                <w:lang w:eastAsia="en-GB"/>
              </w:rPr>
            </w:pPr>
            <w:r>
              <w:rPr>
                <w:rFonts w:ascii="Arial" w:hAnsi="Arial" w:cs="Arial"/>
                <w:sz w:val="18"/>
                <w:lang w:eastAsia="en-GB"/>
              </w:rPr>
              <w:t>3 (Note 1)</w:t>
            </w:r>
          </w:p>
        </w:tc>
        <w:tc>
          <w:tcPr>
            <w:tcW w:w="0" w:type="auto"/>
            <w:vMerge w:val="continue"/>
            <w:shd w:val="clear" w:color="auto" w:fill="FFFFFF"/>
            <w:vAlign w:val="center"/>
          </w:tcPr>
          <w:p>
            <w:pPr>
              <w:rPr>
                <w:rFonts w:ascii="Arial" w:hAnsi="Arial"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rPr>
              <w:t>12@0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ind w:left="851" w:hanging="851"/>
              <w:rPr>
                <w:rFonts w:ascii="Arial" w:hAnsi="Arial"/>
                <w:sz w:val="18"/>
              </w:rPr>
            </w:pPr>
            <w:r>
              <w:rPr>
                <w:rFonts w:ascii="Arial" w:hAnsi="Arial"/>
                <w:sz w:val="18"/>
              </w:rPr>
              <w:t>Note 1: Applicable to UE supporting UL multi-tone transmissions</w:t>
            </w:r>
          </w:p>
        </w:tc>
      </w:tr>
    </w:tbl>
    <w:p>
      <w:pPr>
        <w:rPr>
          <w:lang w:eastAsia="en-GB"/>
        </w:rP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the SS to the UE antenna connectors as shown in TS </w:t>
      </w:r>
      <w:bookmarkStart w:id="960" w:name="_Hlk140762136"/>
      <w:r>
        <w:rPr>
          <w:lang w:eastAsia="en-GB"/>
        </w:rPr>
        <w:t>36.508 [12]</w:t>
      </w:r>
      <w:bookmarkEnd w:id="960"/>
      <w:r>
        <w:rPr>
          <w:lang w:eastAsia="en-GB"/>
        </w:rPr>
        <w:t>Annex A, Figure A.3 using only main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 xml:space="preserve">Downlink signals are initially set up according to Annex C0, C.1 and C.3.0, and uplink signals according to Annex H.1 and H.4.0 </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The UL Reference Measurement channels are set according to Table 6.5B.2.4.1-1.</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lang w:eastAsia="en-GB"/>
        </w:rPr>
      </w:pPr>
      <w:r>
        <w:rPr>
          <w:rFonts w:hint="eastAsia"/>
          <w:lang w:eastAsia="en-GB"/>
        </w:rPr>
        <w:t>6</w:t>
      </w:r>
      <w:r>
        <w:rPr>
          <w:lang w:eastAsia="en-GB"/>
        </w:rPr>
        <w:t>.</w:t>
      </w:r>
      <w:r>
        <w:rPr>
          <w:lang w:eastAsia="en-GB"/>
        </w:rPr>
        <w:tab/>
      </w:r>
      <w:r>
        <w:rPr>
          <w:lang w:eastAsia="en-GB"/>
        </w:rPr>
        <w:t>UE location according to TS 36.508 [12] clause 8.2.6.1 is provided  to the UE through any preconfigured means</w:t>
      </w:r>
    </w:p>
    <w:p>
      <w:pPr>
        <w:pStyle w:val="111"/>
        <w:overflowPunct w:val="0"/>
        <w:autoSpaceDE w:val="0"/>
        <w:autoSpaceDN w:val="0"/>
        <w:adjustRightInd w:val="0"/>
        <w:ind w:left="568"/>
        <w:contextualSpacing w:val="0"/>
        <w:textAlignment w:val="baseline"/>
        <w:rPr>
          <w:lang w:eastAsia="en-GB"/>
        </w:rPr>
      </w:pPr>
      <w:r>
        <w:rPr>
          <w:rFonts w:hint="eastAsia"/>
          <w:lang w:eastAsia="en-GB"/>
        </w:rPr>
        <w:t>7</w:t>
      </w:r>
      <w:r>
        <w:rPr>
          <w:lang w:eastAsia="en-GB"/>
        </w:rPr>
        <w:t>.</w:t>
      </w:r>
      <w:r>
        <w:rPr>
          <w:lang w:eastAsia="en-GB"/>
        </w:rPr>
        <w:tab/>
      </w:r>
      <w:r>
        <w:rPr>
          <w:lang w:eastAsia="en-GB"/>
        </w:rPr>
        <w:t xml:space="preserve">Test equipment shall emulate </w:t>
      </w:r>
      <w:r>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Pr>
          <w:lang w:eastAsia="en-GB"/>
        </w:rPr>
        <w:t>. Test system shall send same SIB31-NB information during the duration of the test as define in TS 36.508[12] clause 8.2.6.3.1</w:t>
      </w:r>
    </w:p>
    <w:p>
      <w:pPr>
        <w:pStyle w:val="111"/>
        <w:overflowPunct w:val="0"/>
        <w:autoSpaceDE w:val="0"/>
        <w:autoSpaceDN w:val="0"/>
        <w:adjustRightInd w:val="0"/>
        <w:ind w:left="568"/>
        <w:contextualSpacing w:val="0"/>
        <w:textAlignment w:val="baseline"/>
        <w:rPr>
          <w:lang w:eastAsia="en-GB"/>
        </w:rPr>
      </w:pPr>
      <w:r>
        <w:rPr>
          <w:rFonts w:hint="eastAsia"/>
          <w:lang w:eastAsia="en-GB"/>
        </w:rPr>
        <w:t>8</w:t>
      </w:r>
      <w:r>
        <w:rPr>
          <w:lang w:eastAsia="en-GB"/>
        </w:rPr>
        <w:t>.</w:t>
      </w:r>
      <w:r>
        <w:rPr>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9.</w:t>
      </w:r>
      <w:r>
        <w:rPr>
          <w:lang w:eastAsia="en-GB"/>
        </w:rPr>
        <w:tab/>
      </w:r>
      <w:r>
        <w:rPr>
          <w:lang w:eastAsia="en-GB"/>
        </w:rPr>
        <w:t xml:space="preserve">Ensure the UE is in State 2A-NB with CP CIoT Optimisation according to </w:t>
      </w:r>
      <w:bookmarkStart w:id="961" w:name="_Hlk140762463"/>
      <w:r>
        <w:rPr>
          <w:lang w:eastAsia="en-GB"/>
        </w:rPr>
        <w:t>TS 36.508 [12]</w:t>
      </w:r>
      <w:bookmarkEnd w:id="961"/>
      <w:r>
        <w:rPr>
          <w:lang w:eastAsia="en-GB"/>
        </w:rPr>
        <w:t xml:space="preserve"> clause 8.1.5. Message contents are defined in clause 6.5B.2.4.3.</w:t>
      </w:r>
    </w:p>
    <w:p>
      <w:pPr>
        <w:pStyle w:val="9"/>
        <w:rPr>
          <w:lang w:eastAsia="en-GB"/>
        </w:rPr>
      </w:pPr>
      <w:r>
        <w:rPr>
          <w:lang w:eastAsia="en-GB"/>
        </w:rPr>
        <w:t>6.5B.2.4.2</w:t>
      </w:r>
      <w:r>
        <w:rPr>
          <w:lang w:eastAsia="en-GB"/>
        </w:rPr>
        <w:tab/>
      </w:r>
      <w:r>
        <w:rPr>
          <w:lang w:eastAsia="en-GB"/>
        </w:rP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SS sends uplink scheduling information via NPDCCH DCI format N0 for C_RNTI to schedule the UL RMC according to Table 6.5B.2.4.1-1.Since the UE has no payload and no loopback data to send, the UE sends uplink MAC padding bits on the UL RMC</w:t>
      </w:r>
      <w:r>
        <w:rPr>
          <w:rFonts w:eastAsia="MS Mincho"/>
          <w:lang w:eastAsia="en-GB"/>
        </w:rPr>
        <w:t>.</w:t>
      </w:r>
      <w:r>
        <w:rPr>
          <w:lang w:eastAsia="en-GB"/>
        </w:rPr>
        <w:t xml:space="preserve"> (UE should be already transmitting P</w:t>
      </w:r>
      <w:r>
        <w:rPr>
          <w:vertAlign w:val="subscript"/>
          <w:lang w:eastAsia="en-GB"/>
        </w:rPr>
        <w:t>UMAX</w:t>
      </w:r>
      <w:r>
        <w:rPr>
          <w:lang w:eastAsia="en-GB"/>
        </w:rPr>
        <w:t xml:space="preserve"> after Initial Conditions setting).</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r>
        <w:rPr>
          <w:b/>
          <w:lang w:eastAsia="en-GB"/>
        </w:rPr>
        <w:t xml:space="preserve"> </w:t>
      </w:r>
      <w:r>
        <w:rPr>
          <w:lang w:eastAsia="en-GB"/>
        </w:rPr>
        <w:t>one sub-frame</w:t>
      </w:r>
      <w:r>
        <w:rPr>
          <w:b/>
          <w:lang w:eastAsia="en-GB"/>
        </w:rPr>
        <w:t xml:space="preserve"> (</w:t>
      </w:r>
      <w:r>
        <w:rPr>
          <w:lang w:eastAsia="en-GB"/>
        </w:rPr>
        <w:t xml:space="preserve">1ms) for 15 KHz channel spacing, and at least a 2ms slot (excluding the 2304Ts gap when UE is not transmitting) respectively for the 3.75 KHz channel spacing. </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Calculate the total power within the range of all frequencies measured in '2)' and save this value as "Total Power".</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Sum up the power upward from the lower boundary of the measured frequency range in '2)' and seek the limit frequency point by which this sum becomes 0,5 % of "Total Power" and save this point as "Lower Frequency".</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Sum up the power downward from the upper boundary of the measured frequency range in '2)' and seek the limit frequency point by which this sum becomes 0,5 % of "Total Power" and save this point as "Upper Frequency".</w:t>
      </w:r>
    </w:p>
    <w:p>
      <w:pPr>
        <w:pStyle w:val="111"/>
        <w:overflowPunct w:val="0"/>
        <w:autoSpaceDE w:val="0"/>
        <w:autoSpaceDN w:val="0"/>
        <w:adjustRightInd w:val="0"/>
        <w:ind w:left="568"/>
        <w:contextualSpacing w:val="0"/>
        <w:textAlignment w:val="baseline"/>
        <w:rPr>
          <w:lang w:eastAsia="en-GB"/>
        </w:rPr>
      </w:pPr>
      <w:r>
        <w:rPr>
          <w:lang w:eastAsia="en-GB"/>
        </w:rPr>
        <w:t>6.</w:t>
      </w:r>
      <w:r>
        <w:rPr>
          <w:lang w:eastAsia="en-GB"/>
        </w:rPr>
        <w:tab/>
      </w:r>
      <w:r>
        <w:rPr>
          <w:lang w:eastAsia="en-GB"/>
        </w:rPr>
        <w:t xml:space="preserve">Calculate the difference ("Upper Frequency " </w:t>
      </w:r>
      <w:r>
        <w:rPr>
          <w:lang w:eastAsia="en-GB"/>
        </w:rPr>
        <w:fldChar w:fldCharType="begin"/>
      </w:r>
      <w:r>
        <w:rPr>
          <w:lang w:eastAsia="en-GB"/>
        </w:rPr>
        <w:instrText xml:space="preserve">symbol 45 \f "Symbol" \s 10</w:instrText>
      </w:r>
      <w:r>
        <w:rPr>
          <w:lang w:eastAsia="en-GB"/>
        </w:rPr>
        <w:fldChar w:fldCharType="end"/>
      </w:r>
      <w:r>
        <w:rPr>
          <w:lang w:eastAsia="en-GB"/>
        </w:rPr>
        <w:t xml:space="preserve"> "Lower Frequency" = "Occupied Bandwidth") using the limit frequencies obtained in '4)' or '5)'.</w:t>
      </w:r>
    </w:p>
    <w:p>
      <w:pPr>
        <w:pStyle w:val="111"/>
        <w:keepLines/>
        <w:overflowPunct w:val="0"/>
        <w:autoSpaceDE w:val="0"/>
        <w:autoSpaceDN w:val="0"/>
        <w:adjustRightInd w:val="0"/>
        <w:ind w:left="1135"/>
        <w:contextualSpacing w:val="0"/>
        <w:textAlignment w:val="baseline"/>
        <w:rPr>
          <w:lang w:eastAsia="en-GB"/>
        </w:rPr>
      </w:pPr>
      <w:r>
        <w:rPr>
          <w:lang w:eastAsia="en-GB"/>
        </w:rPr>
        <w:t>NOTE 1:</w:t>
      </w:r>
      <w:r>
        <w:rPr>
          <w:lang w:eastAsia="en-GB"/>
        </w:rPr>
        <w:tab/>
      </w:r>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rPr>
          <w:lang w:eastAsia="en-GB"/>
        </w:rPr>
      </w:pPr>
      <w:r>
        <w:rPr>
          <w:lang w:eastAsia="en-GB"/>
        </w:rPr>
        <w:t>6.5B.2.4.3</w:t>
      </w:r>
      <w:r>
        <w:rPr>
          <w:lang w:eastAsia="en-GB"/>
        </w:rPr>
        <w:tab/>
      </w:r>
      <w:r>
        <w:rPr>
          <w:lang w:eastAsia="en-GB"/>
        </w:rPr>
        <w:t>Message contents</w:t>
      </w:r>
    </w:p>
    <w:p>
      <w:pPr>
        <w:rPr>
          <w:lang w:eastAsia="en-GB"/>
        </w:rPr>
      </w:pPr>
      <w:r>
        <w:rPr>
          <w:lang w:eastAsia="en-GB"/>
        </w:rPr>
        <w:t>Message contents are according to TS 36.508 [12] subclause 8.1.6.</w:t>
      </w:r>
    </w:p>
    <w:p>
      <w:pPr>
        <w:pStyle w:val="9"/>
        <w:rPr>
          <w:lang w:eastAsia="en-GB"/>
        </w:rPr>
      </w:pPr>
      <w:r>
        <w:rPr>
          <w:lang w:eastAsia="en-GB"/>
        </w:rPr>
        <w:t>6.5B.2.5</w:t>
      </w:r>
      <w:r>
        <w:rPr>
          <w:lang w:eastAsia="en-GB"/>
        </w:rPr>
        <w:tab/>
      </w:r>
      <w:r>
        <w:rPr>
          <w:lang w:eastAsia="en-GB"/>
        </w:rPr>
        <w:t>Test requirement</w:t>
      </w:r>
    </w:p>
    <w:p>
      <w:pPr>
        <w:rPr>
          <w:lang w:eastAsia="en-GB"/>
        </w:rPr>
      </w:pPr>
      <w:r>
        <w:rPr>
          <w:lang w:eastAsia="en-GB"/>
        </w:rPr>
        <w:t>The measured Occupied Bandwidth shall not exceed 200kHz.</w:t>
      </w:r>
    </w:p>
    <w:p>
      <w:pPr>
        <w:pStyle w:val="5"/>
      </w:pPr>
      <w:bookmarkStart w:id="962" w:name="_Toc18726"/>
      <w:bookmarkStart w:id="963" w:name="_Toc111062063"/>
      <w:bookmarkStart w:id="964" w:name="_Toc9270"/>
      <w:bookmarkStart w:id="965" w:name="_Toc19156"/>
      <w:bookmarkStart w:id="966" w:name="_Toc121162864"/>
      <w:bookmarkStart w:id="967" w:name="_Toc120570072"/>
      <w:bookmarkStart w:id="968" w:name="_Toc4462"/>
      <w:bookmarkStart w:id="969" w:name="_Toc28992"/>
      <w:bookmarkStart w:id="970" w:name="_Toc8301"/>
      <w:bookmarkStart w:id="971" w:name="_Toc5945"/>
      <w:r>
        <w:t>6.5B.3</w:t>
      </w:r>
      <w:r>
        <w:tab/>
      </w:r>
      <w:r>
        <w:t>Out of band emission</w:t>
      </w:r>
      <w:r>
        <w:rPr>
          <w:rFonts w:hint="eastAsia"/>
        </w:rPr>
        <w:t xml:space="preserve"> for </w:t>
      </w:r>
      <w:r>
        <w:t>category NB1 and NB2</w:t>
      </w:r>
      <w:bookmarkEnd w:id="962"/>
      <w:bookmarkEnd w:id="963"/>
      <w:bookmarkEnd w:id="964"/>
      <w:bookmarkEnd w:id="965"/>
      <w:bookmarkEnd w:id="966"/>
      <w:bookmarkEnd w:id="967"/>
      <w:bookmarkEnd w:id="968"/>
      <w:bookmarkEnd w:id="969"/>
      <w:bookmarkEnd w:id="970"/>
      <w:bookmarkEnd w:id="971"/>
    </w:p>
    <w:p>
      <w:pPr>
        <w:pStyle w:val="6"/>
      </w:pPr>
      <w:bookmarkStart w:id="972" w:name="_Toc121162865"/>
      <w:bookmarkStart w:id="973" w:name="_Toc2974"/>
      <w:bookmarkStart w:id="974" w:name="_Toc17786"/>
      <w:bookmarkStart w:id="975" w:name="_Toc12796"/>
      <w:bookmarkStart w:id="976" w:name="_Toc120570073"/>
      <w:bookmarkStart w:id="977" w:name="_Toc12700"/>
      <w:bookmarkStart w:id="978" w:name="_Toc10663"/>
      <w:bookmarkStart w:id="979" w:name="_Toc10530"/>
      <w:bookmarkStart w:id="980" w:name="_Toc31227"/>
      <w:r>
        <w:t>6.5B.3.1</w:t>
      </w:r>
      <w:r>
        <w:tab/>
      </w:r>
      <w:r>
        <w:t>General</w:t>
      </w:r>
      <w:bookmarkEnd w:id="972"/>
      <w:bookmarkEnd w:id="973"/>
      <w:bookmarkEnd w:id="974"/>
      <w:bookmarkEnd w:id="975"/>
      <w:bookmarkEnd w:id="976"/>
      <w:bookmarkEnd w:id="977"/>
      <w:bookmarkEnd w:id="978"/>
      <w:bookmarkEnd w:id="979"/>
      <w:bookmarkEnd w:id="980"/>
    </w:p>
    <w:p>
      <w:pPr>
        <w:rPr>
          <w:lang w:val="en-US"/>
        </w:rPr>
      </w:pPr>
      <w:r>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lang w:val="en-US"/>
        </w:rPr>
        <w:t>.</w:t>
      </w:r>
    </w:p>
    <w:p>
      <w:pPr>
        <w:pStyle w:val="6"/>
      </w:pPr>
      <w:bookmarkStart w:id="981" w:name="_Toc21715"/>
      <w:bookmarkStart w:id="982" w:name="_Toc120570074"/>
      <w:bookmarkStart w:id="983" w:name="_Toc111062064"/>
      <w:bookmarkStart w:id="984" w:name="_Toc5743"/>
      <w:bookmarkStart w:id="985" w:name="_Toc2510"/>
      <w:bookmarkStart w:id="986" w:name="_Toc121162866"/>
      <w:bookmarkStart w:id="987" w:name="_Toc18657"/>
      <w:bookmarkStart w:id="988" w:name="_Toc4795"/>
      <w:bookmarkStart w:id="989" w:name="_Toc30787"/>
      <w:bookmarkStart w:id="990" w:name="_Toc26955"/>
      <w:r>
        <w:t>6.5B.3.2</w:t>
      </w:r>
      <w:r>
        <w:tab/>
      </w:r>
      <w:r>
        <w:t>Spectrum emission mask</w:t>
      </w:r>
      <w:bookmarkEnd w:id="981"/>
      <w:bookmarkEnd w:id="982"/>
      <w:bookmarkEnd w:id="983"/>
      <w:bookmarkEnd w:id="984"/>
      <w:bookmarkEnd w:id="985"/>
      <w:bookmarkEnd w:id="986"/>
      <w:r>
        <w:rPr>
          <w:rFonts w:hint="eastAsia"/>
        </w:rPr>
        <w:t xml:space="preserve"> for category NB1 and NB2</w:t>
      </w:r>
      <w:bookmarkEnd w:id="987"/>
      <w:bookmarkEnd w:id="988"/>
      <w:bookmarkEnd w:id="989"/>
      <w:bookmarkEnd w:id="990"/>
    </w:p>
    <w:p>
      <w:pPr>
        <w:pStyle w:val="112"/>
        <w:rPr>
          <w:lang w:val="en-US"/>
        </w:rPr>
      </w:pPr>
      <w:r>
        <w:t>Editor’s Note: Addition to applicability spec is pending.</w:t>
      </w:r>
    </w:p>
    <w:p>
      <w:pPr>
        <w:keepNext/>
        <w:keepLines/>
        <w:spacing w:before="120"/>
        <w:ind w:left="1985" w:hanging="1985"/>
        <w:rPr>
          <w:rFonts w:ascii="Arial" w:hAnsi="Arial"/>
          <w:lang w:eastAsia="en-GB"/>
        </w:rPr>
      </w:pPr>
      <w:r>
        <w:rPr>
          <w:rFonts w:ascii="Arial" w:hAnsi="Arial"/>
          <w:lang w:eastAsia="en-GB"/>
        </w:rPr>
        <w:t>6.</w:t>
      </w:r>
      <w:bookmarkStart w:id="991" w:name="_Hlk140766567"/>
      <w:r>
        <w:rPr>
          <w:rFonts w:ascii="Arial" w:hAnsi="Arial"/>
          <w:lang w:eastAsia="en-GB"/>
        </w:rPr>
        <w:t>5B.3.2</w:t>
      </w:r>
      <w:bookmarkEnd w:id="991"/>
      <w:r>
        <w:rPr>
          <w:rFonts w:ascii="Arial" w:hAnsi="Arial"/>
          <w:lang w:eastAsia="en-GB"/>
        </w:rPr>
        <w:t>.1</w:t>
      </w:r>
      <w:r>
        <w:rPr>
          <w:rFonts w:ascii="Arial" w:hAnsi="Arial"/>
          <w:lang w:eastAsia="en-GB"/>
        </w:rPr>
        <w:tab/>
      </w:r>
      <w:r>
        <w:rPr>
          <w:rFonts w:ascii="Arial" w:hAnsi="Arial"/>
          <w:lang w:eastAsia="en-GB"/>
        </w:rPr>
        <w:t>Test purpose</w:t>
      </w:r>
    </w:p>
    <w:p>
      <w:pPr>
        <w:rPr>
          <w:lang w:eastAsia="en-GB"/>
        </w:rPr>
      </w:pPr>
      <w:r>
        <w:rPr>
          <w:lang w:eastAsia="en-GB"/>
        </w:rPr>
        <w:t>To verify that the power of the category NB1 and NB2 UE emission shall not exceed specified level for the specified channel bandwidth.</w:t>
      </w:r>
    </w:p>
    <w:p>
      <w:pPr>
        <w:keepNext/>
        <w:keepLines/>
        <w:spacing w:before="120"/>
        <w:ind w:left="1985" w:hanging="1985"/>
        <w:rPr>
          <w:rFonts w:ascii="Arial" w:hAnsi="Arial"/>
          <w:lang w:eastAsia="en-GB"/>
        </w:rPr>
      </w:pPr>
      <w:r>
        <w:rPr>
          <w:rFonts w:ascii="Arial" w:hAnsi="Arial"/>
          <w:lang w:eastAsia="en-GB"/>
        </w:rPr>
        <w:t>6.5B.3.2.2</w:t>
      </w:r>
      <w:r>
        <w:rPr>
          <w:rFonts w:ascii="Arial" w:hAnsi="Arial"/>
          <w:lang w:eastAsia="en-GB"/>
        </w:rPr>
        <w:tab/>
      </w:r>
      <w:r>
        <w:rPr>
          <w:rFonts w:ascii="Arial" w:hAnsi="Arial"/>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lang w:eastAsia="en-GB"/>
        </w:rPr>
      </w:pPr>
      <w:r>
        <w:rPr>
          <w:rFonts w:ascii="Arial" w:hAnsi="Arial"/>
          <w:lang w:eastAsia="en-GB"/>
        </w:rPr>
        <w:t>6.</w:t>
      </w:r>
      <w:bookmarkStart w:id="992" w:name="_Hlk140766713"/>
      <w:r>
        <w:rPr>
          <w:rFonts w:ascii="Arial" w:hAnsi="Arial"/>
          <w:lang w:eastAsia="en-GB"/>
        </w:rPr>
        <w:t>5B.3.2</w:t>
      </w:r>
      <w:bookmarkEnd w:id="992"/>
      <w:r>
        <w:rPr>
          <w:rFonts w:ascii="Arial" w:hAnsi="Arial"/>
          <w:lang w:eastAsia="en-GB"/>
        </w:rPr>
        <w:t>.3</w:t>
      </w:r>
      <w:r>
        <w:rPr>
          <w:rFonts w:ascii="Arial" w:hAnsi="Arial"/>
          <w:lang w:eastAsia="en-GB"/>
        </w:rPr>
        <w:tab/>
      </w:r>
      <w:r>
        <w:rPr>
          <w:rFonts w:ascii="Arial" w:hAnsi="Arial"/>
          <w:lang w:eastAsia="en-GB"/>
        </w:rPr>
        <w:t>Minimum conformance requirements</w:t>
      </w:r>
    </w:p>
    <w:p>
      <w:pPr>
        <w:rPr>
          <w:snapToGrid w:val="0"/>
          <w:lang w:eastAsia="en-GB"/>
        </w:rPr>
      </w:pPr>
      <w:r>
        <w:rPr>
          <w:lang w:eastAsia="en-GB"/>
        </w:rPr>
        <w:t>The spectrum emission mask of the category NB1 and NB2 UE applies to frequencies (Δf</w:t>
      </w:r>
      <w:r>
        <w:rPr>
          <w:vertAlign w:val="subscript"/>
          <w:lang w:eastAsia="en-GB"/>
        </w:rPr>
        <w:t>OOB</w:t>
      </w:r>
      <w:r>
        <w:rPr>
          <w:snapToGrid w:val="0"/>
          <w:lang w:eastAsia="en-GB"/>
        </w:rPr>
        <w:t>)</w:t>
      </w:r>
      <w:r>
        <w:rPr>
          <w:lang w:eastAsia="en-GB"/>
        </w:rPr>
        <w:t xml:space="preserve"> starting from the </w:t>
      </w:r>
      <w:r>
        <w:rPr>
          <w:lang w:eastAsia="en-GB"/>
        </w:rPr>
        <w:sym w:font="Symbol" w:char="F0B1"/>
      </w:r>
      <w:r>
        <w:rPr>
          <w:lang w:eastAsia="en-GB"/>
        </w:rPr>
        <w:t xml:space="preserve"> edge of the assigned category NB1 or NB2 channel bandwidth. For frequencies greater than (Δf</w:t>
      </w:r>
      <w:r>
        <w:rPr>
          <w:vertAlign w:val="subscript"/>
          <w:lang w:eastAsia="en-GB"/>
        </w:rPr>
        <w:t>OOB</w:t>
      </w:r>
      <w:r>
        <w:rPr>
          <w:snapToGrid w:val="0"/>
          <w:lang w:eastAsia="en-GB"/>
        </w:rPr>
        <w:t xml:space="preserve">) as specified in Table </w:t>
      </w:r>
      <w:r>
        <w:rPr>
          <w:lang w:eastAsia="en-GB"/>
        </w:rPr>
        <w:t>6.</w:t>
      </w:r>
      <w:r>
        <w:t xml:space="preserve"> </w:t>
      </w:r>
      <w:r>
        <w:rPr>
          <w:lang w:eastAsia="en-GB"/>
        </w:rPr>
        <w:t>5B.3.2.3</w:t>
      </w:r>
      <w:r>
        <w:rPr>
          <w:snapToGrid w:val="0"/>
          <w:lang w:eastAsia="en-GB"/>
        </w:rPr>
        <w:t xml:space="preserve">-1 the spurious requirements in </w:t>
      </w:r>
      <w:bookmarkStart w:id="993" w:name="_Hlk140767242"/>
      <w:r>
        <w:rPr>
          <w:snapToGrid w:val="0"/>
          <w:lang w:eastAsia="en-GB"/>
        </w:rPr>
        <w:t>TS 36.521-1[14] sub-clause 6.6.3</w:t>
      </w:r>
      <w:bookmarkEnd w:id="993"/>
      <w:r>
        <w:rPr>
          <w:snapToGrid w:val="0"/>
          <w:lang w:eastAsia="en-GB"/>
        </w:rPr>
        <w:t xml:space="preserve"> are applicable.</w:t>
      </w:r>
    </w:p>
    <w:p>
      <w:pPr>
        <w:rPr>
          <w:rFonts w:cs="v5.0.0"/>
          <w:lang w:eastAsia="en-GB"/>
        </w:rPr>
      </w:pPr>
      <w:r>
        <w:rPr>
          <w:rFonts w:cs="v5.0.0"/>
          <w:lang w:eastAsia="en-GB"/>
        </w:rPr>
        <w:t xml:space="preserve">The power of any </w:t>
      </w:r>
      <w:r>
        <w:rPr>
          <w:lang w:eastAsia="en-GB"/>
        </w:rPr>
        <w:t xml:space="preserve">category NB1 or NB2 </w:t>
      </w:r>
      <w:r>
        <w:rPr>
          <w:rFonts w:cs="v5.0.0"/>
          <w:lang w:eastAsia="en-GB"/>
        </w:rPr>
        <w:t xml:space="preserve">UE emission shall not exceed the levels specified in Table </w:t>
      </w:r>
      <w:r>
        <w:rPr>
          <w:lang w:eastAsia="en-GB"/>
        </w:rPr>
        <w:t>6.5B.3.2.3</w:t>
      </w:r>
      <w:r>
        <w:rPr>
          <w:rFonts w:cs="v5.0.0"/>
          <w:lang w:eastAsia="en-GB"/>
        </w:rPr>
        <w:t>-1.</w:t>
      </w:r>
    </w:p>
    <w:p>
      <w:pPr>
        <w:keepNext/>
        <w:keepLines/>
        <w:spacing w:before="60"/>
        <w:jc w:val="center"/>
        <w:rPr>
          <w:rFonts w:ascii="Arial" w:hAnsi="Arial"/>
          <w:b/>
          <w:lang w:eastAsia="en-GB"/>
        </w:rPr>
      </w:pPr>
      <w:r>
        <w:rPr>
          <w:rFonts w:ascii="Arial" w:hAnsi="Arial"/>
          <w:b/>
          <w:lang w:eastAsia="en-GB"/>
        </w:rPr>
        <w:t>Table 6.5B.3.2.3-1: category NB1 and NB2 UE spectrum emission mask</w:t>
      </w:r>
    </w:p>
    <w:tbl>
      <w:tblPr>
        <w:tblStyle w:val="89"/>
        <w:tblW w:w="41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2"/>
        <w:gridCol w:w="1182"/>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12" w:type="dxa"/>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lang w:eastAsia="en-GB"/>
              </w:rPr>
              <w:t xml:space="preserve"> </w:t>
            </w:r>
            <w:r>
              <w:rPr>
                <w:rFonts w:ascii="Arial" w:hAnsi="Arial"/>
                <w:b/>
                <w:sz w:val="18"/>
              </w:rPr>
              <w:t>(</w:t>
            </w:r>
            <w:r>
              <w:rPr>
                <w:rFonts w:ascii="Arial" w:hAnsi="Arial"/>
                <w:b/>
                <w:sz w:val="18"/>
                <w:lang w:eastAsia="en-GB"/>
              </w:rPr>
              <w:t>k</w:t>
            </w:r>
            <w:r>
              <w:rPr>
                <w:rFonts w:ascii="Arial" w:hAnsi="Arial"/>
                <w:b/>
                <w:sz w:val="18"/>
              </w:rPr>
              <w:t>Hz)</w:t>
            </w:r>
          </w:p>
        </w:tc>
        <w:tc>
          <w:tcPr>
            <w:tcW w:w="1182" w:type="dxa"/>
          </w:tcPr>
          <w:p>
            <w:pPr>
              <w:keepNext/>
              <w:keepLines/>
              <w:spacing w:after="0"/>
              <w:jc w:val="center"/>
              <w:rPr>
                <w:rFonts w:ascii="Arial" w:hAnsi="Arial"/>
                <w:b/>
                <w:sz w:val="18"/>
                <w:lang w:eastAsia="en-GB"/>
              </w:rPr>
            </w:pPr>
            <w:r>
              <w:rPr>
                <w:rFonts w:ascii="Arial" w:hAnsi="Arial"/>
                <w:b/>
                <w:sz w:val="18"/>
                <w:lang w:eastAsia="en-GB"/>
              </w:rPr>
              <w:t>Emission limit (dBm)</w:t>
            </w:r>
          </w:p>
        </w:tc>
        <w:tc>
          <w:tcPr>
            <w:tcW w:w="1417" w:type="dxa"/>
          </w:tcPr>
          <w:p>
            <w:pPr>
              <w:keepNext/>
              <w:keepLines/>
              <w:spacing w:after="0"/>
              <w:jc w:val="center"/>
              <w:rPr>
                <w:rFonts w:ascii="Arial" w:hAnsi="Arial"/>
                <w:b/>
                <w:sz w:val="18"/>
              </w:rPr>
            </w:pPr>
            <w:r>
              <w:rPr>
                <w:rFonts w:ascii="Arial" w:hAnsi="Arial"/>
                <w:b/>
                <w:sz w:val="18"/>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b/>
                <w:sz w:val="18"/>
                <w:lang w:eastAsia="en-GB"/>
              </w:rPr>
            </w:pPr>
            <w:r>
              <w:rPr>
                <w:rFonts w:ascii="Arial" w:hAnsi="Arial"/>
                <w:sz w:val="18"/>
              </w:rPr>
              <w:sym w:font="Symbol" w:char="F0B1"/>
            </w:r>
            <w:r>
              <w:rPr>
                <w:rFonts w:ascii="Arial" w:hAnsi="Arial"/>
                <w:sz w:val="18"/>
              </w:rPr>
              <w:t xml:space="preserve"> 0</w:t>
            </w:r>
          </w:p>
        </w:tc>
        <w:tc>
          <w:tcPr>
            <w:tcW w:w="1182" w:type="dxa"/>
          </w:tcPr>
          <w:p>
            <w:pPr>
              <w:keepNext/>
              <w:keepLines/>
              <w:spacing w:after="0"/>
              <w:jc w:val="center"/>
              <w:rPr>
                <w:rFonts w:ascii="Arial" w:hAnsi="Arial"/>
                <w:sz w:val="18"/>
                <w:lang w:eastAsia="en-GB"/>
              </w:rPr>
            </w:pPr>
            <w:r>
              <w:rPr>
                <w:rFonts w:ascii="Arial" w:hAnsi="Arial"/>
                <w:sz w:val="18"/>
                <w:lang w:eastAsia="en-GB"/>
              </w:rPr>
              <w:t>26</w:t>
            </w:r>
          </w:p>
        </w:tc>
        <w:tc>
          <w:tcPr>
            <w:tcW w:w="1417" w:type="dxa"/>
          </w:tcPr>
          <w:p>
            <w:pPr>
              <w:keepNext/>
              <w:keepLines/>
              <w:spacing w:after="0"/>
              <w:jc w:val="center"/>
              <w:rPr>
                <w:rFonts w:ascii="Arial" w:hAnsi="Arial"/>
                <w:b/>
                <w:sz w:val="18"/>
              </w:rPr>
            </w:pPr>
            <w:r>
              <w:rPr>
                <w:rFonts w:ascii="Arial" w:hAnsi="Arial"/>
                <w:sz w:val="18"/>
              </w:rPr>
              <w:t xml:space="preserve">30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rPr>
              <w:sym w:font="Symbol" w:char="F0B1"/>
            </w:r>
            <w:r>
              <w:rPr>
                <w:rFonts w:ascii="Arial" w:hAnsi="Arial"/>
                <w:sz w:val="18"/>
              </w:rPr>
              <w:t xml:space="preserve"> 1</w:t>
            </w:r>
            <w:r>
              <w:rPr>
                <w:rFonts w:ascii="Arial" w:hAnsi="Arial"/>
                <w:sz w:val="18"/>
                <w:lang w:eastAsia="en-GB"/>
              </w:rPr>
              <w:t>00</w:t>
            </w:r>
          </w:p>
        </w:tc>
        <w:tc>
          <w:tcPr>
            <w:tcW w:w="1182" w:type="dxa"/>
          </w:tcPr>
          <w:p>
            <w:pPr>
              <w:keepNext/>
              <w:keepLines/>
              <w:spacing w:after="0"/>
              <w:jc w:val="center"/>
              <w:rPr>
                <w:rFonts w:ascii="Arial" w:hAnsi="Arial"/>
                <w:sz w:val="18"/>
                <w:lang w:eastAsia="en-GB"/>
              </w:rPr>
            </w:pPr>
            <w:r>
              <w:rPr>
                <w:rFonts w:ascii="Arial" w:hAnsi="Arial"/>
                <w:sz w:val="18"/>
                <w:lang w:eastAsia="en-GB"/>
              </w:rPr>
              <w:t>-5</w:t>
            </w:r>
          </w:p>
        </w:tc>
        <w:tc>
          <w:tcPr>
            <w:tcW w:w="1417"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rPr>
              <w:sym w:font="Symbol" w:char="F0B1"/>
            </w:r>
            <w:r>
              <w:rPr>
                <w:rFonts w:ascii="Arial" w:hAnsi="Arial"/>
                <w:sz w:val="18"/>
              </w:rPr>
              <w:t xml:space="preserve"> 1</w:t>
            </w:r>
            <w:r>
              <w:rPr>
                <w:rFonts w:ascii="Arial" w:hAnsi="Arial"/>
                <w:sz w:val="18"/>
                <w:lang w:eastAsia="en-GB"/>
              </w:rPr>
              <w:t>50</w:t>
            </w:r>
          </w:p>
        </w:tc>
        <w:tc>
          <w:tcPr>
            <w:tcW w:w="1182" w:type="dxa"/>
          </w:tcPr>
          <w:p>
            <w:pPr>
              <w:keepNext/>
              <w:keepLines/>
              <w:spacing w:after="0"/>
              <w:jc w:val="center"/>
              <w:rPr>
                <w:rFonts w:ascii="Arial" w:hAnsi="Arial"/>
                <w:sz w:val="18"/>
                <w:lang w:eastAsia="en-GB"/>
              </w:rPr>
            </w:pPr>
            <w:r>
              <w:rPr>
                <w:rFonts w:ascii="Arial" w:hAnsi="Arial"/>
                <w:sz w:val="18"/>
                <w:lang w:eastAsia="en-GB"/>
              </w:rPr>
              <w:t>-8</w:t>
            </w:r>
          </w:p>
        </w:tc>
        <w:tc>
          <w:tcPr>
            <w:tcW w:w="1417"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rPr>
              <w:sym w:font="Symbol" w:char="F0B1"/>
            </w:r>
            <w:r>
              <w:rPr>
                <w:rFonts w:ascii="Arial" w:hAnsi="Arial"/>
                <w:sz w:val="18"/>
              </w:rPr>
              <w:t xml:space="preserve"> </w:t>
            </w:r>
            <w:r>
              <w:rPr>
                <w:rFonts w:ascii="Arial" w:hAnsi="Arial"/>
                <w:sz w:val="18"/>
                <w:lang w:eastAsia="en-GB"/>
              </w:rPr>
              <w:t>300</w:t>
            </w:r>
          </w:p>
        </w:tc>
        <w:tc>
          <w:tcPr>
            <w:tcW w:w="1182" w:type="dxa"/>
          </w:tcPr>
          <w:p>
            <w:pPr>
              <w:keepNext/>
              <w:keepLines/>
              <w:spacing w:after="0"/>
              <w:jc w:val="center"/>
              <w:rPr>
                <w:rFonts w:ascii="Arial" w:hAnsi="Arial"/>
                <w:sz w:val="18"/>
                <w:lang w:eastAsia="en-GB"/>
              </w:rPr>
            </w:pPr>
            <w:r>
              <w:rPr>
                <w:rFonts w:ascii="Arial" w:hAnsi="Arial"/>
                <w:sz w:val="18"/>
                <w:lang w:eastAsia="en-GB"/>
              </w:rPr>
              <w:t>-29</w:t>
            </w:r>
          </w:p>
        </w:tc>
        <w:tc>
          <w:tcPr>
            <w:tcW w:w="1417"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rPr>
              <w:sym w:font="Symbol" w:char="F0B1"/>
            </w:r>
            <w:r>
              <w:rPr>
                <w:rFonts w:ascii="Arial" w:hAnsi="Arial"/>
                <w:sz w:val="18"/>
              </w:rPr>
              <w:t xml:space="preserve"> </w:t>
            </w:r>
            <w:r>
              <w:rPr>
                <w:rFonts w:ascii="Arial" w:hAnsi="Arial"/>
                <w:sz w:val="18"/>
                <w:lang w:eastAsia="en-GB"/>
              </w:rPr>
              <w:t>500-1700</w:t>
            </w:r>
          </w:p>
        </w:tc>
        <w:tc>
          <w:tcPr>
            <w:tcW w:w="1182" w:type="dxa"/>
          </w:tcPr>
          <w:p>
            <w:pPr>
              <w:keepNext/>
              <w:keepLines/>
              <w:spacing w:after="0"/>
              <w:jc w:val="center"/>
              <w:rPr>
                <w:rFonts w:ascii="Arial" w:hAnsi="Arial"/>
                <w:sz w:val="18"/>
                <w:lang w:eastAsia="en-GB"/>
              </w:rPr>
            </w:pPr>
            <w:r>
              <w:rPr>
                <w:rFonts w:ascii="Arial" w:hAnsi="Arial"/>
                <w:sz w:val="18"/>
                <w:lang w:eastAsia="en-GB"/>
              </w:rPr>
              <w:t>-35</w:t>
            </w:r>
          </w:p>
        </w:tc>
        <w:tc>
          <w:tcPr>
            <w:tcW w:w="1417" w:type="dxa"/>
          </w:tcPr>
          <w:p>
            <w:pPr>
              <w:keepNext/>
              <w:keepLines/>
              <w:spacing w:after="0"/>
              <w:jc w:val="center"/>
              <w:rPr>
                <w:rFonts w:ascii="Arial" w:hAnsi="Arial"/>
                <w:sz w:val="18"/>
              </w:rPr>
            </w:pPr>
            <w:r>
              <w:rPr>
                <w:rFonts w:ascii="Arial" w:hAnsi="Arial"/>
                <w:sz w:val="18"/>
              </w:rPr>
              <w:t>30 kHz</w:t>
            </w:r>
          </w:p>
        </w:tc>
      </w:tr>
    </w:tbl>
    <w:p>
      <w:pPr>
        <w:rPr>
          <w:snapToGrid w:val="0"/>
          <w:lang w:eastAsia="en-GB"/>
        </w:rPr>
      </w:pPr>
    </w:p>
    <w:p>
      <w:pPr>
        <w:rPr>
          <w:snapToGrid w:val="0"/>
          <w:lang w:eastAsia="en-GB"/>
        </w:rPr>
      </w:pPr>
      <w:r>
        <w:rPr>
          <w:snapToGrid w:val="0"/>
          <w:lang w:eastAsia="en-GB"/>
        </w:rPr>
        <w:t>In addition to the spectrum emission mask requirement in</w:t>
      </w:r>
      <w:r>
        <w:rPr>
          <w:lang w:eastAsia="en-GB"/>
        </w:rPr>
        <w:t xml:space="preserve"> Table 6.5B.3.2.3-1</w:t>
      </w:r>
      <w:r>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r>
        <w:rPr>
          <w:lang w:eastAsia="en-GB"/>
        </w:rPr>
        <w:t xml:space="preserve">Table </w:t>
      </w:r>
      <w:bookmarkStart w:id="994" w:name="_Hlk140767369"/>
      <w:r>
        <w:rPr>
          <w:lang w:eastAsia="en-GB"/>
        </w:rPr>
        <w:t>6.5B.3.2.3-2</w:t>
      </w:r>
      <w:bookmarkEnd w:id="994"/>
      <w:r>
        <w:rPr>
          <w:snapToGrid w:val="0"/>
          <w:lang w:eastAsia="en-GB"/>
        </w:rPr>
        <w:t>.</w:t>
      </w:r>
    </w:p>
    <w:p>
      <w:pPr>
        <w:keepNext/>
        <w:keepLines/>
        <w:spacing w:before="60"/>
        <w:jc w:val="center"/>
        <w:rPr>
          <w:rFonts w:ascii="Arial" w:hAnsi="Arial"/>
          <w:b/>
          <w:lang w:eastAsia="en-GB"/>
        </w:rPr>
      </w:pPr>
      <w:r>
        <w:rPr>
          <w:rFonts w:ascii="Arial" w:hAnsi="Arial"/>
          <w:b/>
          <w:lang w:eastAsia="en-GB"/>
        </w:rPr>
        <w:t>Table 6.5B.3.2.3-2: Foffset for category NB1 and NB2 UE spectrum emission mask</w:t>
      </w:r>
    </w:p>
    <w:tbl>
      <w:tblPr>
        <w:tblStyle w:val="89"/>
        <w:tblW w:w="39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2"/>
        <w:gridCol w:w="24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12" w:type="dxa"/>
          </w:tcPr>
          <w:p>
            <w:pPr>
              <w:keepNext/>
              <w:keepLines/>
              <w:spacing w:after="0"/>
              <w:jc w:val="center"/>
              <w:rPr>
                <w:rFonts w:ascii="Arial" w:hAnsi="Arial"/>
                <w:b/>
                <w:sz w:val="18"/>
              </w:rPr>
            </w:pPr>
            <w:r>
              <w:rPr>
                <w:rFonts w:ascii="Arial" w:hAnsi="Arial"/>
                <w:b/>
                <w:sz w:val="18"/>
              </w:rPr>
              <w:t>Channel BW</w:t>
            </w:r>
            <w:r>
              <w:rPr>
                <w:rFonts w:ascii="Arial" w:hAnsi="Arial"/>
                <w:b/>
                <w:sz w:val="18"/>
                <w:lang w:eastAsia="en-GB"/>
              </w:rPr>
              <w:t xml:space="preserve"> </w:t>
            </w:r>
            <w:r>
              <w:rPr>
                <w:rFonts w:ascii="Arial" w:hAnsi="Arial"/>
                <w:b/>
                <w:sz w:val="18"/>
              </w:rPr>
              <w:t>(MHz)</w:t>
            </w:r>
          </w:p>
        </w:tc>
        <w:tc>
          <w:tcPr>
            <w:tcW w:w="2463" w:type="dxa"/>
          </w:tcPr>
          <w:p>
            <w:pPr>
              <w:keepNext/>
              <w:keepLines/>
              <w:spacing w:after="0"/>
              <w:jc w:val="center"/>
              <w:rPr>
                <w:rFonts w:ascii="Arial" w:hAnsi="Arial"/>
                <w:b/>
                <w:sz w:val="18"/>
                <w:lang w:eastAsia="en-GB"/>
              </w:rPr>
            </w:pPr>
            <w:r>
              <w:rPr>
                <w:rFonts w:ascii="Arial" w:hAnsi="Arial"/>
                <w:b/>
                <w:sz w:val="18"/>
                <w:lang w:eastAsia="en-GB"/>
              </w:rPr>
              <w:t>Foffset</w:t>
            </w:r>
          </w:p>
          <w:p>
            <w:pPr>
              <w:keepNext/>
              <w:keepLines/>
              <w:spacing w:after="0"/>
              <w:jc w:val="center"/>
              <w:rPr>
                <w:rFonts w:ascii="Arial" w:hAnsi="Arial"/>
                <w:b/>
                <w:sz w:val="18"/>
                <w:lang w:eastAsia="en-GB"/>
              </w:rPr>
            </w:pPr>
            <w:r>
              <w:rPr>
                <w:rFonts w:ascii="Arial" w:hAnsi="Arial"/>
                <w:b/>
                <w:sz w:val="18"/>
                <w:lang w:eastAsia="en-GB"/>
              </w:rPr>
              <w:t>[kHz]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1.4</w:t>
            </w:r>
          </w:p>
        </w:tc>
        <w:tc>
          <w:tcPr>
            <w:tcW w:w="2463" w:type="dxa"/>
          </w:tcPr>
          <w:p>
            <w:pPr>
              <w:keepNext/>
              <w:keepLines/>
              <w:spacing w:after="0"/>
              <w:jc w:val="center"/>
              <w:rPr>
                <w:rFonts w:ascii="Arial" w:hAnsi="Arial"/>
                <w:sz w:val="18"/>
                <w:lang w:eastAsia="en-GB"/>
              </w:rPr>
            </w:pPr>
            <w:r>
              <w:rPr>
                <w:rFonts w:ascii="Arial" w:hAnsi="Arial"/>
                <w:sz w:val="18"/>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3</w:t>
            </w:r>
          </w:p>
        </w:tc>
        <w:tc>
          <w:tcPr>
            <w:tcW w:w="2463" w:type="dxa"/>
          </w:tcPr>
          <w:p>
            <w:pPr>
              <w:keepNext/>
              <w:keepLines/>
              <w:spacing w:after="0"/>
              <w:jc w:val="center"/>
              <w:rPr>
                <w:rFonts w:ascii="Arial" w:hAnsi="Arial"/>
                <w:sz w:val="18"/>
                <w:lang w:eastAsia="en-GB"/>
              </w:rPr>
            </w:pPr>
            <w:r>
              <w:rPr>
                <w:rFonts w:ascii="Arial" w:hAnsi="Arial"/>
                <w:sz w:val="18"/>
              </w:rPr>
              <w:t>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5</w:t>
            </w:r>
          </w:p>
        </w:tc>
        <w:tc>
          <w:tcPr>
            <w:tcW w:w="2463" w:type="dxa"/>
          </w:tcPr>
          <w:p>
            <w:pPr>
              <w:keepNext/>
              <w:keepLines/>
              <w:spacing w:after="0"/>
              <w:jc w:val="center"/>
              <w:rPr>
                <w:rFonts w:ascii="Arial" w:hAnsi="Arial"/>
                <w:sz w:val="18"/>
                <w:lang w:eastAsia="en-GB"/>
              </w:rPr>
            </w:pPr>
            <w:r>
              <w:rPr>
                <w:rFonts w:ascii="Arial" w:hAnsi="Arial"/>
                <w:sz w:val="18"/>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10</w:t>
            </w:r>
          </w:p>
        </w:tc>
        <w:tc>
          <w:tcPr>
            <w:tcW w:w="2463" w:type="dxa"/>
          </w:tcPr>
          <w:p>
            <w:pPr>
              <w:keepNext/>
              <w:keepLines/>
              <w:spacing w:after="0"/>
              <w:jc w:val="center"/>
              <w:rPr>
                <w:rFonts w:ascii="Arial" w:hAnsi="Arial"/>
                <w:sz w:val="18"/>
                <w:lang w:eastAsia="en-GB"/>
              </w:rPr>
            </w:pPr>
            <w:r>
              <w:rPr>
                <w:rFonts w:ascii="Arial" w:hAnsi="Arial"/>
                <w:sz w:val="18"/>
              </w:rPr>
              <w:t>225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15</w:t>
            </w:r>
          </w:p>
        </w:tc>
        <w:tc>
          <w:tcPr>
            <w:tcW w:w="2463" w:type="dxa"/>
          </w:tcPr>
          <w:p>
            <w:pPr>
              <w:keepNext/>
              <w:keepLines/>
              <w:spacing w:after="0"/>
              <w:jc w:val="center"/>
              <w:rPr>
                <w:rFonts w:ascii="Arial" w:hAnsi="Arial"/>
                <w:sz w:val="18"/>
                <w:lang w:eastAsia="en-GB"/>
              </w:rPr>
            </w:pPr>
            <w:r>
              <w:rPr>
                <w:rFonts w:ascii="Arial" w:hAnsi="Arial"/>
                <w:sz w:val="18"/>
              </w:rPr>
              <w:t>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20</w:t>
            </w:r>
          </w:p>
        </w:tc>
        <w:tc>
          <w:tcPr>
            <w:tcW w:w="2463" w:type="dxa"/>
          </w:tcPr>
          <w:p>
            <w:pPr>
              <w:keepNext/>
              <w:keepLines/>
              <w:spacing w:after="0"/>
              <w:jc w:val="center"/>
              <w:rPr>
                <w:rFonts w:ascii="Arial" w:hAnsi="Arial"/>
                <w:sz w:val="18"/>
                <w:lang w:eastAsia="en-GB"/>
              </w:rPr>
            </w:pPr>
            <w:r>
              <w:rPr>
                <w:rFonts w:ascii="Arial" w:hAnsi="Arial"/>
                <w:sz w:val="18"/>
              </w:rPr>
              <w:t>245</w:t>
            </w:r>
          </w:p>
        </w:tc>
      </w:tr>
    </w:tbl>
    <w:p>
      <w:pPr>
        <w:rPr>
          <w:snapToGrid w:val="0"/>
          <w:lang w:eastAsia="en-GB"/>
        </w:rPr>
      </w:pPr>
    </w:p>
    <w:p>
      <w:pPr>
        <w:pStyle w:val="100"/>
        <w:keepLines/>
        <w:ind w:left="1135"/>
        <w:rPr>
          <w:snapToGrid w:val="0"/>
          <w:lang w:eastAsia="en-GB"/>
        </w:rPr>
      </w:pPr>
      <w:r>
        <w:rPr>
          <w:snapToGrid w:val="0"/>
          <w:lang w:eastAsia="en-GB"/>
        </w:rPr>
        <w:t xml:space="preserve">NOTE: Foffset in Table </w:t>
      </w:r>
      <w:bookmarkStart w:id="995" w:name="_Hlk140767619"/>
      <w:r>
        <w:rPr>
          <w:lang w:eastAsia="en-GB"/>
        </w:rPr>
        <w:t>6.5B.3.2</w:t>
      </w:r>
      <w:bookmarkEnd w:id="995"/>
      <w:r>
        <w:rPr>
          <w:lang w:eastAsia="en-GB"/>
        </w:rPr>
        <w:t>.3-2</w:t>
      </w:r>
      <w:r>
        <w:rPr>
          <w:snapToGrid w:val="0"/>
          <w:lang w:eastAsia="en-GB"/>
        </w:rPr>
        <w:t xml:space="preserve"> is used to guarantee co-existence for guard-band operation.</w:t>
      </w:r>
    </w:p>
    <w:p>
      <w:pPr>
        <w:rPr>
          <w:lang w:eastAsia="en-GB"/>
        </w:rPr>
      </w:pPr>
      <w:r>
        <w:rPr>
          <w:lang w:eastAsia="en-GB"/>
        </w:rPr>
        <w:t>The normative reference for this requirement is TS 36.102[11] clause 6.5B.3.2.</w:t>
      </w:r>
    </w:p>
    <w:p>
      <w:pPr>
        <w:pStyle w:val="9"/>
        <w:rPr>
          <w:lang w:eastAsia="en-GB"/>
        </w:rPr>
      </w:pPr>
      <w:r>
        <w:rPr>
          <w:lang w:eastAsia="en-GB"/>
        </w:rPr>
        <w:t>6.</w:t>
      </w:r>
      <w:bookmarkStart w:id="996" w:name="_Hlk140767700"/>
      <w:r>
        <w:rPr>
          <w:lang w:eastAsia="en-GB"/>
        </w:rPr>
        <w:t>5B.3.2</w:t>
      </w:r>
      <w:bookmarkEnd w:id="996"/>
      <w:r>
        <w:rPr>
          <w:lang w:eastAsia="en-GB"/>
        </w:rPr>
        <w:t>.4</w:t>
      </w:r>
      <w:r>
        <w:rPr>
          <w:lang w:eastAsia="en-GB"/>
        </w:rPr>
        <w:tab/>
      </w:r>
      <w:r>
        <w:rPr>
          <w:lang w:eastAsia="en-GB"/>
        </w:rPr>
        <w:t>Test description</w:t>
      </w:r>
    </w:p>
    <w:p>
      <w:pPr>
        <w:keepNext/>
        <w:keepLines/>
        <w:spacing w:before="120"/>
        <w:ind w:left="1985" w:hanging="1985"/>
        <w:rPr>
          <w:rFonts w:ascii="Arial" w:hAnsi="Arial"/>
          <w:lang w:eastAsia="en-GB"/>
        </w:rPr>
      </w:pPr>
      <w:r>
        <w:rPr>
          <w:rFonts w:ascii="Arial" w:hAnsi="Arial"/>
          <w:lang w:eastAsia="en-GB"/>
        </w:rPr>
        <w:t>6.5B.3.2.4.1</w:t>
      </w:r>
      <w:r>
        <w:rPr>
          <w:rFonts w:ascii="Arial" w:hAnsi="Arial"/>
          <w:lang w:eastAsia="en-GB"/>
        </w:rPr>
        <w:tab/>
      </w:r>
      <w:r>
        <w:rPr>
          <w:rFonts w:ascii="Arial" w:hAnsi="Arial"/>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t xml:space="preserve"> </w:t>
      </w:r>
      <w:r>
        <w:rPr>
          <w:lang w:eastAsia="en-GB"/>
        </w:rPr>
        <w:t xml:space="preserve">Annexes A.2. </w:t>
      </w:r>
      <w:r>
        <w:rPr>
          <w:rFonts w:cs="v5.0.0"/>
          <w:lang w:eastAsia="en-GB"/>
        </w:rPr>
        <w:t>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6.5B.3.2.4.1-1: Test Configuration Table</w:t>
      </w:r>
      <w:r>
        <w:rPr>
          <w:rFonts w:ascii="Arial" w:hAnsi="Arial"/>
          <w:b/>
        </w:rPr>
        <w:t xml:space="preserve"> for FDD </w:t>
      </w:r>
    </w:p>
    <w:tbl>
      <w:tblPr>
        <w:tblStyle w:val="89"/>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4138" w:type="dxa"/>
            <w:gridSpan w:val="2"/>
            <w:shd w:val="clear" w:color="auto" w:fill="FFFFFF"/>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pPr>
              <w:keepNext/>
              <w:keepLines/>
              <w:spacing w:after="0"/>
              <w:rPr>
                <w:rFonts w:ascii="Arial" w:hAnsi="Arial"/>
                <w:sz w:val="18"/>
              </w:rPr>
            </w:pPr>
            <w:r>
              <w:rPr>
                <w:rFonts w:ascii="Arial" w:hAnsi="Arial" w:cs="v5.0.0"/>
                <w:bCs/>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pPr>
              <w:keepNext/>
              <w:keepLines/>
              <w:spacing w:after="0"/>
              <w:rPr>
                <w:rFonts w:ascii="Arial" w:hAnsi="Arial"/>
                <w:sz w:val="18"/>
              </w:rPr>
            </w:pPr>
            <w:r>
              <w:rPr>
                <w:rFonts w:ascii="Arial" w:hAnsi="Arial" w:eastAsia="微软雅黑" w:cs="Arial"/>
                <w:sz w:val="18"/>
                <w:lang w:eastAsia="en-GB"/>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jc w:val="center"/>
        </w:trPr>
        <w:tc>
          <w:tcPr>
            <w:tcW w:w="1522" w:type="dxa"/>
            <w:shd w:val="clear" w:color="auto" w:fill="FFFFFF"/>
          </w:tcPr>
          <w:p>
            <w:pPr>
              <w:keepNext/>
              <w:keepLines/>
              <w:spacing w:after="0"/>
              <w:jc w:val="center"/>
              <w:rPr>
                <w:rFonts w:ascii="Arial" w:hAnsi="Arial"/>
                <w:b/>
                <w:sz w:val="18"/>
              </w:rPr>
            </w:pPr>
            <w:r>
              <w:rPr>
                <w:rFonts w:ascii="Arial" w:hAnsi="Arial"/>
                <w:b/>
                <w:sz w:val="18"/>
              </w:rPr>
              <w:t>Configuration ID</w:t>
            </w:r>
          </w:p>
        </w:tc>
        <w:tc>
          <w:tcPr>
            <w:tcW w:w="2616" w:type="dxa"/>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pPr>
              <w:keepNext/>
              <w:keepLines/>
              <w:spacing w:after="0"/>
              <w:jc w:val="center"/>
              <w:rPr>
                <w:rFonts w:ascii="Arial" w:hAnsi="Arial"/>
                <w:sz w:val="18"/>
              </w:rPr>
            </w:pPr>
            <w:r>
              <w:rPr>
                <w:rFonts w:ascii="Arial" w:hAnsi="Arial"/>
                <w:sz w:val="18"/>
              </w:rPr>
              <w:t>N/A</w:t>
            </w: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Modulation</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r>
              <w:rPr>
                <w:rFonts w:ascii="Arial" w:hAnsi="Arial" w:cs="Arial"/>
                <w:sz w:val="18"/>
                <w:lang w:eastAsia="en-GB"/>
              </w:rPr>
              <w:t>1</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lang w:eastAsia="en-GB"/>
              </w:rPr>
              <w:t>3.75kHz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r>
              <w:rPr>
                <w:rFonts w:ascii="Arial" w:hAnsi="Arial" w:cs="Arial"/>
                <w:sz w:val="18"/>
                <w:lang w:eastAsia="en-GB"/>
              </w:rPr>
              <w:t>2</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1@47</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lang w:eastAsia="en-GB"/>
              </w:rPr>
              <w:t>3.75kHz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3</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4</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1@11</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5</w:t>
            </w:r>
            <w:r>
              <w:rPr>
                <w:rFonts w:ascii="Arial" w:hAnsi="Arial"/>
                <w:sz w:val="18"/>
                <w:lang w:eastAsia="en-GB"/>
              </w:rPr>
              <w:t xml:space="preserve"> (Note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6</w:t>
            </w:r>
            <w:r>
              <w:rPr>
                <w:rFonts w:ascii="Arial" w:hAnsi="Arial"/>
                <w:sz w:val="18"/>
                <w:lang w:eastAsia="en-GB"/>
              </w:rPr>
              <w:t xml:space="preserve"> (Note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3@3</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 xml:space="preserve">7 </w:t>
            </w:r>
            <w:r>
              <w:rPr>
                <w:rFonts w:ascii="Arial" w:hAnsi="Arial"/>
                <w:sz w:val="18"/>
                <w:lang w:eastAsia="en-GB"/>
              </w:rPr>
              <w:t>(Note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3@9</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 xml:space="preserve">8 </w:t>
            </w:r>
            <w:r>
              <w:rPr>
                <w:rFonts w:ascii="Arial" w:hAnsi="Arial"/>
                <w:sz w:val="18"/>
                <w:lang w:eastAsia="en-GB"/>
              </w:rPr>
              <w:t>(Note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6@0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9</w:t>
            </w:r>
            <w:r>
              <w:rPr>
                <w:rFonts w:ascii="Arial" w:hAnsi="Arial"/>
                <w:sz w:val="18"/>
                <w:lang w:eastAsia="en-GB"/>
              </w:rPr>
              <w:t xml:space="preserve"> (Note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6@6</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10</w:t>
            </w:r>
            <w:r>
              <w:rPr>
                <w:rFonts w:ascii="Arial" w:hAnsi="Arial"/>
                <w:sz w:val="18"/>
                <w:lang w:eastAsia="en-GB"/>
              </w:rPr>
              <w:t xml:space="preserve"> (Note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12@0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ind w:left="851" w:hanging="851"/>
              <w:rPr>
                <w:rFonts w:ascii="Arial" w:hAnsi="Arial"/>
                <w:sz w:val="18"/>
              </w:rPr>
            </w:pPr>
            <w:r>
              <w:rPr>
                <w:rFonts w:ascii="Arial" w:hAnsi="Arial"/>
                <w:sz w:val="18"/>
              </w:rPr>
              <w:t xml:space="preserve">Note </w:t>
            </w:r>
            <w:r>
              <w:rPr>
                <w:rFonts w:ascii="Arial" w:hAnsi="Arial"/>
                <w:sz w:val="18"/>
                <w:lang w:eastAsia="en-GB"/>
              </w:rPr>
              <w:t>1</w:t>
            </w:r>
            <w:r>
              <w:rPr>
                <w:rFonts w:ascii="Arial" w:hAnsi="Arial"/>
                <w:sz w:val="18"/>
              </w:rPr>
              <w:t>:</w:t>
            </w:r>
            <w:r>
              <w:rPr>
                <w:rFonts w:ascii="Arial" w:hAnsi="Arial"/>
                <w:sz w:val="18"/>
              </w:rPr>
              <w:tab/>
            </w:r>
            <w:r>
              <w:rPr>
                <w:rFonts w:ascii="Arial" w:hAnsi="Arial"/>
                <w:sz w:val="18"/>
              </w:rPr>
              <w:t xml:space="preserve">The allowed MPR for maximum output power UE might apply is described in clause </w:t>
            </w:r>
            <w:r>
              <w:rPr>
                <w:rFonts w:ascii="Arial" w:hAnsi="Arial"/>
                <w:sz w:val="18"/>
                <w:lang w:eastAsia="en-GB"/>
              </w:rPr>
              <w:t>[</w:t>
            </w:r>
            <w:r>
              <w:rPr>
                <w:rFonts w:ascii="Arial" w:hAnsi="Arial"/>
                <w:sz w:val="18"/>
              </w:rPr>
              <w:t>6.2B.2.3</w:t>
            </w:r>
            <w:r>
              <w:rPr>
                <w:rFonts w:ascii="Arial" w:hAnsi="Arial"/>
                <w:sz w:val="18"/>
                <w:lang w:eastAsia="en-GB"/>
              </w:rPr>
              <w:t>]</w:t>
            </w:r>
            <w:r>
              <w:rPr>
                <w:rFonts w:ascii="Arial" w:hAnsi="Arial"/>
                <w:sz w:val="18"/>
              </w:rPr>
              <w:t>.</w:t>
            </w:r>
          </w:p>
        </w:tc>
      </w:tr>
    </w:tbl>
    <w:p>
      <w:pPr>
        <w:rPr>
          <w:lang w:eastAsia="en-GB"/>
        </w:rP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the SS to the UE antenna connectors as shown in Figure TS 36.508 [12] Annex A, Figure A.3 using only main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H.1.1 and H.4.0.</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The UL Reference Measurement channels are set according to Table 6.5B.3.2.4.1-1.</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UE location according to TS 36.508 [12] clause 8.2.6.1 is provided to the UE through any preconfigured means.</w:t>
      </w:r>
    </w:p>
    <w:p>
      <w:pPr>
        <w:pStyle w:val="111"/>
        <w:overflowPunct w:val="0"/>
        <w:autoSpaceDE w:val="0"/>
        <w:autoSpaceDN w:val="0"/>
        <w:adjustRightInd w:val="0"/>
        <w:ind w:left="568"/>
        <w:contextualSpacing w:val="0"/>
        <w:textAlignment w:val="baseline"/>
        <w:rPr>
          <w:lang w:eastAsia="en-GB"/>
        </w:rPr>
      </w:pPr>
      <w:r>
        <w:rPr>
          <w:rFonts w:hint="eastAsia"/>
          <w:lang w:eastAsia="en-GB"/>
        </w:rPr>
        <w:t>7</w:t>
      </w:r>
      <w:r>
        <w:rPr>
          <w:lang w:eastAsia="en-GB"/>
        </w:rPr>
        <w:t>.</w:t>
      </w:r>
      <w:r>
        <w:rPr>
          <w:lang w:eastAsia="en-GB"/>
        </w:rPr>
        <w:tab/>
      </w:r>
      <w:r>
        <w:rPr>
          <w:lang w:eastAsia="en-GB"/>
        </w:rPr>
        <w:t xml:space="preserve">Test equipment shall emulate </w:t>
      </w:r>
      <w:r>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Pr>
          <w:lang w:eastAsia="en-GB"/>
        </w:rPr>
        <w:t>. Test system shall send same SIB31-NB information during the duration of the test as define in TS 36.508[12] clause 8.2.6.3.1</w:t>
      </w:r>
    </w:p>
    <w:p>
      <w:pPr>
        <w:pStyle w:val="111"/>
        <w:overflowPunct w:val="0"/>
        <w:autoSpaceDE w:val="0"/>
        <w:autoSpaceDN w:val="0"/>
        <w:adjustRightInd w:val="0"/>
        <w:ind w:left="568"/>
        <w:contextualSpacing w:val="0"/>
        <w:textAlignment w:val="baseline"/>
        <w:rPr>
          <w:lang w:eastAsia="en-GB"/>
        </w:rPr>
      </w:pPr>
      <w:r>
        <w:rPr>
          <w:rFonts w:hint="eastAsia"/>
          <w:lang w:eastAsia="en-GB"/>
        </w:rPr>
        <w:t>8</w:t>
      </w:r>
      <w:r>
        <w:rPr>
          <w:lang w:eastAsia="en-GB"/>
        </w:rPr>
        <w:t>.</w:t>
      </w:r>
      <w:r>
        <w:rPr>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9.</w:t>
      </w:r>
      <w:r>
        <w:rPr>
          <w:lang w:eastAsia="en-GB"/>
        </w:rPr>
        <w:tab/>
      </w:r>
      <w:r>
        <w:rPr>
          <w:lang w:eastAsia="en-GB"/>
        </w:rPr>
        <w:t>Ensure the UE is in State 2A-NB with CP CIoT Optimisation according to TS 36.508 [12] clause 8.1.5. Message contents are defined in clause 6.5B.3.2.4.3.</w:t>
      </w:r>
    </w:p>
    <w:p>
      <w:pPr>
        <w:keepNext/>
        <w:keepLines/>
        <w:spacing w:before="120"/>
        <w:ind w:left="1985" w:hanging="1985"/>
        <w:rPr>
          <w:rFonts w:ascii="Arial" w:hAnsi="Arial"/>
          <w:lang w:eastAsia="en-GB"/>
        </w:rPr>
      </w:pPr>
      <w:r>
        <w:rPr>
          <w:rFonts w:ascii="Arial" w:hAnsi="Arial"/>
          <w:lang w:eastAsia="en-GB"/>
        </w:rPr>
        <w:t>6.5B.3.2.4.2</w:t>
      </w:r>
      <w:r>
        <w:rPr>
          <w:rFonts w:ascii="Arial" w:hAnsi="Arial"/>
          <w:lang w:eastAsia="en-GB"/>
        </w:rPr>
        <w:tab/>
      </w:r>
      <w:r>
        <w:rPr>
          <w:rFonts w:ascii="Arial" w:hAnsi="Arial"/>
          <w:lang w:eastAsia="en-GB"/>
        </w:rP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SS sends uplink scheduling information via NPDCCH DCI format N0 for C_RNTI to schedule the UL RMC according to Table 6.5B.3.2.4.1-1. Since the UE has no payload data to send, the UE transmits uplink MAC padding bits on the UL RMC. (UE should be already transmitting P</w:t>
      </w:r>
      <w:r>
        <w:rPr>
          <w:vertAlign w:val="subscript"/>
          <w:lang w:eastAsia="en-GB"/>
        </w:rPr>
        <w:t>UMAX</w:t>
      </w:r>
      <w:r>
        <w:rPr>
          <w:lang w:eastAsia="en-GB"/>
        </w:rPr>
        <w:t xml:space="preserve"> after Initial Conditions setting).</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 xml:space="preserve">Measure the mean power of the UE in the channel bandwidth of the radio access mode according to the test configuration, which shall meet the requirements described in Table </w:t>
      </w:r>
      <w:bookmarkStart w:id="997" w:name="_Hlk140825833"/>
      <w:r>
        <w:rPr>
          <w:lang w:eastAsia="en-GB"/>
        </w:rPr>
        <w:t>6.2B.2.4-1</w:t>
      </w:r>
      <w:bookmarkEnd w:id="997"/>
      <w:r>
        <w:rPr>
          <w:lang w:eastAsia="en-GB"/>
        </w:rPr>
        <w:t>. The measurement duration is at least</w:t>
      </w:r>
      <w:r>
        <w:rPr>
          <w:b/>
          <w:lang w:eastAsia="en-GB"/>
        </w:rPr>
        <w:t xml:space="preserve"> </w:t>
      </w:r>
      <w:r>
        <w:rPr>
          <w:lang w:eastAsia="en-GB"/>
        </w:rPr>
        <w:t>one sub-frame</w:t>
      </w:r>
      <w:r>
        <w:rPr>
          <w:b/>
          <w:lang w:eastAsia="en-GB"/>
        </w:rPr>
        <w:t xml:space="preserve"> (</w:t>
      </w:r>
      <w:r>
        <w:rPr>
          <w:lang w:eastAsia="en-GB"/>
        </w:rPr>
        <w:t>1ms) for 15 KHz channel spacing, and at least a 2ms slot (excluding the 2304Ts gap when UE is not transmitting) respectively for the 3.75 KHz channel spacing.</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 xml:space="preserve">Measure the power of the transmitted signal with a measurement filter of bandwidths according to table </w:t>
      </w:r>
      <w:bookmarkStart w:id="998" w:name="_Hlk140825522"/>
      <w:r>
        <w:rPr>
          <w:lang w:eastAsia="en-GB"/>
        </w:rPr>
        <w:t>6.5B.3.2.5-1</w:t>
      </w:r>
      <w:bookmarkEnd w:id="998"/>
      <w:r>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pPr>
        <w:pStyle w:val="100"/>
        <w:keepLines/>
        <w:ind w:left="1135"/>
        <w:rPr>
          <w:lang w:eastAsia="en-GB"/>
        </w:rPr>
      </w:pPr>
      <w:r>
        <w:rPr>
          <w:lang w:eastAsia="en-GB"/>
        </w:rPr>
        <w:t>NOTE 1:</w:t>
      </w:r>
      <w:r>
        <w:rPr>
          <w:lang w:eastAsia="en-GB"/>
        </w:rPr>
        <w:tab/>
      </w:r>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keepNext/>
        <w:keepLines/>
        <w:spacing w:before="120"/>
        <w:ind w:left="1985" w:hanging="1985"/>
        <w:rPr>
          <w:rFonts w:ascii="Arial" w:hAnsi="Arial"/>
          <w:lang w:eastAsia="en-GB"/>
        </w:rPr>
      </w:pPr>
      <w:r>
        <w:rPr>
          <w:rFonts w:ascii="Arial" w:hAnsi="Arial"/>
          <w:lang w:eastAsia="en-GB"/>
        </w:rPr>
        <w:t>6.5B.3.2.4.3</w:t>
      </w:r>
      <w:r>
        <w:rPr>
          <w:rFonts w:ascii="Arial" w:hAnsi="Arial"/>
          <w:lang w:eastAsia="en-GB"/>
        </w:rPr>
        <w:tab/>
      </w:r>
      <w:r>
        <w:rPr>
          <w:rFonts w:ascii="Arial" w:hAnsi="Arial"/>
          <w:lang w:eastAsia="en-GB"/>
        </w:rPr>
        <w:t>Message contents</w:t>
      </w:r>
    </w:p>
    <w:p>
      <w:pPr>
        <w:rPr>
          <w:lang w:eastAsia="en-GB"/>
        </w:rPr>
      </w:pPr>
      <w:r>
        <w:rPr>
          <w:lang w:eastAsia="en-GB"/>
        </w:rPr>
        <w:t>Message contents are according to TS 36.508 [12] subclause 8.1.6.</w:t>
      </w:r>
    </w:p>
    <w:p>
      <w:pPr>
        <w:pStyle w:val="9"/>
        <w:rPr>
          <w:lang w:eastAsia="en-GB"/>
        </w:rPr>
      </w:pPr>
      <w:r>
        <w:rPr>
          <w:lang w:eastAsia="en-GB"/>
        </w:rPr>
        <w:t>6.5B.3.2.5</w:t>
      </w:r>
      <w:r>
        <w:rPr>
          <w:lang w:eastAsia="en-GB"/>
        </w:rPr>
        <w:tab/>
      </w:r>
      <w:r>
        <w:rPr>
          <w:lang w:eastAsia="en-GB"/>
        </w:rPr>
        <w:t>Test requirements</w:t>
      </w:r>
    </w:p>
    <w:p>
      <w:pPr>
        <w:ind w:right="334"/>
        <w:rPr>
          <w:lang w:eastAsia="en-GB"/>
        </w:rPr>
      </w:pPr>
      <w:r>
        <w:rPr>
          <w:lang w:eastAsia="en-GB"/>
        </w:rPr>
        <w:t xml:space="preserve">The measured UE mean power in the channel bandwidth, derived in step 3, shall fulfil requirements in Table 6.2B.2.4-1 as appropriate, and the power of any UE emission shall fulfil requirements in 6.5B.3.2.5-1 as applicable. </w:t>
      </w:r>
    </w:p>
    <w:p>
      <w:pPr>
        <w:keepNext/>
        <w:keepLines/>
        <w:spacing w:before="60"/>
        <w:jc w:val="center"/>
        <w:rPr>
          <w:rFonts w:ascii="Arial" w:hAnsi="Arial"/>
          <w:b/>
          <w:lang w:eastAsia="en-GB"/>
        </w:rPr>
      </w:pPr>
      <w:r>
        <w:rPr>
          <w:rFonts w:ascii="Arial" w:hAnsi="Arial"/>
          <w:b/>
          <w:lang w:eastAsia="en-GB"/>
        </w:rPr>
        <w:t xml:space="preserve">Table </w:t>
      </w:r>
      <w:bookmarkStart w:id="999" w:name="_Hlk140825864"/>
      <w:r>
        <w:rPr>
          <w:rFonts w:ascii="Arial" w:hAnsi="Arial"/>
          <w:b/>
          <w:lang w:eastAsia="en-GB"/>
        </w:rPr>
        <w:t>6.5B.3.2.5-1</w:t>
      </w:r>
      <w:bookmarkEnd w:id="999"/>
      <w:r>
        <w:rPr>
          <w:rFonts w:ascii="Arial" w:hAnsi="Arial"/>
          <w:b/>
          <w:lang w:eastAsia="en-GB"/>
        </w:rPr>
        <w:t xml:space="preserve">: category NB1 and NB2 UE spectrum emission mask, category NB1/NB2 bands </w:t>
      </w:r>
      <w:r>
        <w:rPr>
          <w:rFonts w:ascii="Arial" w:hAnsi="Arial" w:cs="Arial"/>
          <w:b/>
          <w:lang w:eastAsia="en-GB"/>
        </w:rPr>
        <w:t>≤</w:t>
      </w:r>
      <w:r>
        <w:rPr>
          <w:rFonts w:ascii="Arial" w:hAnsi="Arial"/>
          <w:b/>
          <w:lang w:eastAsia="en-GB"/>
        </w:rPr>
        <w:t xml:space="preserve"> 3GHz</w:t>
      </w:r>
    </w:p>
    <w:tbl>
      <w:tblPr>
        <w:tblStyle w:val="89"/>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63"/>
        <w:gridCol w:w="3739"/>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63" w:type="dxa"/>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lang w:eastAsia="en-GB"/>
              </w:rPr>
              <w:t xml:space="preserve"> </w:t>
            </w:r>
            <w:r>
              <w:rPr>
                <w:rFonts w:ascii="Arial" w:hAnsi="Arial"/>
                <w:b/>
                <w:sz w:val="18"/>
              </w:rPr>
              <w:t>(</w:t>
            </w:r>
            <w:r>
              <w:rPr>
                <w:rFonts w:ascii="Arial" w:hAnsi="Arial"/>
                <w:b/>
                <w:sz w:val="18"/>
                <w:lang w:eastAsia="en-GB"/>
              </w:rPr>
              <w:t>k</w:t>
            </w:r>
            <w:r>
              <w:rPr>
                <w:rFonts w:ascii="Arial" w:hAnsi="Arial"/>
                <w:b/>
                <w:sz w:val="18"/>
              </w:rPr>
              <w:t>Hz)</w:t>
            </w:r>
          </w:p>
        </w:tc>
        <w:tc>
          <w:tcPr>
            <w:tcW w:w="3739" w:type="dxa"/>
          </w:tcPr>
          <w:p>
            <w:pPr>
              <w:keepNext/>
              <w:keepLines/>
              <w:spacing w:after="0"/>
              <w:jc w:val="center"/>
              <w:rPr>
                <w:rFonts w:ascii="Arial" w:hAnsi="Arial"/>
                <w:b/>
                <w:sz w:val="18"/>
                <w:lang w:eastAsia="en-GB"/>
              </w:rPr>
            </w:pPr>
            <w:r>
              <w:rPr>
                <w:rFonts w:ascii="Arial" w:hAnsi="Arial"/>
                <w:b/>
                <w:sz w:val="18"/>
              </w:rPr>
              <w:t>Spectrum emission limit (dBm)</w:t>
            </w:r>
          </w:p>
        </w:tc>
        <w:tc>
          <w:tcPr>
            <w:tcW w:w="1982" w:type="dxa"/>
          </w:tcPr>
          <w:p>
            <w:pPr>
              <w:keepNext/>
              <w:keepLines/>
              <w:spacing w:after="0"/>
              <w:jc w:val="center"/>
              <w:rPr>
                <w:rFonts w:ascii="Arial" w:hAnsi="Arial"/>
                <w:b/>
                <w:sz w:val="18"/>
              </w:rPr>
            </w:pPr>
            <w:r>
              <w:rPr>
                <w:rFonts w:ascii="Arial" w:hAnsi="Arial"/>
                <w:b/>
                <w:sz w:val="18"/>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63" w:type="dxa"/>
          </w:tcPr>
          <w:p>
            <w:pPr>
              <w:keepNext/>
              <w:keepLines/>
              <w:spacing w:after="0"/>
              <w:jc w:val="center"/>
              <w:rPr>
                <w:rFonts w:ascii="Arial" w:hAnsi="Arial"/>
                <w:b/>
                <w:sz w:val="18"/>
                <w:lang w:eastAsia="en-GB"/>
              </w:rPr>
            </w:pPr>
            <w:r>
              <w:rPr>
                <w:rFonts w:ascii="Arial" w:hAnsi="Arial"/>
                <w:sz w:val="18"/>
              </w:rPr>
              <w:t>0 -100</w:t>
            </w:r>
          </w:p>
        </w:tc>
        <w:tc>
          <w:tcPr>
            <w:tcW w:w="3739" w:type="dxa"/>
          </w:tcPr>
          <w:p>
            <w:pPr>
              <w:keepNext/>
              <w:keepLines/>
              <w:spacing w:after="0"/>
              <w:jc w:val="center"/>
              <w:rPr>
                <w:rFonts w:ascii="Arial" w:hAnsi="Arial"/>
                <w:sz w:val="18"/>
                <w:lang w:eastAsia="en-GB"/>
              </w:rPr>
            </w:pPr>
            <m:oMathPara>
              <m:oMath>
                <m:r>
                  <m:rPr/>
                  <w:rPr>
                    <w:rFonts w:ascii="Cambria Math" w:hAnsi="Cambria Math" w:cs="Arial"/>
                    <w:sz w:val="18"/>
                  </w:rPr>
                  <m:t>(27.5+(F−0)×</m:t>
                </m:r>
                <m:f>
                  <m:fPr>
                    <m:ctrlPr>
                      <w:rPr>
                        <w:rFonts w:ascii="Cambria Math" w:hAnsi="Cambria Math" w:cs="Arial"/>
                        <w:i/>
                        <w:sz w:val="18"/>
                      </w:rPr>
                    </m:ctrlPr>
                  </m:fPr>
                  <m:num>
                    <m:r>
                      <m:rPr/>
                      <w:rPr>
                        <w:rFonts w:ascii="Cambria Math" w:hAnsi="Cambria Math" w:cs="Arial"/>
                        <w:sz w:val="18"/>
                      </w:rPr>
                      <m:t>−3.5−27.5</m:t>
                    </m:r>
                    <m:ctrlPr>
                      <w:rPr>
                        <w:rFonts w:ascii="Cambria Math" w:hAnsi="Cambria Math" w:cs="Arial"/>
                        <w:i/>
                        <w:sz w:val="18"/>
                      </w:rPr>
                    </m:ctrlPr>
                  </m:num>
                  <m:den>
                    <m:r>
                      <m:rPr/>
                      <w:rPr>
                        <w:rFonts w:ascii="Cambria Math" w:hAnsi="Cambria Math" w:cs="Arial"/>
                        <w:sz w:val="18"/>
                      </w:rPr>
                      <m:t>100−0</m:t>
                    </m:r>
                    <m:ctrlPr>
                      <w:rPr>
                        <w:rFonts w:ascii="Cambria Math" w:hAnsi="Cambria Math" w:cs="Arial"/>
                        <w:i/>
                        <w:sz w:val="18"/>
                      </w:rPr>
                    </m:ctrlPr>
                  </m:den>
                </m:f>
                <m:r>
                  <m:rPr/>
                  <w:rPr>
                    <w:rFonts w:ascii="Cambria Math" w:hAnsi="Cambria Math" w:cs="Arial"/>
                    <w:sz w:val="18"/>
                  </w:rPr>
                  <m:t>)</m:t>
                </m:r>
              </m:oMath>
            </m:oMathPara>
          </w:p>
        </w:tc>
        <w:tc>
          <w:tcPr>
            <w:tcW w:w="1982" w:type="dxa"/>
          </w:tcPr>
          <w:p>
            <w:pPr>
              <w:keepNext/>
              <w:keepLines/>
              <w:spacing w:after="0"/>
              <w:jc w:val="center"/>
              <w:rPr>
                <w:rFonts w:ascii="Arial" w:hAnsi="Arial"/>
                <w:b/>
                <w:sz w:val="18"/>
              </w:rPr>
            </w:pPr>
            <w:r>
              <w:rPr>
                <w:rFonts w:ascii="Arial" w:hAnsi="Arial"/>
                <w:sz w:val="18"/>
              </w:rPr>
              <w:t xml:space="preserve">30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3063" w:type="dxa"/>
          </w:tcPr>
          <w:p>
            <w:pPr>
              <w:keepNext/>
              <w:keepLines/>
              <w:spacing w:after="0"/>
              <w:jc w:val="center"/>
              <w:rPr>
                <w:rFonts w:ascii="Arial" w:hAnsi="Arial"/>
                <w:sz w:val="18"/>
                <w:lang w:eastAsia="en-GB"/>
              </w:rPr>
            </w:pPr>
            <w:r>
              <w:rPr>
                <w:rFonts w:ascii="Arial" w:hAnsi="Arial"/>
                <w:sz w:val="18"/>
              </w:rPr>
              <w:t>1</w:t>
            </w:r>
            <w:r>
              <w:rPr>
                <w:rFonts w:ascii="Arial" w:hAnsi="Arial"/>
                <w:sz w:val="18"/>
                <w:lang w:eastAsia="en-GB"/>
              </w:rPr>
              <w:t>00 - 150</w:t>
            </w:r>
          </w:p>
        </w:tc>
        <w:tc>
          <w:tcPr>
            <w:tcW w:w="3739" w:type="dxa"/>
          </w:tcPr>
          <w:p>
            <w:pPr>
              <w:keepNext/>
              <w:keepLines/>
              <w:spacing w:after="0"/>
              <w:jc w:val="center"/>
              <w:rPr>
                <w:rFonts w:ascii="Arial" w:hAnsi="Arial"/>
                <w:sz w:val="18"/>
                <w:lang w:eastAsia="en-GB"/>
              </w:rPr>
            </w:pPr>
            <m:oMathPara>
              <m:oMath>
                <m:r>
                  <m:rPr/>
                  <w:rPr>
                    <w:rFonts w:ascii="Cambria Math" w:hAnsi="Cambria Math" w:cs="Arial"/>
                    <w:sz w:val="18"/>
                  </w:rPr>
                  <m:t>(−3.5+(F−100)×</m:t>
                </m:r>
                <m:f>
                  <m:fPr>
                    <m:ctrlPr>
                      <w:rPr>
                        <w:rFonts w:ascii="Cambria Math" w:hAnsi="Cambria Math" w:cs="Arial"/>
                        <w:i/>
                        <w:sz w:val="18"/>
                      </w:rPr>
                    </m:ctrlPr>
                  </m:fPr>
                  <m:num>
                    <m:r>
                      <m:rPr/>
                      <w:rPr>
                        <w:rFonts w:ascii="Cambria Math" w:hAnsi="Cambria Math" w:cs="Arial"/>
                        <w:sz w:val="18"/>
                      </w:rPr>
                      <m:t>−6.5−(−3.5)</m:t>
                    </m:r>
                    <m:ctrlPr>
                      <w:rPr>
                        <w:rFonts w:ascii="Cambria Math" w:hAnsi="Cambria Math" w:cs="Arial"/>
                        <w:i/>
                        <w:sz w:val="18"/>
                      </w:rPr>
                    </m:ctrlPr>
                  </m:num>
                  <m:den>
                    <m:r>
                      <m:rPr/>
                      <w:rPr>
                        <w:rFonts w:ascii="Cambria Math" w:hAnsi="Cambria Math" w:cs="Arial"/>
                        <w:sz w:val="18"/>
                      </w:rPr>
                      <m:t>150−100</m:t>
                    </m:r>
                    <m:ctrlPr>
                      <w:rPr>
                        <w:rFonts w:ascii="Cambria Math" w:hAnsi="Cambria Math" w:cs="Arial"/>
                        <w:i/>
                        <w:sz w:val="18"/>
                      </w:rPr>
                    </m:ctrlPr>
                  </m:den>
                </m:f>
                <m:r>
                  <m:rPr/>
                  <w:rPr>
                    <w:rFonts w:ascii="Cambria Math" w:hAnsi="Cambria Math" w:cs="Arial"/>
                    <w:sz w:val="18"/>
                  </w:rPr>
                  <m:t>)</m:t>
                </m:r>
              </m:oMath>
            </m:oMathPara>
          </w:p>
        </w:tc>
        <w:tc>
          <w:tcPr>
            <w:tcW w:w="1982"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3063" w:type="dxa"/>
          </w:tcPr>
          <w:p>
            <w:pPr>
              <w:keepNext/>
              <w:keepLines/>
              <w:spacing w:after="0"/>
              <w:jc w:val="center"/>
              <w:rPr>
                <w:rFonts w:ascii="Arial" w:hAnsi="Arial"/>
                <w:sz w:val="18"/>
                <w:lang w:eastAsia="en-GB"/>
              </w:rPr>
            </w:pPr>
            <w:r>
              <w:rPr>
                <w:rFonts w:ascii="Arial" w:hAnsi="Arial"/>
                <w:sz w:val="18"/>
              </w:rPr>
              <w:t>1</w:t>
            </w:r>
            <w:r>
              <w:rPr>
                <w:rFonts w:ascii="Arial" w:hAnsi="Arial"/>
                <w:sz w:val="18"/>
                <w:lang w:eastAsia="en-GB"/>
              </w:rPr>
              <w:t>50 - 300</w:t>
            </w:r>
          </w:p>
        </w:tc>
        <w:tc>
          <w:tcPr>
            <w:tcW w:w="3739" w:type="dxa"/>
          </w:tcPr>
          <w:p>
            <w:pPr>
              <w:keepNext/>
              <w:keepLines/>
              <w:spacing w:after="0"/>
              <w:jc w:val="center"/>
              <w:rPr>
                <w:rFonts w:ascii="Arial" w:hAnsi="Arial"/>
                <w:sz w:val="18"/>
                <w:lang w:eastAsia="en-GB"/>
              </w:rPr>
            </w:pPr>
            <m:oMathPara>
              <m:oMath>
                <m:r>
                  <m:rPr/>
                  <w:rPr>
                    <w:rFonts w:ascii="Cambria Math" w:hAnsi="Cambria Math" w:cs="Arial"/>
                    <w:sz w:val="18"/>
                  </w:rPr>
                  <m:t>(−6.5+(F−150)×</m:t>
                </m:r>
                <m:f>
                  <m:fPr>
                    <m:ctrlPr>
                      <w:rPr>
                        <w:rFonts w:ascii="Cambria Math" w:hAnsi="Cambria Math" w:cs="Arial"/>
                        <w:i/>
                        <w:sz w:val="18"/>
                      </w:rPr>
                    </m:ctrlPr>
                  </m:fPr>
                  <m:num>
                    <m:r>
                      <m:rPr/>
                      <w:rPr>
                        <w:rFonts w:ascii="Cambria Math" w:hAnsi="Cambria Math" w:cs="Arial"/>
                        <w:sz w:val="18"/>
                      </w:rPr>
                      <m:t>−27.5−(−6.5)</m:t>
                    </m:r>
                    <m:ctrlPr>
                      <w:rPr>
                        <w:rFonts w:ascii="Cambria Math" w:hAnsi="Cambria Math" w:cs="Arial"/>
                        <w:i/>
                        <w:sz w:val="18"/>
                      </w:rPr>
                    </m:ctrlPr>
                  </m:num>
                  <m:den>
                    <m:r>
                      <m:rPr/>
                      <w:rPr>
                        <w:rFonts w:ascii="Cambria Math" w:hAnsi="Cambria Math" w:cs="Arial"/>
                        <w:sz w:val="18"/>
                      </w:rPr>
                      <m:t>300−150</m:t>
                    </m:r>
                    <m:ctrlPr>
                      <w:rPr>
                        <w:rFonts w:ascii="Cambria Math" w:hAnsi="Cambria Math" w:cs="Arial"/>
                        <w:i/>
                        <w:sz w:val="18"/>
                      </w:rPr>
                    </m:ctrlPr>
                  </m:den>
                </m:f>
                <m:r>
                  <m:rPr/>
                  <w:rPr>
                    <w:rFonts w:ascii="Cambria Math" w:hAnsi="Cambria Math" w:cs="Arial"/>
                    <w:sz w:val="18"/>
                  </w:rPr>
                  <m:t>)</m:t>
                </m:r>
              </m:oMath>
            </m:oMathPara>
          </w:p>
        </w:tc>
        <w:tc>
          <w:tcPr>
            <w:tcW w:w="1982"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3063" w:type="dxa"/>
          </w:tcPr>
          <w:p>
            <w:pPr>
              <w:keepNext/>
              <w:keepLines/>
              <w:spacing w:after="0"/>
              <w:jc w:val="center"/>
              <w:rPr>
                <w:rFonts w:ascii="Arial" w:hAnsi="Arial"/>
                <w:sz w:val="18"/>
                <w:lang w:eastAsia="en-GB"/>
              </w:rPr>
            </w:pPr>
            <w:r>
              <w:rPr>
                <w:rFonts w:ascii="Arial" w:hAnsi="Arial"/>
                <w:sz w:val="18"/>
                <w:lang w:eastAsia="en-GB"/>
              </w:rPr>
              <w:t>300 - 500</w:t>
            </w:r>
          </w:p>
        </w:tc>
        <w:tc>
          <w:tcPr>
            <w:tcW w:w="3739" w:type="dxa"/>
          </w:tcPr>
          <w:p>
            <w:pPr>
              <w:keepNext/>
              <w:keepLines/>
              <w:spacing w:after="0"/>
              <w:jc w:val="center"/>
              <w:rPr>
                <w:rFonts w:ascii="Arial" w:hAnsi="Arial"/>
                <w:sz w:val="18"/>
                <w:lang w:eastAsia="en-GB"/>
              </w:rPr>
            </w:pPr>
            <m:oMathPara>
              <m:oMath>
                <m:r>
                  <m:rPr/>
                  <w:rPr>
                    <w:rFonts w:ascii="Cambria Math" w:hAnsi="Cambria Math" w:cs="Arial"/>
                    <w:sz w:val="18"/>
                  </w:rPr>
                  <m:t>(−27.5+(F−300)×</m:t>
                </m:r>
                <m:f>
                  <m:fPr>
                    <m:ctrlPr>
                      <w:rPr>
                        <w:rFonts w:ascii="Cambria Math" w:hAnsi="Cambria Math" w:cs="Arial"/>
                        <w:i/>
                        <w:sz w:val="18"/>
                      </w:rPr>
                    </m:ctrlPr>
                  </m:fPr>
                  <m:num>
                    <m:r>
                      <m:rPr/>
                      <w:rPr>
                        <w:rFonts w:ascii="Cambria Math" w:hAnsi="Cambria Math" w:cs="Arial"/>
                        <w:sz w:val="18"/>
                      </w:rPr>
                      <m:t>−33.5−(−27.5)</m:t>
                    </m:r>
                    <m:ctrlPr>
                      <w:rPr>
                        <w:rFonts w:ascii="Cambria Math" w:hAnsi="Cambria Math" w:cs="Arial"/>
                        <w:i/>
                        <w:sz w:val="18"/>
                      </w:rPr>
                    </m:ctrlPr>
                  </m:num>
                  <m:den>
                    <m:r>
                      <m:rPr/>
                      <w:rPr>
                        <w:rFonts w:ascii="Cambria Math" w:hAnsi="Cambria Math" w:cs="Arial"/>
                        <w:sz w:val="18"/>
                      </w:rPr>
                      <m:t>500−300</m:t>
                    </m:r>
                    <m:ctrlPr>
                      <w:rPr>
                        <w:rFonts w:ascii="Cambria Math" w:hAnsi="Cambria Math" w:cs="Arial"/>
                        <w:i/>
                        <w:sz w:val="18"/>
                      </w:rPr>
                    </m:ctrlPr>
                  </m:den>
                </m:f>
                <m:r>
                  <m:rPr/>
                  <w:rPr>
                    <w:rFonts w:ascii="Cambria Math" w:hAnsi="Cambria Math" w:cs="Arial"/>
                    <w:sz w:val="18"/>
                  </w:rPr>
                  <m:t>)</m:t>
                </m:r>
              </m:oMath>
            </m:oMathPara>
          </w:p>
        </w:tc>
        <w:tc>
          <w:tcPr>
            <w:tcW w:w="1982"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63" w:type="dxa"/>
          </w:tcPr>
          <w:p>
            <w:pPr>
              <w:keepNext/>
              <w:keepLines/>
              <w:spacing w:after="0"/>
              <w:jc w:val="center"/>
              <w:rPr>
                <w:rFonts w:ascii="Arial" w:hAnsi="Arial"/>
                <w:sz w:val="18"/>
                <w:lang w:eastAsia="en-GB"/>
              </w:rPr>
            </w:pPr>
            <w:r>
              <w:rPr>
                <w:rFonts w:ascii="Arial" w:hAnsi="Arial"/>
                <w:sz w:val="18"/>
                <w:lang w:eastAsia="en-GB"/>
              </w:rPr>
              <w:t>500 - 1700</w:t>
            </w:r>
          </w:p>
        </w:tc>
        <w:tc>
          <w:tcPr>
            <w:tcW w:w="3739" w:type="dxa"/>
          </w:tcPr>
          <w:p>
            <w:pPr>
              <w:keepNext/>
              <w:keepLines/>
              <w:spacing w:after="0"/>
              <w:jc w:val="center"/>
              <w:rPr>
                <w:rFonts w:ascii="Arial" w:hAnsi="Arial"/>
                <w:sz w:val="18"/>
                <w:lang w:eastAsia="en-GB"/>
              </w:rPr>
            </w:pPr>
            <w:r>
              <w:rPr>
                <w:rFonts w:ascii="Arial" w:hAnsi="Arial"/>
                <w:sz w:val="18"/>
                <w:lang w:eastAsia="en-GB"/>
              </w:rPr>
              <w:t>-33.5</w:t>
            </w:r>
          </w:p>
        </w:tc>
        <w:tc>
          <w:tcPr>
            <w:tcW w:w="1982"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84" w:type="dxa"/>
            <w:gridSpan w:val="3"/>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The limit shall be calculated for the measurement frequency F given in kHz, cantered in the measurement bandwidth.</w:t>
            </w:r>
          </w:p>
          <w:p>
            <w:pPr>
              <w:keepNext/>
              <w:keepLines/>
              <w:spacing w:after="0"/>
              <w:ind w:left="851" w:hanging="851"/>
              <w:rPr>
                <w:rFonts w:ascii="Arial" w:hAnsi="Arial"/>
                <w:sz w:val="18"/>
                <w:lang w:eastAsia="en-GB"/>
              </w:rPr>
            </w:pPr>
            <w:r>
              <w:rPr>
                <w:rFonts w:ascii="Arial" w:hAnsi="Arial"/>
                <w:sz w:val="18"/>
              </w:rPr>
              <w:t>Note 2:</w:t>
            </w:r>
            <w:r>
              <w:rPr>
                <w:rFonts w:ascii="Arial" w:hAnsi="Arial"/>
                <w:sz w:val="18"/>
              </w:rPr>
              <w:tab/>
            </w:r>
            <w:r>
              <w:rPr>
                <w:rFonts w:ascii="Arial" w:hAnsi="Arial"/>
                <w:sz w:val="18"/>
              </w:rPr>
              <w:t>At the boundary of spectrum emission limit, the first and last measurement position with a 30 kHz filter is the inside of +</w:t>
            </w:r>
            <w:r>
              <w:rPr>
                <w:rFonts w:ascii="Arial" w:hAnsi="Arial"/>
                <w:sz w:val="18"/>
                <w:lang w:eastAsia="en-GB"/>
              </w:rPr>
              <w:t>15 kHz</w:t>
            </w:r>
            <w:r>
              <w:rPr>
                <w:rFonts w:ascii="Arial" w:hAnsi="Arial"/>
                <w:sz w:val="18"/>
              </w:rPr>
              <w:t xml:space="preserve"> and -</w:t>
            </w:r>
            <w:r>
              <w:rPr>
                <w:rFonts w:ascii="Arial" w:hAnsi="Arial"/>
                <w:sz w:val="18"/>
                <w:lang w:eastAsia="en-GB"/>
              </w:rPr>
              <w:t>15 k</w:t>
            </w:r>
            <w:r>
              <w:rPr>
                <w:rFonts w:ascii="Arial" w:hAnsi="Arial"/>
                <w:sz w:val="18"/>
              </w:rPr>
              <w:t>Hz, respectively. The filter shall be stepped to cover the whole range.</w:t>
            </w:r>
          </w:p>
        </w:tc>
      </w:tr>
    </w:tbl>
    <w:p>
      <w:pPr>
        <w:rPr>
          <w:lang w:eastAsia="en-GB"/>
        </w:rPr>
      </w:pPr>
    </w:p>
    <w:p>
      <w:pPr>
        <w:pStyle w:val="100"/>
        <w:keepLines/>
        <w:ind w:left="1135"/>
        <w:rPr>
          <w:lang w:eastAsia="en-GB"/>
        </w:rPr>
      </w:pPr>
      <w:r>
        <w:rPr>
          <w:lang w:eastAsia="en-GB"/>
        </w:rPr>
        <w:t>NOTE 1:</w:t>
      </w:r>
      <w:r>
        <w:rPr>
          <w:lang w:eastAsia="en-GB"/>
        </w:rPr>
        <w:tab/>
      </w:r>
      <w:r>
        <w:rPr>
          <w:lang w:eastAsia="en-GB"/>
        </w:rPr>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100"/>
        <w:keepLines/>
        <w:ind w:left="1135"/>
        <w:rPr>
          <w:lang w:eastAsia="en-GB"/>
        </w:rPr>
      </w:pPr>
      <w:r>
        <w:rPr>
          <w:lang w:eastAsia="en-GB"/>
        </w:rPr>
        <w:t>NOTE 2:</w:t>
      </w:r>
      <w:r>
        <w:rPr>
          <w:lang w:eastAsia="en-GB"/>
        </w:rPr>
        <w:tab/>
      </w:r>
      <w:r>
        <w:rPr>
          <w:lang w:eastAsia="en-GB"/>
        </w:rPr>
        <w:t>The minimum requirements in clause 6.5B.3.2.3 have been combined into table 6.5B.3.2.5-1 to reduce testing complexity and test time.</w:t>
      </w:r>
    </w:p>
    <w:p>
      <w:pPr>
        <w:pStyle w:val="6"/>
        <w:rPr>
          <w:snapToGrid w:val="0"/>
        </w:rPr>
      </w:pPr>
      <w:bookmarkStart w:id="1000" w:name="_Toc120570075"/>
      <w:bookmarkStart w:id="1001" w:name="_Toc111062065"/>
      <w:bookmarkStart w:id="1002" w:name="_Toc22222"/>
      <w:bookmarkStart w:id="1003" w:name="_Toc10053"/>
      <w:bookmarkStart w:id="1004" w:name="_Toc10519"/>
      <w:bookmarkStart w:id="1005" w:name="_Toc1229"/>
      <w:bookmarkStart w:id="1006" w:name="_Toc121162867"/>
      <w:bookmarkStart w:id="1007" w:name="_Toc18624"/>
      <w:bookmarkStart w:id="1008" w:name="_Toc4040"/>
      <w:bookmarkStart w:id="1009" w:name="_Toc18551"/>
      <w:r>
        <w:t>6.5B.3.3</w:t>
      </w:r>
      <w:r>
        <w:tab/>
      </w:r>
      <w:r>
        <w:rPr>
          <w:snapToGrid w:val="0"/>
        </w:rPr>
        <w:t>Additional Spectrum Emission Mask for category NB1 and NB2</w:t>
      </w:r>
      <w:bookmarkEnd w:id="1000"/>
      <w:bookmarkEnd w:id="1001"/>
      <w:bookmarkEnd w:id="1002"/>
      <w:bookmarkEnd w:id="1003"/>
      <w:bookmarkEnd w:id="1004"/>
      <w:bookmarkEnd w:id="1005"/>
      <w:bookmarkEnd w:id="1006"/>
      <w:bookmarkEnd w:id="1007"/>
      <w:bookmarkEnd w:id="1008"/>
      <w:bookmarkEnd w:id="1009"/>
    </w:p>
    <w:p>
      <w:r>
        <w:t>The additional spectrum emission mask for category NB1 and NB2 is not applicable.</w:t>
      </w:r>
    </w:p>
    <w:p>
      <w:pPr>
        <w:pStyle w:val="6"/>
      </w:pPr>
      <w:bookmarkStart w:id="1010" w:name="_Toc120570076"/>
      <w:bookmarkStart w:id="1011" w:name="_Toc4418"/>
      <w:bookmarkStart w:id="1012" w:name="_Toc30913"/>
      <w:bookmarkStart w:id="1013" w:name="_Toc121162868"/>
      <w:bookmarkStart w:id="1014" w:name="_Toc9203"/>
      <w:bookmarkStart w:id="1015" w:name="_Toc111062066"/>
      <w:bookmarkStart w:id="1016" w:name="_Toc25813"/>
      <w:bookmarkStart w:id="1017" w:name="_Toc28739"/>
      <w:bookmarkStart w:id="1018" w:name="_Toc15743"/>
      <w:bookmarkStart w:id="1019" w:name="_Toc9121"/>
      <w:r>
        <w:t>6.5B.3.4</w:t>
      </w:r>
      <w:r>
        <w:tab/>
      </w:r>
      <w:r>
        <w:rPr>
          <w:snapToGrid w:val="0"/>
        </w:rPr>
        <w:t>Adjacent Channel Leakage Ratio for category NB1 and NB2</w:t>
      </w:r>
      <w:bookmarkEnd w:id="1010"/>
      <w:bookmarkEnd w:id="1011"/>
      <w:bookmarkEnd w:id="1012"/>
      <w:bookmarkEnd w:id="1013"/>
      <w:bookmarkEnd w:id="1014"/>
      <w:bookmarkEnd w:id="1015"/>
      <w:bookmarkEnd w:id="1016"/>
      <w:bookmarkEnd w:id="1017"/>
      <w:bookmarkEnd w:id="1018"/>
      <w:bookmarkEnd w:id="1019"/>
    </w:p>
    <w:p>
      <w:pPr>
        <w:pStyle w:val="112"/>
        <w:rPr>
          <w:lang w:val="en-US"/>
        </w:rPr>
      </w:pPr>
      <w:r>
        <w:t>Editor’s Note: Addition to applicability spec is pending.</w:t>
      </w:r>
    </w:p>
    <w:p>
      <w:pPr>
        <w:keepNext/>
        <w:keepLines/>
        <w:spacing w:before="120"/>
        <w:ind w:left="1985" w:hanging="1985"/>
        <w:rPr>
          <w:rFonts w:ascii="Arial" w:hAnsi="Arial"/>
          <w:lang w:eastAsia="en-GB"/>
        </w:rPr>
      </w:pPr>
      <w:r>
        <w:rPr>
          <w:rFonts w:ascii="Arial" w:hAnsi="Arial"/>
          <w:lang w:eastAsia="en-GB"/>
        </w:rPr>
        <w:t>6.</w:t>
      </w:r>
      <w:bookmarkStart w:id="1020" w:name="_Hlk140828933"/>
      <w:r>
        <w:rPr>
          <w:rFonts w:ascii="Arial" w:hAnsi="Arial"/>
          <w:lang w:eastAsia="en-GB"/>
        </w:rPr>
        <w:t>5B.3.4</w:t>
      </w:r>
      <w:bookmarkEnd w:id="1020"/>
      <w:r>
        <w:rPr>
          <w:rFonts w:ascii="Arial" w:hAnsi="Arial"/>
          <w:lang w:eastAsia="en-GB"/>
        </w:rPr>
        <w:t>.1</w:t>
      </w:r>
      <w:r>
        <w:rPr>
          <w:rFonts w:ascii="Arial" w:hAnsi="Arial"/>
          <w:lang w:eastAsia="en-GB"/>
        </w:rPr>
        <w:tab/>
      </w:r>
      <w:r>
        <w:rPr>
          <w:rFonts w:ascii="Arial" w:hAnsi="Arial"/>
          <w:lang w:eastAsia="en-GB"/>
        </w:rPr>
        <w:t>Test purpose</w:t>
      </w:r>
    </w:p>
    <w:p>
      <w:pPr>
        <w:rPr>
          <w:lang w:eastAsia="en-GB"/>
        </w:rPr>
      </w:pPr>
      <w:r>
        <w:rPr>
          <w:lang w:eastAsia="en-GB"/>
        </w:rPr>
        <w:t>To verify that UE transmitter does not cause unacceptable interference to adjacent channels in terms of Adjacent Channel Leakage power Ratio (ACLR).</w:t>
      </w:r>
    </w:p>
    <w:p>
      <w:pPr>
        <w:keepNext/>
        <w:keepLines/>
        <w:spacing w:before="120"/>
        <w:ind w:left="1985" w:hanging="1985"/>
        <w:rPr>
          <w:rFonts w:ascii="Arial" w:hAnsi="Arial"/>
          <w:lang w:eastAsia="en-GB"/>
        </w:rPr>
      </w:pPr>
      <w:r>
        <w:rPr>
          <w:rFonts w:ascii="Arial" w:hAnsi="Arial"/>
          <w:lang w:eastAsia="en-GB"/>
        </w:rPr>
        <w:t>6.5B.3.4.2</w:t>
      </w:r>
      <w:r>
        <w:rPr>
          <w:rFonts w:ascii="Arial" w:hAnsi="Arial"/>
          <w:lang w:eastAsia="en-GB"/>
        </w:rPr>
        <w:tab/>
      </w:r>
      <w:r>
        <w:rPr>
          <w:rFonts w:ascii="Arial" w:hAnsi="Arial"/>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lang w:eastAsia="en-GB"/>
        </w:rPr>
      </w:pPr>
      <w:r>
        <w:rPr>
          <w:rFonts w:ascii="Arial" w:hAnsi="Arial"/>
          <w:lang w:eastAsia="en-GB"/>
        </w:rPr>
        <w:t>6.5B.3.4.3</w:t>
      </w:r>
      <w:r>
        <w:rPr>
          <w:rFonts w:ascii="Arial" w:hAnsi="Arial"/>
          <w:lang w:eastAsia="en-GB"/>
        </w:rPr>
        <w:tab/>
      </w:r>
      <w:r>
        <w:rPr>
          <w:rFonts w:ascii="Arial" w:hAnsi="Arial"/>
          <w:lang w:eastAsia="en-GB"/>
        </w:rPr>
        <w:t>Minimum conformance requirements</w:t>
      </w:r>
    </w:p>
    <w:p>
      <w:pPr>
        <w:rPr>
          <w:rFonts w:cs="v5.0.0"/>
          <w:lang w:eastAsia="en-GB"/>
        </w:rPr>
      </w:pPr>
      <w:r>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Pr>
          <w:rFonts w:cs="v5.0.0"/>
          <w:lang w:eastAsia="en-GB"/>
        </w:rPr>
        <w:t xml:space="preserve">Table 6.5B.3.4-1. If the measured adjacent channel power is greater than –50dBm then the category NB1 or NB2 UE </w:t>
      </w:r>
      <w:r>
        <w:rPr>
          <w:lang w:eastAsia="en-GB"/>
        </w:rPr>
        <w:t xml:space="preserve">ACLR </w:t>
      </w:r>
      <w:r>
        <w:rPr>
          <w:rFonts w:cs="v5.0.0"/>
          <w:lang w:eastAsia="en-GB"/>
        </w:rPr>
        <w:t>shall be higher than the value specified in Table 6.5B.3.4-1.</w:t>
      </w:r>
      <w:r>
        <w:rPr>
          <w:lang w:eastAsia="en-GB"/>
        </w:rPr>
        <w:t xml:space="preserve"> GSM</w:t>
      </w:r>
      <w:r>
        <w:rPr>
          <w:vertAlign w:val="subscript"/>
          <w:lang w:eastAsia="en-GB"/>
        </w:rPr>
        <w:t xml:space="preserve">ACLR </w:t>
      </w:r>
      <w:r>
        <w:rPr>
          <w:lang w:eastAsia="en-GB"/>
        </w:rPr>
        <w:t>requirement is intended for protection of GSM system. UTRA</w:t>
      </w:r>
      <w:r>
        <w:rPr>
          <w:vertAlign w:val="subscript"/>
          <w:lang w:eastAsia="en-GB"/>
        </w:rPr>
        <w:t xml:space="preserve">ACLR </w:t>
      </w:r>
      <w:r>
        <w:rPr>
          <w:lang w:eastAsia="en-GB"/>
        </w:rPr>
        <w:t>requirement is intended for protection of UTRA and E-UTRA systems.</w:t>
      </w:r>
    </w:p>
    <w:p>
      <w:pPr>
        <w:keepNext/>
        <w:keepLines/>
        <w:spacing w:before="60"/>
        <w:jc w:val="center"/>
        <w:rPr>
          <w:rFonts w:ascii="Arial" w:hAnsi="Arial"/>
          <w:b/>
          <w:lang w:eastAsia="en-GB"/>
        </w:rPr>
      </w:pPr>
      <w:r>
        <w:rPr>
          <w:rFonts w:ascii="Arial" w:hAnsi="Arial"/>
          <w:b/>
          <w:lang w:eastAsia="en-GB"/>
        </w:rPr>
        <w:t>Table 6.5B.3.4-1: category NB1 and NB2 UE ACLR requirements</w:t>
      </w:r>
    </w:p>
    <w:tbl>
      <w:tblPr>
        <w:tblStyle w:val="89"/>
        <w:tblW w:w="5038" w:type="dxa"/>
        <w:jc w:val="center"/>
        <w:tblLayout w:type="autofit"/>
        <w:tblCellMar>
          <w:top w:w="0" w:type="dxa"/>
          <w:left w:w="108" w:type="dxa"/>
          <w:bottom w:w="0" w:type="dxa"/>
          <w:right w:w="108" w:type="dxa"/>
        </w:tblCellMar>
      </w:tblPr>
      <w:tblGrid>
        <w:gridCol w:w="2420"/>
        <w:gridCol w:w="1309"/>
        <w:gridCol w:w="1309"/>
      </w:tblGrid>
      <w:tr>
        <w:tblPrEx>
          <w:tblCellMar>
            <w:top w:w="0" w:type="dxa"/>
            <w:left w:w="108" w:type="dxa"/>
            <w:bottom w:w="0" w:type="dxa"/>
            <w:right w:w="108" w:type="dxa"/>
          </w:tblCellMar>
        </w:tblPrEx>
        <w:trPr>
          <w:trHeight w:val="288"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GSM</w:t>
            </w:r>
            <w:r>
              <w:rPr>
                <w:rFonts w:ascii="Arial" w:hAnsi="Arial"/>
                <w:b/>
                <w:sz w:val="18"/>
                <w:vertAlign w:val="subscript"/>
              </w:rPr>
              <w:t>ACLR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UTRA</w:t>
            </w:r>
            <w:r>
              <w:rPr>
                <w:rFonts w:ascii="Arial" w:hAnsi="Arial"/>
                <w:b/>
                <w:sz w:val="18"/>
                <w:vertAlign w:val="subscript"/>
              </w:rPr>
              <w:t>ACLR</w:t>
            </w:r>
          </w:p>
        </w:tc>
      </w:tr>
      <w:tr>
        <w:tblPrEx>
          <w:tblCellMar>
            <w:top w:w="0" w:type="dxa"/>
            <w:left w:w="108" w:type="dxa"/>
            <w:bottom w:w="0" w:type="dxa"/>
            <w:right w:w="108" w:type="dxa"/>
          </w:tblCellMar>
        </w:tblPrEx>
        <w:trPr>
          <w:trHeight w:val="288" w:hRule="atLeast"/>
          <w:jc w:val="center"/>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ACLR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20 dB</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37 dB</w:t>
            </w:r>
          </w:p>
        </w:tc>
      </w:tr>
      <w:tr>
        <w:tblPrEx>
          <w:tblCellMar>
            <w:top w:w="0" w:type="dxa"/>
            <w:left w:w="108" w:type="dxa"/>
            <w:bottom w:w="0" w:type="dxa"/>
            <w:right w:w="108" w:type="dxa"/>
          </w:tblCellMar>
        </w:tblPrEx>
        <w:trPr>
          <w:trHeight w:val="288" w:hRule="atLeast"/>
          <w:jc w:val="center"/>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Adjacent channel</w:t>
            </w:r>
            <w:r>
              <w:rPr>
                <w:rFonts w:ascii="Arial" w:hAnsi="Arial"/>
                <w:b/>
                <w:sz w:val="18"/>
              </w:rPr>
              <w:br w:type="textWrapping"/>
            </w:r>
            <w:r>
              <w:rPr>
                <w:rFonts w:ascii="Arial" w:hAnsi="Arial"/>
                <w:b/>
                <w:sz w:val="18"/>
              </w:rPr>
              <w:t>centre frequency offset</w:t>
            </w:r>
            <w:r>
              <w:rPr>
                <w:rFonts w:ascii="Arial" w:hAnsi="Arial"/>
                <w:b/>
                <w:sz w:val="18"/>
              </w:rPr>
              <w:br w:type="textWrapping"/>
            </w:r>
            <w:r>
              <w:rPr>
                <w:rFonts w:ascii="Arial" w:hAnsi="Arial"/>
                <w:b/>
                <w:sz w:val="18"/>
              </w:rPr>
              <w:t>from category NB1 or NB2 Channel edge</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±200 kHz</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±2.5 MHz</w:t>
            </w:r>
          </w:p>
        </w:tc>
      </w:tr>
      <w:tr>
        <w:tblPrEx>
          <w:tblCellMar>
            <w:top w:w="0" w:type="dxa"/>
            <w:left w:w="108" w:type="dxa"/>
            <w:bottom w:w="0" w:type="dxa"/>
            <w:right w:w="108" w:type="dxa"/>
          </w:tblCellMar>
        </w:tblPrEx>
        <w:trPr>
          <w:trHeight w:val="576" w:hRule="atLeast"/>
          <w:jc w:val="center"/>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Adjacent channel</w:t>
            </w:r>
            <w:r>
              <w:rPr>
                <w:rFonts w:ascii="Arial" w:hAnsi="Arial"/>
                <w:b/>
                <w:sz w:val="18"/>
              </w:rPr>
              <w:br w:type="textWrapping"/>
            </w:r>
            <w:r>
              <w:rPr>
                <w:rFonts w:ascii="Arial" w:hAnsi="Arial"/>
                <w:b/>
                <w:sz w:val="18"/>
              </w:rPr>
              <w:t>measurement bandwidth</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3.84 MHz</w:t>
            </w:r>
          </w:p>
        </w:tc>
      </w:tr>
      <w:tr>
        <w:tblPrEx>
          <w:tblCellMar>
            <w:top w:w="0" w:type="dxa"/>
            <w:left w:w="108" w:type="dxa"/>
            <w:bottom w:w="0" w:type="dxa"/>
            <w:right w:w="108" w:type="dxa"/>
          </w:tblCellMar>
        </w:tblPrEx>
        <w:trPr>
          <w:trHeight w:val="876" w:hRule="atLeast"/>
          <w:jc w:val="center"/>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Measurement filter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RRC-filter α=0.22</w:t>
            </w:r>
          </w:p>
        </w:tc>
      </w:tr>
      <w:tr>
        <w:tblPrEx>
          <w:tblCellMar>
            <w:top w:w="0" w:type="dxa"/>
            <w:left w:w="108" w:type="dxa"/>
            <w:bottom w:w="0" w:type="dxa"/>
            <w:right w:w="108" w:type="dxa"/>
          </w:tblCellMar>
        </w:tblPrEx>
        <w:trPr>
          <w:trHeight w:val="876"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Category NB1 and NB2 channel measurement bandwidth</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r>
      <w:tr>
        <w:tblPrEx>
          <w:tblCellMar>
            <w:top w:w="0" w:type="dxa"/>
            <w:left w:w="108" w:type="dxa"/>
            <w:bottom w:w="0" w:type="dxa"/>
            <w:right w:w="108" w:type="dxa"/>
          </w:tblCellMar>
        </w:tblPrEx>
        <w:trPr>
          <w:trHeight w:val="876"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Category NB1 and NB2 channel Measurement filter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r>
    </w:tbl>
    <w:p>
      <w:pPr>
        <w:rPr>
          <w:lang w:eastAsia="en-GB"/>
        </w:rPr>
      </w:pPr>
    </w:p>
    <w:p>
      <w:pPr>
        <w:rPr>
          <w:lang w:eastAsia="en-GB"/>
        </w:rPr>
      </w:pPr>
      <w:r>
        <w:rPr>
          <w:lang w:eastAsia="en-GB"/>
        </w:rPr>
        <w:t>The normative reference for this requirement is TS 36.102[11] subclause 6.5B.3.4.</w:t>
      </w:r>
    </w:p>
    <w:p>
      <w:pPr>
        <w:pStyle w:val="9"/>
        <w:rPr>
          <w:lang w:eastAsia="en-GB"/>
        </w:rPr>
      </w:pPr>
      <w:r>
        <w:rPr>
          <w:lang w:eastAsia="en-GB"/>
        </w:rPr>
        <w:t>6.5B.3.4.4</w:t>
      </w:r>
      <w:r>
        <w:rPr>
          <w:lang w:eastAsia="en-GB"/>
        </w:rPr>
        <w:tab/>
      </w:r>
      <w:r>
        <w:rPr>
          <w:lang w:eastAsia="en-GB"/>
        </w:rPr>
        <w:t>Test description</w:t>
      </w:r>
    </w:p>
    <w:p>
      <w:pPr>
        <w:keepNext/>
        <w:keepLines/>
        <w:spacing w:before="120"/>
        <w:ind w:left="1985" w:hanging="1985"/>
        <w:rPr>
          <w:rFonts w:ascii="Arial" w:hAnsi="Arial"/>
          <w:snapToGrid w:val="0"/>
          <w:lang w:eastAsia="en-GB"/>
        </w:rPr>
      </w:pPr>
      <w:r>
        <w:rPr>
          <w:rFonts w:ascii="Arial" w:hAnsi="Arial"/>
          <w:lang w:eastAsia="en-GB"/>
        </w:rPr>
        <w:t>6.5B.3.4.4.1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r>
        <w:rPr>
          <w:rFonts w:cs="v5.0.0"/>
          <w:lang w:eastAsia="en-GB"/>
        </w:rPr>
        <w:t>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6.5B.3.4.4.1-1: Test Configuration Table</w:t>
      </w:r>
      <w:r>
        <w:rPr>
          <w:rFonts w:ascii="Arial" w:hAnsi="Arial"/>
          <w:b/>
        </w:rPr>
        <w:t xml:space="preserve"> for FDD </w:t>
      </w:r>
    </w:p>
    <w:tbl>
      <w:tblPr>
        <w:tblStyle w:val="89"/>
        <w:tblW w:w="9340" w:type="dxa"/>
        <w:jc w:val="center"/>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b/>
                <w:sz w:val="18"/>
                <w:highlight w:val="green"/>
              </w:rPr>
            </w:pPr>
            <w:r>
              <w:rPr>
                <w:rFonts w:ascii="Arial" w:hAnsi="Arial"/>
                <w:b/>
                <w:sz w:val="18"/>
              </w:rPr>
              <w:t>Initial Conditions</w:t>
            </w:r>
          </w:p>
        </w:tc>
      </w:tr>
      <w:tr>
        <w:tblPrEx>
          <w:shd w:val="clear" w:color="auto" w:fill="FFFFFF"/>
          <w:tblCellMar>
            <w:top w:w="0" w:type="dxa"/>
            <w:left w:w="0" w:type="dxa"/>
            <w:bottom w:w="0" w:type="dxa"/>
            <w:right w:w="0" w:type="dxa"/>
          </w:tblCellMar>
        </w:tblPrEx>
        <w:trPr>
          <w:cantSplit/>
          <w:jc w:val="center"/>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r>
              <w:rPr>
                <w:rFonts w:ascii="Arial" w:hAnsi="Arial"/>
                <w:sz w:val="18"/>
              </w:rPr>
              <w:t>Test Environment as specified in</w:t>
            </w:r>
          </w:p>
          <w:p>
            <w:pPr>
              <w:keepNext/>
              <w:keepLines/>
              <w:spacing w:after="0"/>
              <w:jc w:val="center"/>
              <w:rPr>
                <w:rFonts w:ascii="Arial" w:hAnsi="Arial"/>
                <w:sz w:val="18"/>
              </w:rPr>
            </w:pPr>
            <w:r>
              <w:rPr>
                <w:rFonts w:ascii="Arial" w:hAnsi="Arial"/>
                <w:sz w:val="18"/>
              </w:rPr>
              <w:t>TS 36.508[12] subclause 8.1.1</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bCs/>
                <w:sz w:val="18"/>
              </w:rPr>
              <w:t xml:space="preserve">NC, </w:t>
            </w:r>
            <w:r>
              <w:rPr>
                <w:rFonts w:ascii="Arial" w:hAnsi="Arial"/>
                <w:sz w:val="18"/>
              </w:rPr>
              <w:t>TL/VL, TL/VH, TH/VL, TH/VH</w:t>
            </w:r>
          </w:p>
        </w:tc>
      </w:tr>
      <w:tr>
        <w:tblPrEx>
          <w:shd w:val="clear" w:color="auto" w:fill="FFFFFF"/>
          <w:tblCellMar>
            <w:top w:w="0" w:type="dxa"/>
            <w:left w:w="0" w:type="dxa"/>
            <w:bottom w:w="0" w:type="dxa"/>
            <w:right w:w="0" w:type="dxa"/>
          </w:tblCellMar>
        </w:tblPrEx>
        <w:trPr>
          <w:cantSplit/>
          <w:jc w:val="center"/>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r>
              <w:rPr>
                <w:rFonts w:ascii="Arial" w:hAnsi="Arial"/>
                <w:sz w:val="18"/>
              </w:rPr>
              <w:t>Test Frequencies as specified in</w:t>
            </w:r>
          </w:p>
          <w:p>
            <w:pPr>
              <w:keepNext/>
              <w:keepLines/>
              <w:spacing w:after="0"/>
              <w:jc w:val="center"/>
              <w:rPr>
                <w:rFonts w:ascii="Arial" w:hAnsi="Arial"/>
                <w:sz w:val="18"/>
              </w:rPr>
            </w:pPr>
            <w:r>
              <w:rPr>
                <w:rFonts w:ascii="Arial" w:hAnsi="Arial"/>
                <w:sz w:val="18"/>
              </w:rPr>
              <w:t>TS 36.508[12] subclause 8.1.3.1</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eastAsia="微软雅黑" w:cs="Arial"/>
                <w:sz w:val="18"/>
                <w:lang w:eastAsia="en-GB"/>
              </w:rPr>
              <w:t>Frequency ranges defined in Annex K.1.2</w:t>
            </w:r>
          </w:p>
        </w:tc>
      </w:tr>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b/>
                <w:sz w:val="18"/>
              </w:rPr>
            </w:pPr>
            <w:r>
              <w:rPr>
                <w:rFonts w:ascii="Arial" w:hAnsi="Arial"/>
                <w:b/>
                <w:sz w:val="18"/>
              </w:rPr>
              <w:t>Test Parameters</w:t>
            </w:r>
          </w:p>
        </w:tc>
      </w:tr>
      <w:tr>
        <w:tblPrEx>
          <w:shd w:val="clear" w:color="auto" w:fill="FFFFFF"/>
          <w:tblCellMar>
            <w:top w:w="0" w:type="dxa"/>
            <w:left w:w="0" w:type="dxa"/>
            <w:bottom w:w="0" w:type="dxa"/>
            <w:right w:w="0" w:type="dxa"/>
          </w:tblCellMar>
        </w:tblPrEx>
        <w:trPr>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b/>
                <w:sz w:val="18"/>
              </w:rPr>
            </w:pPr>
            <w:r>
              <w:rPr>
                <w:rFonts w:ascii="Arial" w:hAnsi="Arial"/>
                <w:b/>
                <w:sz w:val="18"/>
              </w:rPr>
              <w:t>Configuration ID</w:t>
            </w:r>
          </w:p>
        </w:tc>
        <w:tc>
          <w:tcPr>
            <w:tcW w:w="2616"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Downlink Configuration</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Uplink Configuration</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p>
        </w:tc>
        <w:tc>
          <w:tcPr>
            <w:tcW w:w="2616" w:type="dxa"/>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vAlign w:val="center"/>
          </w:tcPr>
          <w:p>
            <w:pPr>
              <w:keepNext/>
              <w:keepLines/>
              <w:spacing w:after="0"/>
              <w:jc w:val="center"/>
              <w:rPr>
                <w:rFonts w:ascii="Arial" w:hAnsi="Arial"/>
                <w:sz w:val="18"/>
              </w:rPr>
            </w:pPr>
            <w:r>
              <w:rPr>
                <w:rFonts w:ascii="Arial" w:hAnsi="Arial"/>
                <w:sz w:val="18"/>
              </w:rPr>
              <w:t>N/A</w:t>
            </w: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Modulation</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Sub-carrier spacing (kHz)</w:t>
            </w:r>
          </w:p>
        </w:tc>
      </w:tr>
      <w:tr>
        <w:tblPrEx>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r>
              <w:rPr>
                <w:rFonts w:ascii="Arial" w:hAnsi="Arial" w:cs="Arial"/>
                <w:sz w:val="18"/>
                <w:lang w:eastAsia="en-GB"/>
              </w:rPr>
              <w:t>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3.75kHz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r>
              <w:rPr>
                <w:rFonts w:ascii="Arial" w:hAnsi="Arial" w:cs="Arial"/>
                <w:sz w:val="18"/>
                <w:lang w:eastAsia="en-GB"/>
              </w:rPr>
              <w:t>2</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w:t>
            </w:r>
            <w:r>
              <w:rPr>
                <w:rFonts w:ascii="Arial" w:hAnsi="Arial"/>
                <w:sz w:val="18"/>
                <w:lang w:eastAsia="en-GB"/>
              </w:rPr>
              <w:t>47</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3.75kHz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3</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4</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w:t>
            </w:r>
            <w:r>
              <w:rPr>
                <w:rFonts w:ascii="Arial" w:hAnsi="Arial"/>
                <w:sz w:val="18"/>
                <w:lang w:eastAsia="en-GB"/>
              </w:rPr>
              <w:t>11</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5</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6</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3@3</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7</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3@9</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8</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6@0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9</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6@6</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10</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12@0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ind w:left="851" w:hanging="851"/>
              <w:rPr>
                <w:rFonts w:ascii="Arial" w:hAnsi="Arial"/>
                <w:sz w:val="18"/>
                <w:highlight w:val="green"/>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lang w:eastAsia="en-GB"/>
        </w:rP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the SS to the UE antenna connectors as shown in Figure TS 36.508 [12] Annex A, Figure A.3 using only main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H.1.1 and H.4.0.</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The UL Reference Measurement channels are set according to Table 6.5B.3.4.4.1-1.</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UE location according to TS 36.508 [12] clause 8.2.6.1 is provided to the UE through any preconfigured means.</w:t>
      </w:r>
    </w:p>
    <w:p>
      <w:pPr>
        <w:pStyle w:val="111"/>
        <w:overflowPunct w:val="0"/>
        <w:autoSpaceDE w:val="0"/>
        <w:autoSpaceDN w:val="0"/>
        <w:adjustRightInd w:val="0"/>
        <w:ind w:left="568"/>
        <w:contextualSpacing w:val="0"/>
        <w:textAlignment w:val="baseline"/>
        <w:rPr>
          <w:lang w:eastAsia="en-GB"/>
        </w:rPr>
      </w:pPr>
      <w:r>
        <w:rPr>
          <w:rFonts w:hint="eastAsia"/>
          <w:lang w:eastAsia="en-GB"/>
        </w:rPr>
        <w:t>7</w:t>
      </w:r>
      <w:r>
        <w:rPr>
          <w:lang w:eastAsia="en-GB"/>
        </w:rPr>
        <w:t>.</w:t>
      </w:r>
      <w:r>
        <w:rPr>
          <w:lang w:eastAsia="en-GB"/>
        </w:rPr>
        <w:tab/>
      </w:r>
      <w:r>
        <w:rPr>
          <w:lang w:eastAsia="en-GB"/>
        </w:rPr>
        <w:t xml:space="preserve">Test equipment shall emulate </w:t>
      </w:r>
      <w:r>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Pr>
          <w:lang w:eastAsia="en-GB"/>
        </w:rPr>
        <w:t>. Test system shall send same SIB31-NB information during the duration of the test as define in TS 36.508[12] clause 8.2.6.3.1</w:t>
      </w:r>
    </w:p>
    <w:p>
      <w:pPr>
        <w:pStyle w:val="111"/>
        <w:overflowPunct w:val="0"/>
        <w:autoSpaceDE w:val="0"/>
        <w:autoSpaceDN w:val="0"/>
        <w:adjustRightInd w:val="0"/>
        <w:ind w:left="568"/>
        <w:contextualSpacing w:val="0"/>
        <w:textAlignment w:val="baseline"/>
        <w:rPr>
          <w:lang w:eastAsia="en-GB"/>
        </w:rPr>
      </w:pPr>
      <w:r>
        <w:rPr>
          <w:rFonts w:hint="eastAsia"/>
          <w:lang w:eastAsia="en-GB"/>
        </w:rPr>
        <w:t>8</w:t>
      </w:r>
      <w:r>
        <w:rPr>
          <w:lang w:eastAsia="en-GB"/>
        </w:rPr>
        <w:t>.</w:t>
      </w:r>
      <w:r>
        <w:rPr>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9.</w:t>
      </w:r>
      <w:r>
        <w:rPr>
          <w:lang w:eastAsia="en-GB"/>
        </w:rPr>
        <w:tab/>
      </w:r>
      <w:r>
        <w:rPr>
          <w:lang w:eastAsia="en-GB"/>
        </w:rPr>
        <w:t>Ensure the UE is in State 2A-NB with CP CIoT Optimisation according to TS 36.508 [12] clause 8.1.5. Message contents are defined in clause 6.5B.3.4.4.3.</w:t>
      </w:r>
    </w:p>
    <w:p>
      <w:pPr>
        <w:keepNext/>
        <w:keepLines/>
        <w:spacing w:before="120"/>
        <w:ind w:left="1985" w:hanging="1985"/>
        <w:rPr>
          <w:rFonts w:ascii="Arial" w:hAnsi="Arial"/>
          <w:snapToGrid w:val="0"/>
          <w:lang w:eastAsia="en-GB"/>
        </w:rPr>
      </w:pPr>
      <w:r>
        <w:rPr>
          <w:rFonts w:ascii="Arial" w:hAnsi="Arial"/>
          <w:snapToGrid w:val="0"/>
          <w:lang w:eastAsia="en-GB"/>
        </w:rPr>
        <w:t>6.5B.3.4.4.2</w:t>
      </w:r>
      <w:r>
        <w:rPr>
          <w:rFonts w:ascii="Arial" w:hAnsi="Arial"/>
          <w:snapToGrid w:val="0"/>
          <w:lang w:eastAsia="en-GB"/>
        </w:rPr>
        <w:tab/>
      </w:r>
      <w:r>
        <w:rPr>
          <w:rFonts w:ascii="Arial" w:hAnsi="Arial"/>
          <w:snapToGrid w:val="0"/>
          <w:lang w:eastAsia="en-GB"/>
        </w:rP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SS sends uplink scheduling information for the UL HARQ process via NPDCCH DCI format N0 for C_RNTI to schedule the UL RMC according to Table 6.5B.3.4.4.1-1. Since the UE has no payload data</w:t>
      </w:r>
      <w:r>
        <w:rPr>
          <w:color w:val="FFFF00"/>
          <w:lang w:eastAsia="en-GB"/>
        </w:rPr>
        <w:t xml:space="preserve"> </w:t>
      </w:r>
      <w:r>
        <w:rPr>
          <w:lang w:eastAsia="en-GB"/>
        </w:rPr>
        <w:t>to send, the UE transmits uplink MAC padding bits on the UL RMC. (UE should be already transmitting P</w:t>
      </w:r>
      <w:r>
        <w:rPr>
          <w:vertAlign w:val="subscript"/>
          <w:lang w:eastAsia="en-GB"/>
        </w:rPr>
        <w:t>UMAX</w:t>
      </w:r>
      <w:r>
        <w:rPr>
          <w:lang w:eastAsia="en-GB"/>
        </w:rPr>
        <w:t xml:space="preserve"> after Initial Conditions setting).</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Measure the mean power of the UE in the channel bandwidth of the radio access mode according to the test configuration, which shall meet the requirements described in Table 6.2B.2.4-1. The measurement period is at least</w:t>
      </w:r>
      <w:r>
        <w:rPr>
          <w:b/>
          <w:lang w:eastAsia="en-GB"/>
        </w:rPr>
        <w:t xml:space="preserve"> </w:t>
      </w:r>
      <w:r>
        <w:rPr>
          <w:lang w:eastAsia="en-GB"/>
        </w:rPr>
        <w:t>one sub-frame</w:t>
      </w:r>
      <w:r>
        <w:rPr>
          <w:b/>
          <w:lang w:eastAsia="en-GB"/>
        </w:rPr>
        <w:t xml:space="preserve"> (</w:t>
      </w:r>
      <w:r>
        <w:rPr>
          <w:lang w:eastAsia="en-GB"/>
        </w:rPr>
        <w:t xml:space="preserve">1ms) for 15 KHz channel spacing, and at least a 2ms slot (excluding the 2304Ts gap when UE is not transmitting) respectively for the 3.75 KHz channel spacing. </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Measure the rectangular filtered mean power for category NB1 or NB2 UE channel.</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Measure the rectangular filtered mean power of the GSM adjacent channel on both lower and upper side of the category NB1 or NB2 UE channel, respectively.</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Measure the RRC filtered mean power of UTRA adjacent channel on both lower and upper side of the category NB1 or NB2 UE channel, respectively.</w:t>
      </w:r>
    </w:p>
    <w:p>
      <w:pPr>
        <w:pStyle w:val="111"/>
        <w:overflowPunct w:val="0"/>
        <w:autoSpaceDE w:val="0"/>
        <w:autoSpaceDN w:val="0"/>
        <w:adjustRightInd w:val="0"/>
        <w:ind w:left="568"/>
        <w:contextualSpacing w:val="0"/>
        <w:textAlignment w:val="baseline"/>
        <w:rPr>
          <w:lang w:eastAsia="en-GB"/>
        </w:rPr>
      </w:pPr>
      <w:r>
        <w:rPr>
          <w:lang w:eastAsia="en-GB"/>
        </w:rPr>
        <w:t>6.</w:t>
      </w:r>
      <w:r>
        <w:rPr>
          <w:lang w:eastAsia="en-GB"/>
        </w:rPr>
        <w:tab/>
      </w:r>
      <w:r>
        <w:rPr>
          <w:lang w:eastAsia="en-GB"/>
        </w:rPr>
        <w:t xml:space="preserve">Calculate the ratios of the power between the value measured in step </w:t>
      </w:r>
      <w:r>
        <w:rPr>
          <w:rFonts w:eastAsia="MS Mincho"/>
          <w:lang w:eastAsia="en-GB"/>
        </w:rPr>
        <w:t>3</w:t>
      </w:r>
      <w:r>
        <w:rPr>
          <w:lang w:eastAsia="en-GB"/>
        </w:rPr>
        <w:t xml:space="preserve"> over step </w:t>
      </w:r>
      <w:r>
        <w:rPr>
          <w:rFonts w:eastAsia="MS Mincho"/>
          <w:lang w:eastAsia="en-GB"/>
        </w:rPr>
        <w:t>4</w:t>
      </w:r>
      <w:r>
        <w:rPr>
          <w:lang w:eastAsia="en-GB"/>
        </w:rPr>
        <w:t xml:space="preserve"> for lower and upper GSM</w:t>
      </w:r>
      <w:r>
        <w:rPr>
          <w:vertAlign w:val="subscript"/>
          <w:lang w:eastAsia="en-GB"/>
        </w:rPr>
        <w:t>ACLR</w:t>
      </w:r>
      <w:r>
        <w:rPr>
          <w:lang w:eastAsia="en-GB"/>
        </w:rPr>
        <w:t>.</w:t>
      </w:r>
    </w:p>
    <w:p>
      <w:pPr>
        <w:pStyle w:val="111"/>
        <w:overflowPunct w:val="0"/>
        <w:autoSpaceDE w:val="0"/>
        <w:autoSpaceDN w:val="0"/>
        <w:adjustRightInd w:val="0"/>
        <w:ind w:left="568"/>
        <w:contextualSpacing w:val="0"/>
        <w:textAlignment w:val="baseline"/>
        <w:rPr>
          <w:lang w:eastAsia="en-GB"/>
        </w:rPr>
      </w:pPr>
      <w:r>
        <w:rPr>
          <w:lang w:eastAsia="en-GB"/>
        </w:rPr>
        <w:t>7.</w:t>
      </w:r>
      <w:r>
        <w:rPr>
          <w:lang w:eastAsia="en-GB"/>
        </w:rPr>
        <w:tab/>
      </w:r>
      <w:r>
        <w:rPr>
          <w:lang w:eastAsia="en-GB"/>
        </w:rPr>
        <w:t xml:space="preserve">Calculated the ratio of the power between the value measured in step </w:t>
      </w:r>
      <w:r>
        <w:rPr>
          <w:rFonts w:eastAsia="MS Mincho"/>
          <w:lang w:eastAsia="en-GB"/>
        </w:rPr>
        <w:t>3</w:t>
      </w:r>
      <w:r>
        <w:rPr>
          <w:lang w:eastAsia="en-GB"/>
        </w:rPr>
        <w:t xml:space="preserve"> over step </w:t>
      </w:r>
      <w:r>
        <w:rPr>
          <w:rFonts w:eastAsia="MS Mincho"/>
          <w:lang w:eastAsia="en-GB"/>
        </w:rPr>
        <w:t xml:space="preserve">5 </w:t>
      </w:r>
      <w:r>
        <w:rPr>
          <w:lang w:eastAsia="en-GB"/>
        </w:rPr>
        <w:t>for lower and upper UTRA</w:t>
      </w:r>
      <w:r>
        <w:rPr>
          <w:vertAlign w:val="subscript"/>
          <w:lang w:eastAsia="en-GB"/>
        </w:rPr>
        <w:t>ACLR</w:t>
      </w:r>
      <w:r>
        <w:rPr>
          <w:lang w:eastAsia="en-GB"/>
        </w:rPr>
        <w:t>.</w:t>
      </w:r>
    </w:p>
    <w:p>
      <w:pPr>
        <w:pStyle w:val="100"/>
        <w:keepLines/>
        <w:ind w:left="1135"/>
        <w:rPr>
          <w:lang w:eastAsia="en-GB"/>
        </w:rPr>
      </w:pPr>
      <w:r>
        <w:rPr>
          <w:lang w:eastAsia="en-GB"/>
        </w:rPr>
        <w:t>NOTE 1:</w:t>
      </w:r>
      <w:r>
        <w:rPr>
          <w:lang w:eastAsia="en-GB"/>
        </w:rPr>
        <w:tab/>
      </w:r>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keepNext/>
        <w:keepLines/>
        <w:spacing w:before="120"/>
        <w:ind w:left="1985" w:hanging="1985"/>
        <w:rPr>
          <w:rFonts w:ascii="Arial" w:hAnsi="Arial"/>
          <w:snapToGrid w:val="0"/>
          <w:lang w:eastAsia="en-GB"/>
        </w:rPr>
      </w:pPr>
      <w:r>
        <w:rPr>
          <w:rFonts w:ascii="Arial" w:hAnsi="Arial"/>
          <w:snapToGrid w:val="0"/>
          <w:lang w:eastAsia="en-GB"/>
        </w:rPr>
        <w:t>6.5B.3.4.4.3</w:t>
      </w:r>
      <w:r>
        <w:rPr>
          <w:rFonts w:ascii="Arial" w:hAnsi="Arial"/>
          <w:snapToGrid w:val="0"/>
          <w:lang w:eastAsia="en-GB"/>
        </w:rPr>
        <w:tab/>
      </w:r>
      <w:r>
        <w:rPr>
          <w:rFonts w:ascii="Arial" w:hAnsi="Arial"/>
          <w:snapToGrid w:val="0"/>
          <w:lang w:eastAsia="en-GB"/>
        </w:rPr>
        <w:t>Message contents</w:t>
      </w:r>
    </w:p>
    <w:p>
      <w:pPr>
        <w:rPr>
          <w:lang w:eastAsia="en-GB"/>
        </w:rPr>
      </w:pPr>
      <w:r>
        <w:rPr>
          <w:lang w:eastAsia="en-GB"/>
        </w:rPr>
        <w:t>Message contents are according to TS 36.508 [12] subclause 8.1.6.</w:t>
      </w:r>
    </w:p>
    <w:p>
      <w:pPr>
        <w:pStyle w:val="9"/>
        <w:rPr>
          <w:lang w:eastAsia="en-GB"/>
        </w:rPr>
      </w:pPr>
      <w:r>
        <w:rPr>
          <w:lang w:eastAsia="en-GB"/>
        </w:rPr>
        <w:t>6.5B.3.4.5</w:t>
      </w:r>
      <w:r>
        <w:rPr>
          <w:lang w:eastAsia="en-GB"/>
        </w:rPr>
        <w:tab/>
      </w:r>
      <w:r>
        <w:rPr>
          <w:lang w:eastAsia="en-GB"/>
        </w:rPr>
        <w:t>Test requirement</w:t>
      </w:r>
    </w:p>
    <w:p>
      <w:pPr>
        <w:ind w:left="568" w:hanging="284"/>
        <w:rPr>
          <w:lang w:eastAsia="en-GB"/>
        </w:rPr>
      </w:pPr>
      <w:r>
        <w:rPr>
          <w:lang w:eastAsia="en-GB"/>
        </w:rPr>
        <w:t>-</w:t>
      </w:r>
      <w:r>
        <w:rPr>
          <w:lang w:eastAsia="en-GB"/>
        </w:rPr>
        <w:tab/>
      </w:r>
      <w:r>
        <w:rPr>
          <w:lang w:eastAsia="en-GB"/>
        </w:rPr>
        <w:t>The measured UE mean power in the channel bandwidth, derived in step 3, shall fulfil requirements in Table 6.2B.2.4-1 as appropriate,</w:t>
      </w:r>
    </w:p>
    <w:p>
      <w:pPr>
        <w:ind w:left="568" w:hanging="284"/>
        <w:rPr>
          <w:lang w:eastAsia="en-GB"/>
        </w:rPr>
      </w:pPr>
      <w:r>
        <w:rPr>
          <w:lang w:eastAsia="en-GB"/>
        </w:rPr>
        <w:t>and</w:t>
      </w:r>
    </w:p>
    <w:p>
      <w:pPr>
        <w:ind w:left="568" w:hanging="284"/>
        <w:rPr>
          <w:lang w:eastAsia="en-GB"/>
        </w:rPr>
      </w:pPr>
      <w:r>
        <w:rPr>
          <w:rFonts w:cs="v5.0.0"/>
          <w:lang w:eastAsia="en-GB"/>
        </w:rPr>
        <w:t>-</w:t>
      </w:r>
      <w:r>
        <w:rPr>
          <w:rFonts w:cs="v5.0.0"/>
          <w:lang w:eastAsia="en-GB"/>
        </w:rPr>
        <w:tab/>
      </w:r>
      <w:r>
        <w:rPr>
          <w:rFonts w:cs="v5.0.0"/>
          <w:lang w:eastAsia="en-GB"/>
        </w:rPr>
        <w:t>if the measured adjacent channel power is greater than –50 dBm then</w:t>
      </w:r>
      <w:r>
        <w:rPr>
          <w:lang w:eastAsia="en-GB"/>
        </w:rPr>
        <w:t xml:space="preserve"> the measured GSM</w:t>
      </w:r>
      <w:r>
        <w:rPr>
          <w:vertAlign w:val="subscript"/>
          <w:lang w:eastAsia="en-GB"/>
        </w:rPr>
        <w:t>ACLR</w:t>
      </w:r>
      <w:r>
        <w:rPr>
          <w:lang w:eastAsia="en-GB"/>
        </w:rPr>
        <w:t xml:space="preserve"> derived in step </w:t>
      </w:r>
      <w:r>
        <w:rPr>
          <w:rFonts w:eastAsia="MS Mincho"/>
          <w:lang w:eastAsia="en-GB"/>
        </w:rPr>
        <w:t>7</w:t>
      </w:r>
      <w:r>
        <w:rPr>
          <w:lang w:eastAsia="en-GB"/>
        </w:rPr>
        <w:t xml:space="preserve"> and UTRA</w:t>
      </w:r>
      <w:r>
        <w:rPr>
          <w:vertAlign w:val="subscript"/>
          <w:lang w:eastAsia="en-GB"/>
        </w:rPr>
        <w:t>ACLR</w:t>
      </w:r>
      <w:r>
        <w:rPr>
          <w:lang w:eastAsia="en-GB"/>
        </w:rPr>
        <w:t xml:space="preserve"> derived in step </w:t>
      </w:r>
      <w:r>
        <w:rPr>
          <w:rFonts w:eastAsia="MS Mincho"/>
          <w:lang w:eastAsia="en-GB"/>
        </w:rPr>
        <w:t>8</w:t>
      </w:r>
      <w:r>
        <w:rPr>
          <w:lang w:eastAsia="en-GB"/>
        </w:rPr>
        <w:t xml:space="preserve"> shall be higher than the limits in table 6.5B.3.4.5-1.</w:t>
      </w:r>
    </w:p>
    <w:p>
      <w:pPr>
        <w:keepNext/>
        <w:keepLines/>
        <w:spacing w:before="60"/>
        <w:jc w:val="center"/>
        <w:rPr>
          <w:rFonts w:ascii="Arial" w:hAnsi="Arial"/>
          <w:b/>
          <w:lang w:eastAsia="en-GB"/>
        </w:rPr>
      </w:pPr>
      <w:r>
        <w:rPr>
          <w:rFonts w:ascii="Arial" w:hAnsi="Arial"/>
          <w:b/>
          <w:lang w:eastAsia="en-GB"/>
        </w:rPr>
        <w:t>Table 6.5B.3.4.5-1: Category NB1 and UE ACLR Test requirements</w:t>
      </w:r>
    </w:p>
    <w:tbl>
      <w:tblPr>
        <w:tblStyle w:val="89"/>
        <w:tblW w:w="5038" w:type="dxa"/>
        <w:jc w:val="center"/>
        <w:tblLayout w:type="autofit"/>
        <w:tblCellMar>
          <w:top w:w="0" w:type="dxa"/>
          <w:left w:w="108" w:type="dxa"/>
          <w:bottom w:w="0" w:type="dxa"/>
          <w:right w:w="108" w:type="dxa"/>
        </w:tblCellMar>
      </w:tblPr>
      <w:tblGrid>
        <w:gridCol w:w="2420"/>
        <w:gridCol w:w="1309"/>
        <w:gridCol w:w="1309"/>
      </w:tblGrid>
      <w:tr>
        <w:tblPrEx>
          <w:tblCellMar>
            <w:top w:w="0" w:type="dxa"/>
            <w:left w:w="108" w:type="dxa"/>
            <w:bottom w:w="0" w:type="dxa"/>
            <w:right w:w="108" w:type="dxa"/>
          </w:tblCellMar>
        </w:tblPrEx>
        <w:trPr>
          <w:trHeight w:val="288"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GSM</w:t>
            </w:r>
            <w:r>
              <w:rPr>
                <w:rFonts w:ascii="Arial" w:hAnsi="Arial"/>
                <w:b/>
                <w:sz w:val="18"/>
                <w:vertAlign w:val="subscript"/>
              </w:rPr>
              <w:t>ACLR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UTRA</w:t>
            </w:r>
            <w:r>
              <w:rPr>
                <w:rFonts w:ascii="Arial" w:hAnsi="Arial"/>
                <w:b/>
                <w:sz w:val="18"/>
                <w:vertAlign w:val="subscript"/>
              </w:rPr>
              <w:t>ACLR</w:t>
            </w:r>
          </w:p>
        </w:tc>
      </w:tr>
      <w:tr>
        <w:tblPrEx>
          <w:tblCellMar>
            <w:top w:w="0" w:type="dxa"/>
            <w:left w:w="108" w:type="dxa"/>
            <w:bottom w:w="0" w:type="dxa"/>
            <w:right w:w="108" w:type="dxa"/>
          </w:tblCellMar>
        </w:tblPrEx>
        <w:trPr>
          <w:trHeight w:val="288" w:hRule="atLeast"/>
          <w:jc w:val="center"/>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ACLR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lang w:eastAsia="en-GB"/>
              </w:rPr>
              <w:t>19.2</w:t>
            </w:r>
            <w:r>
              <w:rPr>
                <w:rFonts w:ascii="Arial" w:hAnsi="Arial"/>
                <w:sz w:val="18"/>
              </w:rPr>
              <w:t xml:space="preserve"> dB</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lang w:eastAsia="en-GB"/>
              </w:rPr>
              <w:t>36.2</w:t>
            </w:r>
            <w:r>
              <w:rPr>
                <w:rFonts w:ascii="Arial" w:hAnsi="Arial"/>
                <w:sz w:val="18"/>
              </w:rPr>
              <w:t xml:space="preserve"> dB</w:t>
            </w:r>
          </w:p>
        </w:tc>
      </w:tr>
      <w:tr>
        <w:tblPrEx>
          <w:tblCellMar>
            <w:top w:w="0" w:type="dxa"/>
            <w:left w:w="108" w:type="dxa"/>
            <w:bottom w:w="0" w:type="dxa"/>
            <w:right w:w="108" w:type="dxa"/>
          </w:tblCellMar>
        </w:tblPrEx>
        <w:trPr>
          <w:trHeight w:val="288" w:hRule="atLeast"/>
          <w:jc w:val="center"/>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Adjacent channel</w:t>
            </w:r>
            <w:r>
              <w:rPr>
                <w:rFonts w:ascii="Arial" w:hAnsi="Arial"/>
                <w:b/>
                <w:sz w:val="18"/>
              </w:rPr>
              <w:br w:type="textWrapping"/>
            </w:r>
            <w:r>
              <w:rPr>
                <w:rFonts w:ascii="Arial" w:hAnsi="Arial"/>
                <w:b/>
                <w:sz w:val="18"/>
              </w:rPr>
              <w:t>centre frequency offset</w:t>
            </w:r>
            <w:r>
              <w:rPr>
                <w:rFonts w:ascii="Arial" w:hAnsi="Arial"/>
                <w:b/>
                <w:sz w:val="18"/>
              </w:rPr>
              <w:br w:type="textWrapping"/>
            </w:r>
            <w:r>
              <w:rPr>
                <w:rFonts w:ascii="Arial" w:hAnsi="Arial"/>
                <w:b/>
                <w:sz w:val="18"/>
              </w:rPr>
              <w:t>from category NB1 or NB2 Channel edge</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±200 kHz</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±2.5 MHz</w:t>
            </w:r>
          </w:p>
        </w:tc>
      </w:tr>
      <w:tr>
        <w:tblPrEx>
          <w:tblCellMar>
            <w:top w:w="0" w:type="dxa"/>
            <w:left w:w="108" w:type="dxa"/>
            <w:bottom w:w="0" w:type="dxa"/>
            <w:right w:w="108" w:type="dxa"/>
          </w:tblCellMar>
        </w:tblPrEx>
        <w:trPr>
          <w:trHeight w:val="576" w:hRule="atLeast"/>
          <w:jc w:val="center"/>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Adjacent channel</w:t>
            </w:r>
            <w:r>
              <w:rPr>
                <w:rFonts w:ascii="Arial" w:hAnsi="Arial"/>
                <w:b/>
                <w:sz w:val="18"/>
              </w:rPr>
              <w:br w:type="textWrapping"/>
            </w:r>
            <w:r>
              <w:rPr>
                <w:rFonts w:ascii="Arial" w:hAnsi="Arial"/>
                <w:b/>
                <w:sz w:val="18"/>
              </w:rPr>
              <w:t>measurement bandwidth</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3.84 MHz</w:t>
            </w:r>
          </w:p>
        </w:tc>
      </w:tr>
      <w:tr>
        <w:tblPrEx>
          <w:tblCellMar>
            <w:top w:w="0" w:type="dxa"/>
            <w:left w:w="108" w:type="dxa"/>
            <w:bottom w:w="0" w:type="dxa"/>
            <w:right w:w="108" w:type="dxa"/>
          </w:tblCellMar>
        </w:tblPrEx>
        <w:trPr>
          <w:trHeight w:val="876" w:hRule="atLeast"/>
          <w:jc w:val="center"/>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Measurement filter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RRC-filter α=0.22</w:t>
            </w:r>
          </w:p>
        </w:tc>
      </w:tr>
      <w:tr>
        <w:tblPrEx>
          <w:tblCellMar>
            <w:top w:w="0" w:type="dxa"/>
            <w:left w:w="108" w:type="dxa"/>
            <w:bottom w:w="0" w:type="dxa"/>
            <w:right w:w="108" w:type="dxa"/>
          </w:tblCellMar>
        </w:tblPrEx>
        <w:trPr>
          <w:trHeight w:val="876"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Category NB1 and NB2 channel measurement bandwidth</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r>
      <w:tr>
        <w:tblPrEx>
          <w:tblCellMar>
            <w:top w:w="0" w:type="dxa"/>
            <w:left w:w="108" w:type="dxa"/>
            <w:bottom w:w="0" w:type="dxa"/>
            <w:right w:w="108" w:type="dxa"/>
          </w:tblCellMar>
        </w:tblPrEx>
        <w:trPr>
          <w:trHeight w:val="876"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Category NB1 and NB2 channel Measurement filter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r>
    </w:tbl>
    <w:p/>
    <w:p>
      <w:pPr>
        <w:pStyle w:val="5"/>
      </w:pPr>
      <w:bookmarkStart w:id="1021" w:name="_Toc19594"/>
      <w:bookmarkStart w:id="1022" w:name="_Toc16726"/>
      <w:bookmarkStart w:id="1023" w:name="_Toc111062071"/>
      <w:bookmarkStart w:id="1024" w:name="_Toc2087"/>
      <w:bookmarkStart w:id="1025" w:name="_Toc13494"/>
      <w:bookmarkStart w:id="1026" w:name="_Toc3980"/>
      <w:bookmarkStart w:id="1027" w:name="_Toc28427"/>
      <w:bookmarkStart w:id="1028" w:name="_Toc120570077"/>
      <w:bookmarkStart w:id="1029" w:name="_Toc121162869"/>
      <w:bookmarkStart w:id="1030" w:name="_Toc4911"/>
      <w:r>
        <w:t>6.5B.4</w:t>
      </w:r>
      <w:r>
        <w:tab/>
      </w:r>
      <w:r>
        <w:rPr>
          <w:rFonts w:hint="eastAsia"/>
        </w:rPr>
        <w:t>S</w:t>
      </w:r>
      <w:r>
        <w:t>purious emission</w:t>
      </w:r>
      <w:r>
        <w:rPr>
          <w:rFonts w:hint="eastAsia"/>
        </w:rPr>
        <w:t xml:space="preserve"> for </w:t>
      </w:r>
      <w:r>
        <w:t>category NB1 and NB2</w:t>
      </w:r>
      <w:bookmarkEnd w:id="1021"/>
      <w:bookmarkEnd w:id="1022"/>
      <w:bookmarkEnd w:id="1023"/>
      <w:bookmarkEnd w:id="1024"/>
      <w:bookmarkEnd w:id="1025"/>
      <w:bookmarkEnd w:id="1026"/>
      <w:bookmarkEnd w:id="1027"/>
      <w:bookmarkEnd w:id="1028"/>
      <w:bookmarkEnd w:id="1029"/>
      <w:bookmarkEnd w:id="1030"/>
    </w:p>
    <w:p>
      <w:pPr>
        <w:pStyle w:val="6"/>
      </w:pPr>
      <w:bookmarkStart w:id="1031" w:name="_Toc20619"/>
      <w:bookmarkStart w:id="1032" w:name="_Toc121162870"/>
      <w:bookmarkStart w:id="1033" w:name="_Toc466"/>
      <w:bookmarkStart w:id="1034" w:name="_Toc24289"/>
      <w:bookmarkStart w:id="1035" w:name="_Toc31076"/>
      <w:bookmarkStart w:id="1036" w:name="_Toc120570078"/>
      <w:bookmarkStart w:id="1037" w:name="_Toc10218"/>
      <w:bookmarkStart w:id="1038" w:name="_Toc2402"/>
      <w:bookmarkStart w:id="1039" w:name="_Toc6120"/>
      <w:r>
        <w:t>6.5B.4.1</w:t>
      </w:r>
      <w:r>
        <w:tab/>
      </w:r>
      <w:r>
        <w:t>General</w:t>
      </w:r>
      <w:bookmarkEnd w:id="1031"/>
      <w:bookmarkEnd w:id="1032"/>
      <w:bookmarkEnd w:id="1033"/>
      <w:bookmarkEnd w:id="1034"/>
      <w:bookmarkEnd w:id="1035"/>
      <w:bookmarkEnd w:id="1036"/>
      <w:bookmarkEnd w:id="1037"/>
      <w:bookmarkEnd w:id="1038"/>
      <w:bookmarkEnd w:id="1039"/>
    </w:p>
    <w:p>
      <w:pPr>
        <w:rPr>
          <w:rFonts w:eastAsiaTheme="minorEastAsia"/>
          <w:lang w:eastAsia="zh-CN"/>
        </w:rPr>
      </w:pPr>
      <w:r>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pPr>
        <w:rPr>
          <w:lang w:val="en-US"/>
        </w:rPr>
      </w:pPr>
      <w:r>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Pr>
          <w:lang w:val="en-US"/>
        </w:rPr>
        <w:t>.</w:t>
      </w:r>
    </w:p>
    <w:p>
      <w:pPr>
        <w:pStyle w:val="6"/>
      </w:pPr>
      <w:bookmarkStart w:id="1040" w:name="_Toc120570079"/>
      <w:bookmarkStart w:id="1041" w:name="_Toc11652"/>
      <w:bookmarkStart w:id="1042" w:name="_Toc14308"/>
      <w:bookmarkStart w:id="1043" w:name="_Toc121162871"/>
      <w:bookmarkStart w:id="1044" w:name="_Toc404"/>
      <w:bookmarkStart w:id="1045" w:name="_Toc17971"/>
      <w:bookmarkStart w:id="1046" w:name="_Toc4203"/>
      <w:bookmarkStart w:id="1047" w:name="_Toc11056"/>
      <w:bookmarkStart w:id="1048" w:name="_Toc15698"/>
      <w:r>
        <w:t>6.5B.</w:t>
      </w:r>
      <w:r>
        <w:rPr>
          <w:rFonts w:eastAsia="宋体"/>
          <w:lang w:val="en-US" w:eastAsia="zh-CN"/>
        </w:rPr>
        <w:t>4</w:t>
      </w:r>
      <w:r>
        <w:t>.</w:t>
      </w:r>
      <w:r>
        <w:rPr>
          <w:rFonts w:eastAsia="宋体"/>
          <w:lang w:val="en-US" w:eastAsia="zh-CN"/>
        </w:rPr>
        <w:t>2</w:t>
      </w:r>
      <w:r>
        <w:tab/>
      </w:r>
      <w:r>
        <w:t>Transmitter Spurious emissions</w:t>
      </w:r>
      <w:bookmarkEnd w:id="1040"/>
      <w:bookmarkEnd w:id="1041"/>
      <w:bookmarkEnd w:id="1042"/>
      <w:bookmarkEnd w:id="1043"/>
      <w:bookmarkEnd w:id="1044"/>
      <w:r>
        <w:rPr>
          <w:rFonts w:hint="eastAsia"/>
        </w:rPr>
        <w:t xml:space="preserve"> for category NB1 and NB2</w:t>
      </w:r>
      <w:bookmarkEnd w:id="1045"/>
      <w:bookmarkEnd w:id="1046"/>
      <w:bookmarkEnd w:id="1047"/>
      <w:bookmarkEnd w:id="1048"/>
    </w:p>
    <w:p>
      <w:pPr>
        <w:pStyle w:val="112"/>
        <w:rPr>
          <w:lang w:val="en-US"/>
        </w:rPr>
      </w:pPr>
      <w:r>
        <w:t>Editor’s Note: Addition to applicability spec is pending.</w:t>
      </w:r>
    </w:p>
    <w:p>
      <w:pPr>
        <w:keepNext/>
        <w:keepLines/>
        <w:spacing w:before="120"/>
        <w:ind w:left="1985" w:hanging="1985"/>
        <w:rPr>
          <w:rFonts w:ascii="Arial" w:hAnsi="Arial"/>
          <w:lang w:eastAsia="en-GB"/>
        </w:rPr>
      </w:pPr>
      <w:r>
        <w:rPr>
          <w:rFonts w:ascii="Arial" w:hAnsi="Arial"/>
          <w:lang w:eastAsia="en-GB"/>
        </w:rPr>
        <w:t>6.5B.4.2.1</w:t>
      </w:r>
      <w:r>
        <w:rPr>
          <w:rFonts w:ascii="Arial" w:hAnsi="Arial"/>
          <w:lang w:eastAsia="en-GB"/>
        </w:rPr>
        <w:tab/>
      </w:r>
      <w:r>
        <w:rPr>
          <w:rFonts w:ascii="Arial" w:hAnsi="Arial"/>
          <w:lang w:eastAsia="en-GB"/>
        </w:rPr>
        <w:t>Test purpose</w:t>
      </w:r>
    </w:p>
    <w:p>
      <w:pPr>
        <w:rPr>
          <w:lang w:eastAsia="en-GB"/>
        </w:rPr>
      </w:pPr>
      <w:r>
        <w:rPr>
          <w:lang w:eastAsia="en-GB"/>
        </w:rPr>
        <w:t>To verify that UE transmitter does not cause unacceptable interference to other channels or other systems in terms of transmitter spurious emissions.</w:t>
      </w:r>
    </w:p>
    <w:p>
      <w:pPr>
        <w:keepNext/>
        <w:keepLines/>
        <w:spacing w:before="120"/>
        <w:ind w:left="1985" w:hanging="1985"/>
        <w:rPr>
          <w:rFonts w:ascii="Arial" w:hAnsi="Arial"/>
          <w:lang w:eastAsia="en-GB"/>
        </w:rPr>
      </w:pPr>
      <w:r>
        <w:rPr>
          <w:rFonts w:ascii="Arial" w:hAnsi="Arial"/>
          <w:lang w:eastAsia="en-GB"/>
        </w:rPr>
        <w:t>6.5B.4.2.2</w:t>
      </w:r>
      <w:r>
        <w:rPr>
          <w:rFonts w:ascii="Arial" w:hAnsi="Arial"/>
          <w:lang w:eastAsia="en-GB"/>
        </w:rPr>
        <w:tab/>
      </w:r>
      <w:r>
        <w:rPr>
          <w:rFonts w:ascii="Arial" w:hAnsi="Arial"/>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lang w:eastAsia="en-GB"/>
        </w:rPr>
      </w:pPr>
      <w:r>
        <w:rPr>
          <w:rFonts w:ascii="Arial" w:hAnsi="Arial"/>
          <w:lang w:eastAsia="en-GB"/>
        </w:rPr>
        <w:t>6.5B.4.2.3</w:t>
      </w:r>
      <w:r>
        <w:rPr>
          <w:rFonts w:ascii="Arial" w:hAnsi="Arial"/>
          <w:lang w:eastAsia="en-GB"/>
        </w:rPr>
        <w:tab/>
      </w:r>
      <w:r>
        <w:rPr>
          <w:rFonts w:ascii="Arial" w:hAnsi="Arial"/>
          <w:lang w:eastAsia="en-GB"/>
        </w:rPr>
        <w:t>Minimum conformance requirements</w:t>
      </w:r>
    </w:p>
    <w:p>
      <w:pPr>
        <w:rPr>
          <w:lang w:eastAsia="en-GB"/>
        </w:rPr>
      </w:pPr>
      <w:r>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pPr>
        <w:pStyle w:val="100"/>
        <w:keepLines/>
        <w:ind w:left="1135"/>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keepNext/>
        <w:keepLines/>
        <w:spacing w:before="60"/>
        <w:jc w:val="center"/>
        <w:rPr>
          <w:rFonts w:ascii="Arial" w:hAnsi="Arial" w:cs="v5.0.0"/>
          <w:b/>
          <w:lang w:eastAsia="en-GB"/>
        </w:rPr>
      </w:pPr>
      <w:r>
        <w:rPr>
          <w:rFonts w:ascii="Arial" w:hAnsi="Arial" w:cs="v5.0.0"/>
          <w:b/>
          <w:lang w:eastAsia="en-GB"/>
        </w:rPr>
        <w:t xml:space="preserve">Table </w:t>
      </w:r>
      <w:bookmarkStart w:id="1049" w:name="_Hlk141109469"/>
      <w:r>
        <w:rPr>
          <w:rFonts w:ascii="Arial" w:hAnsi="Arial" w:cs="v5.0.0"/>
          <w:b/>
          <w:lang w:eastAsia="en-GB"/>
        </w:rPr>
        <w:t>6.5B.4.2</w:t>
      </w:r>
      <w:bookmarkEnd w:id="1049"/>
      <w:r>
        <w:rPr>
          <w:rFonts w:ascii="Arial" w:hAnsi="Arial" w:cs="v5.0.0"/>
          <w:b/>
          <w:lang w:eastAsia="en-GB"/>
        </w:rPr>
        <w:t>.3-1: Spurious emissions limits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2"/>
        <w:gridCol w:w="1522"/>
        <w:gridCol w:w="2262"/>
        <w:gridCol w:w="8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v5.0.0"/>
                <w:b/>
                <w:sz w:val="18"/>
              </w:rPr>
            </w:pPr>
            <w:r>
              <w:rPr>
                <w:rFonts w:ascii="Arial" w:hAnsi="Arial" w:cs="Arial"/>
                <w:b/>
                <w:sz w:val="18"/>
              </w:rPr>
              <w:t>Frequency Range</w:t>
            </w:r>
          </w:p>
        </w:tc>
        <w:tc>
          <w:tcPr>
            <w:tcW w:w="1522" w:type="dxa"/>
          </w:tcPr>
          <w:p>
            <w:pPr>
              <w:keepNext/>
              <w:keepLines/>
              <w:spacing w:after="0"/>
              <w:jc w:val="center"/>
              <w:rPr>
                <w:rFonts w:ascii="Arial" w:hAnsi="Arial" w:cs="v5.0.0"/>
                <w:b/>
                <w:sz w:val="18"/>
              </w:rPr>
            </w:pPr>
            <w:r>
              <w:rPr>
                <w:rFonts w:ascii="Arial" w:hAnsi="Arial" w:cs="Arial"/>
                <w:b/>
                <w:sz w:val="18"/>
              </w:rPr>
              <w:t>Maximum Level</w:t>
            </w:r>
          </w:p>
        </w:tc>
        <w:tc>
          <w:tcPr>
            <w:tcW w:w="2262" w:type="dxa"/>
          </w:tcPr>
          <w:p>
            <w:pPr>
              <w:keepNext/>
              <w:keepLines/>
              <w:spacing w:after="0"/>
              <w:jc w:val="center"/>
              <w:rPr>
                <w:rFonts w:ascii="Arial" w:hAnsi="Arial" w:cs="v5.0.0"/>
                <w:b/>
                <w:sz w:val="18"/>
              </w:rPr>
            </w:pPr>
            <w:r>
              <w:rPr>
                <w:rFonts w:ascii="Arial" w:hAnsi="Arial" w:cs="Arial"/>
                <w:b/>
                <w:sz w:val="18"/>
              </w:rPr>
              <w:t>Measurement bandwidth</w:t>
            </w:r>
          </w:p>
        </w:tc>
        <w:tc>
          <w:tcPr>
            <w:tcW w:w="868" w:type="dxa"/>
          </w:tcPr>
          <w:p>
            <w:pPr>
              <w:keepNext/>
              <w:keepLines/>
              <w:spacing w:after="0"/>
              <w:jc w:val="center"/>
              <w:rPr>
                <w:rFonts w:ascii="Arial" w:hAnsi="Arial" w:cs="Arial"/>
                <w:b/>
                <w:sz w:val="18"/>
              </w:rPr>
            </w:pPr>
            <w:r>
              <w:rPr>
                <w:rFonts w:ascii="Arial" w:hAnsi="Arial" w:cs="Arial"/>
                <w:b/>
                <w:sz w:val="18"/>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9 kHz </w:t>
            </w:r>
            <w:r>
              <w:rPr>
                <w:rFonts w:ascii="Arial" w:hAnsi="Arial" w:cs="Arial"/>
                <w:sz w:val="18"/>
              </w:rPr>
              <w:sym w:font="Symbol" w:char="F0A3"/>
            </w:r>
            <w:r>
              <w:rPr>
                <w:rFonts w:ascii="Arial" w:hAnsi="Arial" w:cs="Arial"/>
                <w:sz w:val="18"/>
              </w:rPr>
              <w:t xml:space="preserve"> f &lt; 150 kHz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 xml:space="preserve">1 kHz </w:t>
            </w:r>
          </w:p>
        </w:tc>
        <w:tc>
          <w:tcPr>
            <w:tcW w:w="868" w:type="dxa"/>
          </w:tcPr>
          <w:p>
            <w:pPr>
              <w:keepNext/>
              <w:keepLines/>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150 kHz </w:t>
            </w:r>
            <w:r>
              <w:rPr>
                <w:rFonts w:ascii="Arial" w:hAnsi="Arial" w:cs="Arial"/>
                <w:sz w:val="18"/>
              </w:rPr>
              <w:sym w:font="Symbol" w:char="F0A3"/>
            </w:r>
            <w:r>
              <w:rPr>
                <w:rFonts w:ascii="Arial" w:hAnsi="Arial" w:cs="Arial"/>
                <w:sz w:val="18"/>
              </w:rPr>
              <w:t xml:space="preserve"> f &lt; 30 MHz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 xml:space="preserve">10 kHz </w:t>
            </w:r>
          </w:p>
        </w:tc>
        <w:tc>
          <w:tcPr>
            <w:tcW w:w="868" w:type="dxa"/>
          </w:tcPr>
          <w:p>
            <w:pPr>
              <w:keepNext/>
              <w:keepLines/>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30 MHz </w:t>
            </w:r>
            <w:r>
              <w:rPr>
                <w:rFonts w:ascii="Arial" w:hAnsi="Arial" w:cs="Arial"/>
                <w:sz w:val="18"/>
              </w:rPr>
              <w:sym w:font="Symbol" w:char="F0A3"/>
            </w:r>
            <w:r>
              <w:rPr>
                <w:rFonts w:ascii="Arial" w:hAnsi="Arial" w:cs="Arial"/>
                <w:sz w:val="18"/>
              </w:rPr>
              <w:t xml:space="preserve"> f &lt; 1000 MHz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100 kHz</w:t>
            </w:r>
          </w:p>
        </w:tc>
        <w:tc>
          <w:tcPr>
            <w:tcW w:w="868" w:type="dxa"/>
          </w:tcPr>
          <w:p>
            <w:pPr>
              <w:keepNext/>
              <w:keepLines/>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1 GHz </w:t>
            </w:r>
            <w:r>
              <w:rPr>
                <w:rFonts w:ascii="Arial" w:hAnsi="Arial" w:cs="Arial"/>
                <w:sz w:val="18"/>
              </w:rPr>
              <w:sym w:font="Symbol" w:char="F0A3"/>
            </w:r>
            <w:r>
              <w:rPr>
                <w:rFonts w:ascii="Arial" w:hAnsi="Arial" w:cs="Arial"/>
                <w:sz w:val="18"/>
              </w:rPr>
              <w:t xml:space="preserve"> f &lt; 12.75 GHz</w:t>
            </w:r>
          </w:p>
        </w:tc>
        <w:tc>
          <w:tcPr>
            <w:tcW w:w="1522" w:type="dxa"/>
          </w:tcPr>
          <w:p>
            <w:pPr>
              <w:keepNext/>
              <w:keepLines/>
              <w:spacing w:after="0"/>
              <w:jc w:val="center"/>
              <w:rPr>
                <w:rFonts w:ascii="Arial" w:hAnsi="Arial" w:cs="Arial"/>
                <w:sz w:val="18"/>
              </w:rPr>
            </w:pPr>
            <w:r>
              <w:rPr>
                <w:rFonts w:ascii="Arial" w:hAnsi="Arial" w:cs="Arial"/>
                <w:sz w:val="18"/>
              </w:rPr>
              <w:t>-30 dBm</w:t>
            </w:r>
          </w:p>
        </w:tc>
        <w:tc>
          <w:tcPr>
            <w:tcW w:w="2262" w:type="dxa"/>
          </w:tcPr>
          <w:p>
            <w:pPr>
              <w:keepNext/>
              <w:keepLines/>
              <w:spacing w:after="0"/>
              <w:jc w:val="center"/>
              <w:rPr>
                <w:rFonts w:ascii="Arial" w:hAnsi="Arial" w:cs="Arial"/>
                <w:sz w:val="18"/>
              </w:rPr>
            </w:pPr>
            <w:r>
              <w:rPr>
                <w:rFonts w:ascii="Arial" w:hAnsi="Arial" w:cs="Arial"/>
                <w:sz w:val="18"/>
              </w:rPr>
              <w:t>1 MHz</w:t>
            </w:r>
          </w:p>
        </w:tc>
        <w:tc>
          <w:tcPr>
            <w:tcW w:w="868" w:type="dxa"/>
          </w:tcPr>
          <w:p>
            <w:pPr>
              <w:keepNext/>
              <w:keepLines/>
              <w:spacing w:after="0"/>
              <w:jc w:val="center"/>
              <w:rPr>
                <w:rFonts w:ascii="Arial" w:hAnsi="Arial" w:cs="Arial"/>
                <w:sz w:val="18"/>
              </w:rPr>
            </w:pPr>
          </w:p>
        </w:tc>
      </w:tr>
    </w:tbl>
    <w:p>
      <w:pPr>
        <w:rPr>
          <w:rFonts w:eastAsia="Malgun Gothic"/>
          <w:lang w:eastAsia="en-GB"/>
        </w:rPr>
      </w:pPr>
    </w:p>
    <w:p>
      <w:pPr>
        <w:rPr>
          <w:lang w:eastAsia="en-GB"/>
        </w:rPr>
      </w:pPr>
      <w:r>
        <w:rPr>
          <w:rFonts w:eastAsia="Times New Roman"/>
          <w:lang w:eastAsia="en-GB"/>
        </w:rPr>
        <w:t xml:space="preserve">When UE is configured for category NB1 </w:t>
      </w:r>
      <w:r>
        <w:rPr>
          <w:lang w:eastAsia="en-GB"/>
        </w:rPr>
        <w:t xml:space="preserve">or NB2 </w:t>
      </w:r>
      <w:r>
        <w:rPr>
          <w:rFonts w:eastAsia="Times New Roman"/>
          <w:lang w:eastAsia="en-GB"/>
        </w:rPr>
        <w:t xml:space="preserve">uplink transmissions </w:t>
      </w:r>
      <w:r>
        <w:rPr>
          <w:lang w:eastAsia="en-GB"/>
        </w:rPr>
        <w:t>the boundary between category NB1 or NB2 out of band and spurious emission domain shall be F</w:t>
      </w:r>
      <w:r>
        <w:rPr>
          <w:rFonts w:cs="Times New Roman"/>
          <w:vertAlign w:val="baseline"/>
          <w:lang w:eastAsia="en-GB"/>
        </w:rPr>
        <w:t>OOB</w:t>
      </w:r>
      <w:r>
        <w:rPr>
          <w:lang w:eastAsia="en-GB"/>
        </w:rPr>
        <w:t xml:space="preserve"> = 1.7 MHz.</w:t>
      </w:r>
    </w:p>
    <w:p>
      <w:pPr>
        <w:rPr>
          <w:lang w:eastAsia="en-GB"/>
        </w:rPr>
      </w:pPr>
      <w:r>
        <w:rPr>
          <w:lang w:eastAsia="en-GB"/>
        </w:rPr>
        <w:t>The normative reference for this requirement is TS 36.102 [11] subclauses 6.5B.4.</w:t>
      </w:r>
    </w:p>
    <w:p>
      <w:pPr>
        <w:pStyle w:val="9"/>
        <w:rPr>
          <w:lang w:eastAsia="en-GB"/>
        </w:rPr>
      </w:pPr>
      <w:bookmarkStart w:id="1050" w:name="_Hlk141109615"/>
      <w:r>
        <w:rPr>
          <w:lang w:eastAsia="en-GB"/>
        </w:rPr>
        <w:t>6.5B.4</w:t>
      </w:r>
      <w:bookmarkEnd w:id="1050"/>
      <w:r>
        <w:rPr>
          <w:lang w:eastAsia="en-GB"/>
        </w:rPr>
        <w:t>.2.4</w:t>
      </w:r>
      <w:r>
        <w:rPr>
          <w:lang w:eastAsia="en-GB"/>
        </w:rPr>
        <w:tab/>
      </w:r>
      <w:r>
        <w:rPr>
          <w:lang w:eastAsia="en-GB"/>
        </w:rPr>
        <w:t>Test description</w:t>
      </w:r>
    </w:p>
    <w:p>
      <w:pPr>
        <w:keepNext/>
        <w:keepLines/>
        <w:spacing w:before="120"/>
        <w:ind w:left="1985" w:hanging="1985"/>
        <w:rPr>
          <w:rFonts w:ascii="Arial" w:hAnsi="Arial"/>
          <w:lang w:eastAsia="en-GB"/>
        </w:rPr>
      </w:pPr>
      <w:r>
        <w:rPr>
          <w:rFonts w:ascii="Arial" w:hAnsi="Arial"/>
          <w:lang w:eastAsia="en-GB"/>
        </w:rPr>
        <w:t>6.5B.4.2.4.1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r>
        <w:t xml:space="preserve"> </w:t>
      </w:r>
      <w:r>
        <w:rPr>
          <w:lang w:eastAsia="en-GB"/>
        </w:rPr>
        <w:t xml:space="preserve">Annexes A.2. </w:t>
      </w:r>
      <w:r>
        <w:rPr>
          <w:rFonts w:cs="v5.0.0"/>
          <w:lang w:eastAsia="en-GB"/>
        </w:rPr>
        <w:t>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6.5B.4.2.4.1-1: Test Configuration Table</w:t>
      </w:r>
      <w:r>
        <w:rPr>
          <w:rFonts w:ascii="Arial" w:hAnsi="Arial"/>
          <w:b/>
        </w:rPr>
        <w:t xml:space="preserve"> for FDD </w:t>
      </w:r>
    </w:p>
    <w:tbl>
      <w:tblPr>
        <w:tblStyle w:val="89"/>
        <w:tblW w:w="72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b/>
                <w:sz w:val="18"/>
              </w:rPr>
            </w:pPr>
            <w:r>
              <w:rPr>
                <w:rFonts w:ascii="Arial" w:hAnsi="Arial"/>
                <w:sz w:val="18"/>
              </w:rPr>
              <w:t>TS 36.508[12] subclause 8.1.1</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rPr>
                <w:rFonts w:ascii="Arial" w:hAnsi="Arial"/>
                <w:b/>
                <w:sz w:val="18"/>
              </w:rPr>
            </w:pPr>
            <w:r>
              <w:rPr>
                <w:rFonts w:ascii="Arial" w:hAnsi="Arial"/>
                <w:sz w:val="18"/>
              </w:rPr>
              <w:t>TS 36.508[12] subclause 8.1.3.1</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b/>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N</w:t>
            </w:r>
            <w:r>
              <w:rPr>
                <w:rFonts w:ascii="Arial" w:hAnsi="Arial"/>
                <w:b/>
                <w:sz w:val="18"/>
                <w:vertAlign w:val="subscript"/>
              </w:rPr>
              <w:t>tones</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p>
        </w:tc>
        <w:tc>
          <w:tcPr>
            <w:tcW w:w="2365" w:type="dxa"/>
            <w:vMerge w:val="restart"/>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1@0</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p>
        </w:tc>
        <w:tc>
          <w:tcPr>
            <w:tcW w:w="2365" w:type="dxa"/>
            <w:vMerge w:val="continue"/>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1@47</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p>
        </w:tc>
        <w:tc>
          <w:tcPr>
            <w:tcW w:w="2365" w:type="dxa"/>
            <w:vMerge w:val="continue"/>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BPSK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1@0</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p>
        </w:tc>
        <w:tc>
          <w:tcPr>
            <w:tcW w:w="2365" w:type="dxa"/>
            <w:vMerge w:val="continue"/>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BPSK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1@11</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lang w:eastAsia="en-GB"/>
        </w:rP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the SS to the UE antenna connectors as shown in TS 36.508[12] Annex A Figure A.7 using only main UE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H.1.1 and H.4.0.</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The UL Reference Measurement channels are set according to Table 6.5B.4.2.4.1-1.</w:t>
      </w:r>
    </w:p>
    <w:p>
      <w:pPr>
        <w:pStyle w:val="111"/>
        <w:overflowPunct w:val="0"/>
        <w:autoSpaceDE w:val="0"/>
        <w:autoSpaceDN w:val="0"/>
        <w:adjustRightInd w:val="0"/>
        <w:ind w:left="568"/>
        <w:contextualSpacing w:val="0"/>
        <w:textAlignment w:val="baseline"/>
        <w:rPr>
          <w:lang w:eastAsia="en-GB"/>
        </w:rPr>
      </w:pPr>
      <w:r>
        <w:rPr>
          <w:rFonts w:hint="eastAsia"/>
          <w:lang w:eastAsia="en-GB"/>
        </w:rPr>
        <w:t>5</w:t>
      </w:r>
      <w:r>
        <w:rPr>
          <w:lang w:eastAsia="en-GB"/>
        </w:rPr>
        <w:t>.</w:t>
      </w:r>
      <w:r>
        <w:rPr>
          <w:lang w:eastAsia="en-GB"/>
        </w:rPr>
        <w:tab/>
      </w:r>
      <w:r>
        <w:rPr>
          <w:rFonts w:hint="eastAsia"/>
          <w:lang w:eastAsia="en-GB"/>
        </w:rPr>
        <w:t>UE location according to TS 36.508 [12] clause 8.2.6.1 is provided to the UE through any preconfigured means.</w:t>
      </w:r>
    </w:p>
    <w:p>
      <w:pPr>
        <w:pStyle w:val="111"/>
        <w:overflowPunct w:val="0"/>
        <w:autoSpaceDE w:val="0"/>
        <w:autoSpaceDN w:val="0"/>
        <w:adjustRightInd w:val="0"/>
        <w:ind w:left="568"/>
        <w:contextualSpacing w:val="0"/>
        <w:textAlignment w:val="baseline"/>
        <w:rPr>
          <w:lang w:eastAsia="en-GB"/>
        </w:rPr>
      </w:pPr>
      <w:r>
        <w:rPr>
          <w:rFonts w:hint="eastAsia"/>
          <w:lang w:eastAsia="en-GB"/>
        </w:rPr>
        <w:t>6</w:t>
      </w:r>
      <w:r>
        <w:rPr>
          <w:lang w:eastAsia="en-GB"/>
        </w:rPr>
        <w:t>.</w:t>
      </w:r>
      <w:r>
        <w:rPr>
          <w:lang w:eastAsia="en-GB"/>
        </w:rPr>
        <w:tab/>
      </w:r>
      <w:r>
        <w:rPr>
          <w:lang w:eastAsia="en-GB"/>
        </w:rPr>
        <w:t xml:space="preserve">Test equipment shall emulate </w:t>
      </w:r>
      <w:r>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Pr>
          <w:lang w:eastAsia="en-GB"/>
        </w:rPr>
        <w:t>. Test system shall send same SIB31-NB information during the duration of the test as define in TS 36.508[12] clause 8.2.6.3.1</w:t>
      </w:r>
    </w:p>
    <w:p>
      <w:pPr>
        <w:pStyle w:val="111"/>
        <w:overflowPunct w:val="0"/>
        <w:autoSpaceDE w:val="0"/>
        <w:autoSpaceDN w:val="0"/>
        <w:adjustRightInd w:val="0"/>
        <w:ind w:left="568"/>
        <w:contextualSpacing w:val="0"/>
        <w:textAlignment w:val="baseline"/>
        <w:rPr>
          <w:lang w:eastAsia="en-GB"/>
        </w:rPr>
      </w:pPr>
      <w:r>
        <w:rPr>
          <w:rFonts w:hint="eastAsia"/>
          <w:lang w:eastAsia="en-GB"/>
        </w:rPr>
        <w:t>7</w:t>
      </w:r>
      <w:r>
        <w:rPr>
          <w:lang w:eastAsia="en-GB"/>
        </w:rPr>
        <w:t>.</w:t>
      </w:r>
      <w:r>
        <w:rPr>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8.</w:t>
      </w:r>
      <w:r>
        <w:rPr>
          <w:lang w:eastAsia="en-GB"/>
        </w:rPr>
        <w:tab/>
      </w:r>
      <w:r>
        <w:rPr>
          <w:lang w:eastAsia="en-GB"/>
        </w:rPr>
        <w:t>Ensure the UE is in State 2A-NB with CP CIoT Optimisation according to TS 36.508 [12] clause 8.1.5. Message contents are defined in clause 6.5B.4.2.4.3.</w:t>
      </w:r>
    </w:p>
    <w:p>
      <w:pPr>
        <w:keepNext/>
        <w:keepLines/>
        <w:spacing w:before="120"/>
        <w:ind w:left="1985" w:hanging="1985"/>
        <w:rPr>
          <w:rFonts w:ascii="Arial" w:hAnsi="Arial"/>
          <w:snapToGrid w:val="0"/>
          <w:lang w:eastAsia="en-GB"/>
        </w:rPr>
      </w:pPr>
      <w:bookmarkStart w:id="1051" w:name="_Hlk141110242"/>
      <w:bookmarkStart w:id="1052" w:name="_Hlk124435417"/>
      <w:r>
        <w:rPr>
          <w:rFonts w:ascii="Arial" w:hAnsi="Arial"/>
          <w:lang w:eastAsia="en-GB"/>
        </w:rPr>
        <w:t>6.5B.4.2</w:t>
      </w:r>
      <w:bookmarkEnd w:id="1051"/>
      <w:r>
        <w:rPr>
          <w:rFonts w:ascii="Arial" w:hAnsi="Arial"/>
          <w:lang w:eastAsia="en-GB"/>
        </w:rPr>
        <w:t>.4.2</w:t>
      </w:r>
      <w:bookmarkEnd w:id="1052"/>
      <w:r>
        <w:rPr>
          <w:rFonts w:ascii="Arial" w:hAnsi="Arial"/>
          <w:lang w:eastAsia="en-GB"/>
        </w:rPr>
        <w:tab/>
      </w:r>
      <w:r>
        <w:rPr>
          <w:rFonts w:ascii="Arial" w:hAnsi="Arial"/>
          <w:snapToGrid w:val="0"/>
          <w:lang w:eastAsia="en-GB"/>
        </w:rP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The sweep time shall be set larger than (symbol length)*(number of points in sweep) to improve the measurement accuracy. The measurement period shall capture the active </w:t>
      </w:r>
      <w:r>
        <w:rPr>
          <w:rFonts w:eastAsia="MS Mincho"/>
          <w:lang w:eastAsia="en-GB"/>
        </w:rPr>
        <w:t>time slot</w:t>
      </w:r>
      <w:r>
        <w:rPr>
          <w:lang w:eastAsia="en-GB"/>
        </w:rPr>
        <w:t xml:space="preserve">s. During measurement the spectrum analyser shall be set to 'Detector' = RMS. </w:t>
      </w:r>
    </w:p>
    <w:p>
      <w:pPr>
        <w:pStyle w:val="100"/>
        <w:keepLines/>
        <w:ind w:left="1135"/>
        <w:rPr>
          <w:lang w:eastAsia="en-GB"/>
        </w:rPr>
      </w:pPr>
      <w:r>
        <w:rPr>
          <w:lang w:eastAsia="en-GB"/>
        </w:rPr>
        <w:t>NOTE 1:</w:t>
      </w:r>
      <w:r>
        <w:rPr>
          <w:lang w:eastAsia="en-GB"/>
        </w:rPr>
        <w:tab/>
      </w:r>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keepNext/>
        <w:keepLines/>
        <w:spacing w:before="120"/>
        <w:ind w:left="1985" w:hanging="1985"/>
        <w:rPr>
          <w:rFonts w:ascii="Arial" w:hAnsi="Arial"/>
          <w:snapToGrid w:val="0"/>
          <w:lang w:eastAsia="en-GB"/>
        </w:rPr>
      </w:pPr>
      <w:r>
        <w:rPr>
          <w:rFonts w:ascii="Arial" w:hAnsi="Arial"/>
          <w:lang w:eastAsia="en-GB"/>
        </w:rPr>
        <w:t>6.5B.4.2.4.3</w:t>
      </w:r>
      <w:r>
        <w:rPr>
          <w:rFonts w:ascii="Arial" w:hAnsi="Arial"/>
          <w:lang w:eastAsia="en-GB"/>
        </w:rPr>
        <w:tab/>
      </w:r>
      <w:r>
        <w:rPr>
          <w:rFonts w:ascii="Arial" w:hAnsi="Arial"/>
          <w:snapToGrid w:val="0"/>
          <w:lang w:eastAsia="en-GB"/>
        </w:rPr>
        <w:t>Message contents</w:t>
      </w:r>
    </w:p>
    <w:p>
      <w:pPr>
        <w:rPr>
          <w:lang w:eastAsia="en-GB"/>
        </w:rPr>
      </w:pPr>
      <w:r>
        <w:rPr>
          <w:lang w:eastAsia="en-GB"/>
        </w:rPr>
        <w:t>Message contents are according to TS 36.508 [12] subclause 8.1.6.</w:t>
      </w:r>
    </w:p>
    <w:p>
      <w:pPr>
        <w:pStyle w:val="9"/>
        <w:rPr>
          <w:lang w:eastAsia="en-GB"/>
        </w:rPr>
      </w:pPr>
      <w:r>
        <w:rPr>
          <w:snapToGrid w:val="0"/>
          <w:lang w:eastAsia="en-GB"/>
        </w:rPr>
        <w:t>6.5B.4.2.5</w:t>
      </w:r>
      <w:r>
        <w:rPr>
          <w:snapToGrid w:val="0"/>
          <w:lang w:eastAsia="en-GB"/>
        </w:rPr>
        <w:tab/>
      </w:r>
      <w:r>
        <w:rPr>
          <w:lang w:eastAsia="en-GB"/>
        </w:rPr>
        <w:t>Test requirement</w:t>
      </w:r>
    </w:p>
    <w:p>
      <w:pPr>
        <w:rPr>
          <w:rFonts w:eastAsia="MS Mincho"/>
          <w:lang w:eastAsia="en-GB"/>
        </w:rPr>
      </w:pPr>
      <w:r>
        <w:rPr>
          <w:lang w:eastAsia="en-GB"/>
        </w:rPr>
        <w:t xml:space="preserve">This clause specifies the requirements for the specified E-UTRA band for Transmitter Spurious emissions requirement with </w:t>
      </w:r>
      <w:r>
        <w:rPr>
          <w:rFonts w:eastAsia="MS Mincho"/>
          <w:lang w:eastAsia="en-GB"/>
        </w:rPr>
        <w:t>f</w:t>
      </w:r>
      <w:r>
        <w:rPr>
          <w:lang w:eastAsia="en-GB"/>
        </w:rPr>
        <w:t xml:space="preserve">requency </w:t>
      </w:r>
      <w:r>
        <w:rPr>
          <w:rFonts w:eastAsia="MS Mincho"/>
          <w:lang w:eastAsia="en-GB"/>
        </w:rPr>
        <w:t>r</w:t>
      </w:r>
      <w:r>
        <w:rPr>
          <w:lang w:eastAsia="en-GB"/>
        </w:rPr>
        <w:t xml:space="preserve">ange as indicated </w:t>
      </w:r>
      <w:r>
        <w:rPr>
          <w:rFonts w:eastAsia="MS Mincho"/>
          <w:lang w:eastAsia="en-GB"/>
        </w:rPr>
        <w:t>in table</w:t>
      </w:r>
      <w:r>
        <w:rPr>
          <w:lang w:eastAsia="en-GB"/>
        </w:rPr>
        <w:t xml:space="preserve"> 6.5B.4.2.5-1</w:t>
      </w:r>
      <w:r>
        <w:rPr>
          <w:rFonts w:eastAsia="MS Mincho"/>
          <w:lang w:eastAsia="en-GB"/>
        </w:rPr>
        <w:t>.</w:t>
      </w:r>
    </w:p>
    <w:p>
      <w:pPr>
        <w:rPr>
          <w:lang w:eastAsia="en-GB"/>
        </w:rPr>
      </w:pPr>
      <w:r>
        <w:rPr>
          <w:lang w:eastAsia="en-GB"/>
        </w:rPr>
        <w:t xml:space="preserve">The measured average power of spurious emission, derived in step </w:t>
      </w:r>
      <w:r>
        <w:rPr>
          <w:rFonts w:eastAsia="MS Mincho"/>
          <w:lang w:eastAsia="en-GB"/>
        </w:rPr>
        <w:t>3</w:t>
      </w:r>
      <w:r>
        <w:rPr>
          <w:lang w:eastAsia="en-GB"/>
        </w:rPr>
        <w:t>, shall not exceed the described value in Table 6.5B.4.2.5-1.</w:t>
      </w:r>
    </w:p>
    <w:p>
      <w:pPr>
        <w:rPr>
          <w:rFonts w:eastAsia="MS Mincho"/>
          <w:lang w:eastAsia="en-GB"/>
        </w:rPr>
      </w:pPr>
      <w:r>
        <w:rPr>
          <w:rFonts w:cs="v5.0.0"/>
          <w:snapToGrid w:val="0"/>
          <w:lang w:eastAsia="en-GB"/>
        </w:rPr>
        <w:t xml:space="preserve">The spurious emission limits apply for the frequency ranges that are more than </w:t>
      </w:r>
      <w:r>
        <w:rPr>
          <w:lang w:eastAsia="en-GB"/>
        </w:rPr>
        <w:t>Δf</w:t>
      </w:r>
      <w:r>
        <w:rPr>
          <w:vertAlign w:val="subscript"/>
          <w:lang w:eastAsia="en-GB"/>
        </w:rPr>
        <w:t>OOB</w:t>
      </w:r>
      <w:r>
        <w:rPr>
          <w:lang w:eastAsia="en-GB"/>
        </w:rPr>
        <w:t xml:space="preserve"> (MHz) from the edge of the channel bandwidth.</w:t>
      </w:r>
    </w:p>
    <w:p>
      <w:pPr>
        <w:pStyle w:val="100"/>
        <w:keepLines/>
        <w:ind w:left="1135"/>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keepNext/>
        <w:keepLines/>
        <w:spacing w:before="60"/>
        <w:jc w:val="center"/>
        <w:rPr>
          <w:rFonts w:ascii="Arial" w:hAnsi="Arial"/>
          <w:b/>
          <w:lang w:eastAsia="en-GB"/>
        </w:rPr>
      </w:pPr>
      <w:r>
        <w:rPr>
          <w:rFonts w:ascii="Arial" w:hAnsi="Arial"/>
          <w:b/>
          <w:lang w:eastAsia="en-GB"/>
        </w:rPr>
        <w:t>Table 6.5B.4.2.5-1: General spurious emissions test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5"/>
        <w:gridCol w:w="2009"/>
        <w:gridCol w:w="2318"/>
        <w:gridCol w:w="13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b/>
                <w:sz w:val="18"/>
              </w:rPr>
            </w:pPr>
            <w:r>
              <w:rPr>
                <w:rFonts w:ascii="Arial" w:hAnsi="Arial"/>
                <w:b/>
                <w:sz w:val="18"/>
              </w:rPr>
              <w:t>Frequency Range</w:t>
            </w:r>
          </w:p>
        </w:tc>
        <w:tc>
          <w:tcPr>
            <w:tcW w:w="2009" w:type="dxa"/>
          </w:tcPr>
          <w:p>
            <w:pPr>
              <w:keepNext/>
              <w:keepLines/>
              <w:spacing w:after="0"/>
              <w:jc w:val="center"/>
              <w:rPr>
                <w:rFonts w:ascii="Arial" w:hAnsi="Arial"/>
                <w:b/>
                <w:sz w:val="18"/>
              </w:rPr>
            </w:pPr>
            <w:r>
              <w:rPr>
                <w:rFonts w:ascii="Arial" w:hAnsi="Arial"/>
                <w:b/>
                <w:sz w:val="18"/>
              </w:rPr>
              <w:t>Maximum</w:t>
            </w:r>
            <w:r>
              <w:rPr>
                <w:rFonts w:ascii="Arial" w:hAnsi="Arial"/>
                <w:b/>
                <w:sz w:val="18"/>
              </w:rPr>
              <w:br w:type="textWrapping"/>
            </w:r>
            <w:r>
              <w:rPr>
                <w:rFonts w:ascii="Arial" w:hAnsi="Arial"/>
                <w:b/>
                <w:sz w:val="18"/>
              </w:rPr>
              <w:t>Level</w:t>
            </w:r>
          </w:p>
        </w:tc>
        <w:tc>
          <w:tcPr>
            <w:tcW w:w="2318" w:type="dxa"/>
          </w:tcPr>
          <w:p>
            <w:pPr>
              <w:keepNext/>
              <w:keepLines/>
              <w:spacing w:after="0"/>
              <w:jc w:val="center"/>
              <w:rPr>
                <w:rFonts w:ascii="Arial" w:hAnsi="Arial"/>
                <w:b/>
                <w:sz w:val="18"/>
              </w:rPr>
            </w:pPr>
            <w:r>
              <w:rPr>
                <w:rFonts w:ascii="Arial" w:hAnsi="Arial"/>
                <w:b/>
                <w:sz w:val="18"/>
              </w:rPr>
              <w:t>Measurement</w:t>
            </w:r>
            <w:r>
              <w:rPr>
                <w:rFonts w:ascii="Arial" w:hAnsi="Arial"/>
                <w:b/>
                <w:sz w:val="18"/>
              </w:rPr>
              <w:br w:type="textWrapping"/>
            </w:r>
            <w:r>
              <w:rPr>
                <w:rFonts w:ascii="Arial" w:hAnsi="Arial"/>
                <w:b/>
                <w:sz w:val="18"/>
              </w:rPr>
              <w:t>Bandwidth</w:t>
            </w:r>
          </w:p>
        </w:tc>
        <w:tc>
          <w:tcPr>
            <w:tcW w:w="1314" w:type="dxa"/>
          </w:tcPr>
          <w:p>
            <w:pPr>
              <w:keepNext/>
              <w:keepLines/>
              <w:spacing w:after="0"/>
              <w:jc w:val="center"/>
              <w:rPr>
                <w:rFonts w:ascii="Arial" w:hAnsi="Arial"/>
                <w:b/>
                <w:sz w:val="18"/>
              </w:rPr>
            </w:pPr>
            <w:r>
              <w:rPr>
                <w:rFonts w:ascii="Arial" w:hAnsi="Arial"/>
                <w:b/>
                <w:sz w:val="18"/>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sz w:val="18"/>
              </w:rPr>
            </w:pPr>
            <w:r>
              <w:rPr>
                <w:rFonts w:ascii="Arial" w:hAnsi="Arial"/>
                <w:sz w:val="18"/>
              </w:rPr>
              <w:t xml:space="preserve">9 kHz </w:t>
            </w:r>
            <w:r>
              <w:rPr>
                <w:rFonts w:ascii="Arial" w:hAnsi="Arial"/>
                <w:sz w:val="18"/>
              </w:rPr>
              <w:sym w:font="Symbol" w:char="F0A3"/>
            </w:r>
            <w:r>
              <w:rPr>
                <w:rFonts w:ascii="Arial" w:hAnsi="Arial"/>
                <w:sz w:val="18"/>
              </w:rPr>
              <w:t xml:space="preserve"> f &lt; 150 kHz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 xml:space="preserve">1 kHz </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sz w:val="18"/>
              </w:rPr>
            </w:pPr>
            <w:r>
              <w:rPr>
                <w:rFonts w:ascii="Arial" w:hAnsi="Arial"/>
                <w:sz w:val="18"/>
              </w:rPr>
              <w:t xml:space="preserve">150 kHz </w:t>
            </w:r>
            <w:r>
              <w:rPr>
                <w:rFonts w:ascii="Arial" w:hAnsi="Arial"/>
                <w:sz w:val="18"/>
              </w:rPr>
              <w:sym w:font="Symbol" w:char="F0A3"/>
            </w:r>
            <w:r>
              <w:rPr>
                <w:rFonts w:ascii="Arial" w:hAnsi="Arial"/>
                <w:sz w:val="18"/>
              </w:rPr>
              <w:t xml:space="preserve"> f &lt; 30 MHz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 xml:space="preserve">10 kHz </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sz w:val="18"/>
              </w:rPr>
            </w:pPr>
            <w:r>
              <w:rPr>
                <w:rFonts w:ascii="Arial" w:hAnsi="Arial"/>
                <w:sz w:val="18"/>
              </w:rPr>
              <w:t xml:space="preserve">30 MHz </w:t>
            </w:r>
            <w:r>
              <w:rPr>
                <w:rFonts w:ascii="Arial" w:hAnsi="Arial"/>
                <w:sz w:val="18"/>
              </w:rPr>
              <w:sym w:font="Symbol" w:char="F0A3"/>
            </w:r>
            <w:r>
              <w:rPr>
                <w:rFonts w:ascii="Arial" w:hAnsi="Arial"/>
                <w:sz w:val="18"/>
              </w:rPr>
              <w:t xml:space="preserve"> f &lt; 1000 MHz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100 kHz</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sz w:val="18"/>
              </w:rPr>
            </w:pPr>
            <w:r>
              <w:rPr>
                <w:rFonts w:ascii="Arial" w:hAnsi="Arial"/>
                <w:sz w:val="18"/>
              </w:rPr>
              <w:t xml:space="preserve">1 GHz </w:t>
            </w:r>
            <w:r>
              <w:rPr>
                <w:rFonts w:ascii="Arial" w:hAnsi="Arial"/>
                <w:sz w:val="18"/>
              </w:rPr>
              <w:sym w:font="Symbol" w:char="F0A3"/>
            </w:r>
            <w:r>
              <w:rPr>
                <w:rFonts w:ascii="Arial" w:hAnsi="Arial"/>
                <w:sz w:val="18"/>
              </w:rPr>
              <w:t xml:space="preserve"> f &lt; 12.75 GHz</w:t>
            </w:r>
          </w:p>
        </w:tc>
        <w:tc>
          <w:tcPr>
            <w:tcW w:w="2009" w:type="dxa"/>
          </w:tcPr>
          <w:p>
            <w:pPr>
              <w:keepNext/>
              <w:keepLines/>
              <w:spacing w:after="0"/>
              <w:jc w:val="center"/>
              <w:rPr>
                <w:rFonts w:ascii="Arial" w:hAnsi="Arial"/>
                <w:sz w:val="18"/>
              </w:rPr>
            </w:pPr>
            <w:r>
              <w:rPr>
                <w:rFonts w:ascii="Arial" w:hAnsi="Arial"/>
                <w:sz w:val="18"/>
              </w:rPr>
              <w:t>-30 dBm</w:t>
            </w:r>
          </w:p>
        </w:tc>
        <w:tc>
          <w:tcPr>
            <w:tcW w:w="2318" w:type="dxa"/>
          </w:tcPr>
          <w:p>
            <w:pPr>
              <w:keepNext/>
              <w:keepLines/>
              <w:spacing w:after="0"/>
              <w:jc w:val="center"/>
              <w:rPr>
                <w:rFonts w:ascii="Arial" w:hAnsi="Arial"/>
                <w:sz w:val="18"/>
              </w:rPr>
            </w:pPr>
            <w:r>
              <w:rPr>
                <w:rFonts w:ascii="Arial" w:hAnsi="Arial"/>
                <w:sz w:val="18"/>
              </w:rPr>
              <w:t>1 MHz</w:t>
            </w:r>
          </w:p>
        </w:tc>
        <w:tc>
          <w:tcPr>
            <w:tcW w:w="1314" w:type="dxa"/>
          </w:tcPr>
          <w:p>
            <w:pPr>
              <w:keepNext/>
              <w:keepLines/>
              <w:spacing w:after="0"/>
              <w:jc w:val="center"/>
              <w:rPr>
                <w:rFonts w:ascii="Arial" w:hAnsi="Arial"/>
                <w:sz w:val="18"/>
              </w:rPr>
            </w:pPr>
          </w:p>
        </w:tc>
      </w:tr>
    </w:tbl>
    <w:p>
      <w:pPr>
        <w:rPr>
          <w:rFonts w:cs="v5.0.0"/>
        </w:rPr>
      </w:pPr>
    </w:p>
    <w:p>
      <w:pPr>
        <w:pStyle w:val="6"/>
      </w:pPr>
      <w:bookmarkStart w:id="1053" w:name="_Toc120570080"/>
      <w:bookmarkStart w:id="1054" w:name="_Toc121162872"/>
      <w:bookmarkStart w:id="1055" w:name="_Toc21900"/>
      <w:bookmarkStart w:id="1056" w:name="_Toc4471"/>
      <w:bookmarkStart w:id="1057" w:name="_Toc9935"/>
      <w:bookmarkStart w:id="1058" w:name="_Toc5689"/>
      <w:bookmarkStart w:id="1059" w:name="_Toc5060"/>
      <w:bookmarkStart w:id="1060" w:name="_Toc3710"/>
      <w:bookmarkStart w:id="1061" w:name="_Toc14558"/>
      <w:r>
        <w:t>6.5B.</w:t>
      </w:r>
      <w:r>
        <w:rPr>
          <w:rFonts w:eastAsia="宋体"/>
          <w:lang w:val="en-US" w:eastAsia="zh-CN"/>
        </w:rPr>
        <w:t>4</w:t>
      </w:r>
      <w:r>
        <w:t>.</w:t>
      </w:r>
      <w:r>
        <w:rPr>
          <w:rFonts w:eastAsia="宋体"/>
          <w:lang w:val="en-US" w:eastAsia="zh-CN"/>
        </w:rPr>
        <w:t>3</w:t>
      </w:r>
      <w:r>
        <w:tab/>
      </w:r>
      <w:r>
        <w:t>Spurious emission band UE co-existence</w:t>
      </w:r>
      <w:bookmarkEnd w:id="1053"/>
      <w:bookmarkEnd w:id="1054"/>
      <w:bookmarkEnd w:id="1055"/>
      <w:bookmarkEnd w:id="1056"/>
      <w:bookmarkEnd w:id="1057"/>
      <w:r>
        <w:rPr>
          <w:rFonts w:hint="eastAsia"/>
        </w:rPr>
        <w:t xml:space="preserve"> for category NB1 and NB2</w:t>
      </w:r>
      <w:bookmarkEnd w:id="1058"/>
      <w:bookmarkEnd w:id="1059"/>
      <w:bookmarkEnd w:id="1060"/>
      <w:bookmarkEnd w:id="1061"/>
    </w:p>
    <w:p>
      <w:pPr>
        <w:pStyle w:val="112"/>
        <w:rPr>
          <w:lang w:val="en-US"/>
        </w:rPr>
      </w:pPr>
      <w:r>
        <w:t>Editor’s Note: Addition to applicability spec is pending.</w:t>
      </w:r>
    </w:p>
    <w:p>
      <w:pPr>
        <w:keepNext/>
        <w:keepLines/>
        <w:spacing w:before="120"/>
        <w:ind w:left="1985" w:hanging="1985"/>
        <w:rPr>
          <w:rFonts w:ascii="Arial" w:hAnsi="Arial" w:eastAsia="MS Mincho"/>
          <w:lang w:eastAsia="en-GB"/>
        </w:rPr>
      </w:pPr>
      <w:r>
        <w:rPr>
          <w:rFonts w:ascii="Arial" w:hAnsi="Arial" w:eastAsia="MS Mincho"/>
          <w:lang w:eastAsia="en-GB"/>
        </w:rPr>
        <w:t>6.5B.4.3.1</w:t>
      </w:r>
      <w:r>
        <w:rPr>
          <w:rFonts w:ascii="Arial" w:hAnsi="Arial" w:eastAsia="MS Mincho"/>
          <w:lang w:eastAsia="en-GB"/>
        </w:rPr>
        <w:tab/>
      </w:r>
      <w:r>
        <w:rPr>
          <w:rFonts w:ascii="Arial" w:hAnsi="Arial" w:eastAsia="MS Mincho"/>
          <w:lang w:eastAsia="en-GB"/>
        </w:rPr>
        <w:t>Test purpose</w:t>
      </w:r>
    </w:p>
    <w:p>
      <w:pPr>
        <w:rPr>
          <w:rFonts w:eastAsia="MS Mincho"/>
          <w:lang w:eastAsia="en-GB"/>
        </w:rPr>
      </w:pPr>
      <w:r>
        <w:rPr>
          <w:lang w:eastAsia="en-GB"/>
        </w:rPr>
        <w:t>To verify that UE transmitter does not cause unacceptable interference to co-existing systems for the specified bands which has specific requirements in terms of transmitter spurious emissions.</w:t>
      </w:r>
    </w:p>
    <w:p>
      <w:pPr>
        <w:keepNext/>
        <w:keepLines/>
        <w:spacing w:before="120"/>
        <w:ind w:left="1985" w:hanging="1985"/>
        <w:rPr>
          <w:rFonts w:ascii="Arial" w:hAnsi="Arial" w:eastAsia="MS Mincho"/>
          <w:lang w:eastAsia="en-GB"/>
        </w:rPr>
      </w:pPr>
      <w:r>
        <w:rPr>
          <w:rFonts w:ascii="Arial" w:hAnsi="Arial" w:eastAsia="MS Mincho"/>
          <w:lang w:eastAsia="en-GB"/>
        </w:rPr>
        <w:t>6.5B.4.3.2</w:t>
      </w:r>
      <w:r>
        <w:rPr>
          <w:rFonts w:ascii="Arial" w:hAnsi="Arial" w:eastAsia="MS Mincho"/>
          <w:lang w:eastAsia="en-GB"/>
        </w:rPr>
        <w:tab/>
      </w:r>
      <w:r>
        <w:rPr>
          <w:rFonts w:ascii="Arial" w:hAnsi="Arial" w:eastAsia="MS Mincho"/>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eastAsia="MS Mincho"/>
          <w:lang w:eastAsia="en-GB"/>
        </w:rPr>
      </w:pPr>
      <w:r>
        <w:rPr>
          <w:rFonts w:ascii="Arial" w:hAnsi="Arial" w:eastAsia="MS Mincho"/>
          <w:lang w:eastAsia="en-GB"/>
        </w:rPr>
        <w:t>6.5B.4.3.3</w:t>
      </w:r>
      <w:r>
        <w:rPr>
          <w:rFonts w:ascii="Arial" w:hAnsi="Arial" w:eastAsia="MS Mincho"/>
          <w:lang w:eastAsia="en-GB"/>
        </w:rPr>
        <w:tab/>
      </w:r>
      <w:r>
        <w:rPr>
          <w:rFonts w:ascii="Arial" w:hAnsi="Arial" w:eastAsia="MS Mincho"/>
          <w:lang w:eastAsia="en-GB"/>
        </w:rPr>
        <w:t>Minimum conformance requirements</w:t>
      </w:r>
    </w:p>
    <w:p>
      <w:pPr>
        <w:rPr>
          <w:lang w:eastAsia="en-GB"/>
        </w:rPr>
      </w:pPr>
      <w:r>
        <w:rPr>
          <w:lang w:eastAsia="en-GB"/>
        </w:rPr>
        <w:t xml:space="preserve">This clause specifies the requirements for </w:t>
      </w:r>
      <w:r>
        <w:rPr>
          <w:lang w:val="en-US"/>
        </w:rPr>
        <w:t>E-UTRA</w:t>
      </w:r>
      <w:r>
        <w:rPr>
          <w:lang w:eastAsia="en-GB"/>
        </w:rPr>
        <w:t xml:space="preserve"> satellite bands for UE coexistence with protected bands.</w:t>
      </w:r>
    </w:p>
    <w:p>
      <w:pPr>
        <w:pStyle w:val="100"/>
        <w:keepLines/>
        <w:ind w:left="1135"/>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keepNext/>
        <w:keepLines/>
        <w:spacing w:before="60"/>
        <w:jc w:val="center"/>
        <w:rPr>
          <w:rFonts w:ascii="Arial" w:hAnsi="Arial"/>
          <w:b/>
          <w:lang w:eastAsia="en-GB"/>
        </w:rPr>
      </w:pPr>
      <w:r>
        <w:rPr>
          <w:rFonts w:ascii="Arial" w:hAnsi="Arial"/>
          <w:b/>
          <w:lang w:eastAsia="en-GB"/>
        </w:rPr>
        <w:t>Table 6.5B.4.3.3-1: Spurious emission band UE co-existence limits</w:t>
      </w:r>
    </w:p>
    <w:tbl>
      <w:tblPr>
        <w:tblStyle w:val="89"/>
        <w:tblW w:w="8940"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59"/>
        <w:gridCol w:w="3164"/>
        <w:gridCol w:w="772"/>
        <w:gridCol w:w="362"/>
        <w:gridCol w:w="772"/>
        <w:gridCol w:w="1133"/>
        <w:gridCol w:w="850"/>
        <w:gridCol w:w="92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70" w:hRule="atLeast"/>
          <w:jc w:val="center"/>
        </w:trPr>
        <w:tc>
          <w:tcPr>
            <w:tcW w:w="960" w:type="dxa"/>
            <w:vMerge w:val="restart"/>
            <w:tcBorders>
              <w:top w:val="single" w:color="auto" w:sz="4" w:space="0"/>
              <w:left w:val="single" w:color="auto" w:sz="4" w:space="0"/>
              <w:bottom w:val="single" w:color="auto" w:sz="6" w:space="0"/>
              <w:right w:val="single" w:color="auto" w:sz="6" w:space="0"/>
            </w:tcBorders>
            <w:vAlign w:val="center"/>
          </w:tcPr>
          <w:p>
            <w:pPr>
              <w:keepNext/>
              <w:keepLines/>
              <w:spacing w:after="0"/>
              <w:jc w:val="center"/>
              <w:rPr>
                <w:rFonts w:ascii="Arial" w:hAnsi="Arial" w:cs="Arial"/>
                <w:b/>
                <w:sz w:val="18"/>
                <w:lang w:eastAsia="en-GB"/>
              </w:rPr>
            </w:pPr>
            <w:r>
              <w:rPr>
                <w:rFonts w:ascii="Arial" w:hAnsi="Arial" w:cs="Arial"/>
                <w:b/>
                <w:sz w:val="18"/>
                <w:lang w:eastAsia="en-GB"/>
              </w:rPr>
              <w:t>E-UTRA Band</w:t>
            </w:r>
          </w:p>
        </w:tc>
        <w:tc>
          <w:tcPr>
            <w:tcW w:w="7986" w:type="dxa"/>
            <w:gridSpan w:val="7"/>
            <w:tcBorders>
              <w:top w:val="single" w:color="auto" w:sz="4" w:space="0"/>
              <w:left w:val="single" w:color="auto" w:sz="6" w:space="0"/>
              <w:bottom w:val="single" w:color="auto" w:sz="6" w:space="0"/>
              <w:right w:val="single" w:color="auto" w:sz="4" w:space="0"/>
            </w:tcBorders>
          </w:tcPr>
          <w:p>
            <w:pPr>
              <w:keepNext/>
              <w:keepLines/>
              <w:spacing w:after="0"/>
              <w:jc w:val="center"/>
              <w:rPr>
                <w:rFonts w:ascii="Arial" w:hAnsi="Arial" w:cs="Arial"/>
                <w:b/>
                <w:sz w:val="18"/>
                <w:lang w:eastAsia="en-GB"/>
              </w:rPr>
            </w:pPr>
            <w:r>
              <w:rPr>
                <w:rFonts w:ascii="Arial" w:hAnsi="Arial" w:cs="Arial"/>
                <w:b/>
                <w:sz w:val="18"/>
                <w:lang w:eastAsia="en-GB"/>
              </w:rPr>
              <w:t xml:space="preserve">Spurious emission </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8946" w:type="dxa"/>
            <w:vMerge w:val="continue"/>
            <w:tcBorders>
              <w:top w:val="single" w:color="auto" w:sz="4" w:space="0"/>
              <w:left w:val="single" w:color="auto" w:sz="4" w:space="0"/>
              <w:bottom w:val="single" w:color="auto" w:sz="6" w:space="0"/>
              <w:right w:val="single" w:color="auto" w:sz="6" w:space="0"/>
            </w:tcBorders>
            <w:vAlign w:val="center"/>
          </w:tcPr>
          <w:p>
            <w:pPr>
              <w:spacing w:after="0"/>
              <w:rPr>
                <w:rFonts w:ascii="Arial" w:hAnsi="Arial" w:cs="Arial"/>
                <w:b/>
                <w:sz w:val="18"/>
                <w:lang w:eastAsia="en-GB"/>
              </w:rPr>
            </w:pPr>
          </w:p>
        </w:tc>
        <w:tc>
          <w:tcPr>
            <w:tcW w:w="316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lang w:eastAsia="en-GB"/>
              </w:rPr>
            </w:pPr>
            <w:r>
              <w:rPr>
                <w:rFonts w:ascii="Arial" w:hAnsi="Arial" w:cs="Arial"/>
                <w:b/>
                <w:sz w:val="18"/>
                <w:lang w:eastAsia="en-GB"/>
              </w:rPr>
              <w:t>Protected band</w:t>
            </w:r>
          </w:p>
        </w:tc>
        <w:tc>
          <w:tcPr>
            <w:tcW w:w="1906" w:type="dxa"/>
            <w:gridSpan w:val="3"/>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lang w:eastAsia="en-GB"/>
              </w:rPr>
            </w:pPr>
            <w:r>
              <w:rPr>
                <w:rFonts w:ascii="Arial" w:hAnsi="Arial" w:cs="Arial"/>
                <w:b/>
                <w:sz w:val="18"/>
                <w:lang w:eastAsia="en-GB"/>
              </w:rPr>
              <w:t>Frequency range (MHz)</w:t>
            </w:r>
          </w:p>
        </w:tc>
        <w:tc>
          <w:tcPr>
            <w:tcW w:w="113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lang w:eastAsia="en-GB"/>
              </w:rPr>
            </w:pPr>
            <w:r>
              <w:rPr>
                <w:rFonts w:ascii="Arial" w:hAnsi="Arial" w:cs="Arial"/>
                <w:b/>
                <w:sz w:val="18"/>
                <w:lang w:eastAsia="en-GB"/>
              </w:rPr>
              <w:t>Maximum Level (dBm)</w:t>
            </w:r>
          </w:p>
        </w:tc>
        <w:tc>
          <w:tcPr>
            <w:tcW w:w="851"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lang w:eastAsia="en-GB"/>
              </w:rPr>
            </w:pPr>
            <w:r>
              <w:rPr>
                <w:rFonts w:ascii="Arial" w:hAnsi="Arial" w:cs="Arial"/>
                <w:b/>
                <w:sz w:val="18"/>
                <w:lang w:eastAsia="en-GB"/>
              </w:rPr>
              <w:t>MBW (MHz)</w:t>
            </w:r>
          </w:p>
        </w:tc>
        <w:tc>
          <w:tcPr>
            <w:tcW w:w="929" w:type="dxa"/>
            <w:tcBorders>
              <w:top w:val="single" w:color="auto" w:sz="6" w:space="0"/>
              <w:left w:val="single" w:color="auto" w:sz="6" w:space="0"/>
              <w:bottom w:val="single" w:color="auto" w:sz="6" w:space="0"/>
              <w:right w:val="single" w:color="auto" w:sz="4" w:space="0"/>
            </w:tcBorders>
            <w:noWrap/>
          </w:tcPr>
          <w:p>
            <w:pPr>
              <w:keepNext/>
              <w:keepLines/>
              <w:spacing w:after="0"/>
              <w:jc w:val="center"/>
              <w:rPr>
                <w:rFonts w:ascii="Arial" w:hAnsi="Arial" w:cs="Arial"/>
                <w:b/>
                <w:sz w:val="18"/>
                <w:lang w:eastAsia="en-GB"/>
              </w:rPr>
            </w:pPr>
            <w:r>
              <w:rPr>
                <w:rFonts w:ascii="Arial" w:hAnsi="Arial" w:cs="Arial"/>
                <w:b/>
                <w:sz w:val="18"/>
                <w:lang w:eastAsia="en-GB"/>
              </w:rPr>
              <w:t>NOTE</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960" w:type="dxa"/>
            <w:vMerge w:val="restart"/>
            <w:tcBorders>
              <w:top w:val="single" w:color="auto" w:sz="6" w:space="0"/>
              <w:left w:val="single" w:color="auto" w:sz="4" w:space="0"/>
              <w:bottom w:val="single" w:color="auto" w:sz="6" w:space="0"/>
              <w:right w:val="single" w:color="auto" w:sz="6" w:space="0"/>
            </w:tcBorders>
          </w:tcPr>
          <w:p>
            <w:pPr>
              <w:keepNext/>
              <w:keepLines/>
              <w:spacing w:after="0"/>
              <w:jc w:val="center"/>
              <w:rPr>
                <w:rFonts w:ascii="Arial" w:hAnsi="Arial" w:cs="Arial"/>
                <w:sz w:val="16"/>
                <w:szCs w:val="16"/>
                <w:lang w:val="en-US"/>
              </w:rPr>
            </w:pPr>
            <w:r>
              <w:rPr>
                <w:rFonts w:ascii="Arial" w:hAnsi="Arial" w:cs="Arial"/>
                <w:sz w:val="16"/>
                <w:szCs w:val="16"/>
                <w:lang w:val="en-US"/>
              </w:rPr>
              <w:t>255</w:t>
            </w: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ja-JP"/>
              </w:rPr>
            </w:pPr>
            <w:r>
              <w:rPr>
                <w:rFonts w:ascii="Arial" w:hAnsi="Arial" w:cs="Arial"/>
                <w:sz w:val="16"/>
                <w:szCs w:val="16"/>
                <w:lang w:eastAsia="en-GB"/>
              </w:rPr>
              <w:t xml:space="preserve">E-UTRA Band 2, 4, 5, 12, 13, 14, 17, 24, 25, 26, 29, 30, 41, </w:t>
            </w:r>
            <w:r>
              <w:rPr>
                <w:rFonts w:ascii="Arial" w:hAnsi="Arial" w:cs="Arial"/>
                <w:sz w:val="16"/>
                <w:szCs w:val="16"/>
                <w:lang w:eastAsia="ja-JP"/>
              </w:rPr>
              <w:t xml:space="preserve">48, </w:t>
            </w:r>
            <w:r>
              <w:rPr>
                <w:rFonts w:ascii="Arial" w:hAnsi="Arial" w:cs="Arial"/>
                <w:sz w:val="16"/>
                <w:szCs w:val="16"/>
                <w:lang w:eastAsia="en-GB"/>
              </w:rPr>
              <w:t>66, 70</w:t>
            </w:r>
            <w:r>
              <w:rPr>
                <w:rFonts w:ascii="Arial" w:hAnsi="Arial" w:cs="Arial"/>
                <w:sz w:val="16"/>
                <w:szCs w:val="16"/>
              </w:rPr>
              <w:t>, 71, 85</w:t>
            </w:r>
            <w:r>
              <w:rPr>
                <w:rFonts w:ascii="Arial" w:hAnsi="Arial" w:cs="Arial"/>
                <w:sz w:val="16"/>
                <w:szCs w:val="16"/>
                <w:lang w:eastAsia="ja-JP"/>
              </w:rPr>
              <w:t>, 103</w:t>
            </w:r>
          </w:p>
          <w:p>
            <w:pPr>
              <w:keepNext/>
              <w:keepLines/>
              <w:spacing w:after="0"/>
              <w:rPr>
                <w:rFonts w:ascii="Arial" w:hAnsi="Arial" w:cs="Arial"/>
                <w:sz w:val="16"/>
                <w:szCs w:val="16"/>
                <w:lang w:eastAsia="en-GB"/>
              </w:rPr>
            </w:pPr>
            <w:r>
              <w:rPr>
                <w:rFonts w:ascii="Arial" w:hAnsi="Arial" w:cs="Arial"/>
                <w:sz w:val="16"/>
                <w:szCs w:val="16"/>
                <w:lang w:val="sv-FI" w:eastAsia="en-GB"/>
              </w:rPr>
              <w:t>NR Band n1, n3, n7, n8, n18, n20, n28, n34, n38, n39, n40, n50, n51, n53, n65, n67, n74, n75, n76, n90, n91, n92, n93, n94</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jc w:val="right"/>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DL_low</w:t>
            </w:r>
            <w:r>
              <w:rPr>
                <w:rFonts w:ascii="Arial" w:hAnsi="Arial" w:cs="Arial"/>
                <w:sz w:val="16"/>
                <w:szCs w:val="16"/>
                <w:lang w:eastAsia="en-GB"/>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en-GB"/>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val="sv-FI" w:eastAsia="en-GB"/>
              </w:rPr>
              <w:t>NR Band n77, n78, n79</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jc w:val="right"/>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DL_low</w:t>
            </w:r>
            <w:r>
              <w:rPr>
                <w:rFonts w:ascii="Arial" w:hAnsi="Arial" w:cs="Arial"/>
                <w:sz w:val="16"/>
                <w:szCs w:val="16"/>
                <w:lang w:eastAsia="en-GB"/>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960" w:type="dxa"/>
            <w:vMerge w:val="restart"/>
            <w:tcBorders>
              <w:top w:val="single" w:color="auto" w:sz="6" w:space="0"/>
              <w:left w:val="single" w:color="auto" w:sz="4" w:space="0"/>
              <w:bottom w:val="single" w:color="auto" w:sz="6" w:space="0"/>
              <w:right w:val="single" w:color="auto" w:sz="6" w:space="0"/>
            </w:tcBorders>
          </w:tcPr>
          <w:p>
            <w:pPr>
              <w:keepNext/>
              <w:keepLines/>
              <w:spacing w:after="0"/>
              <w:jc w:val="center"/>
              <w:rPr>
                <w:rFonts w:ascii="Arial" w:hAnsi="Arial" w:cs="Arial"/>
                <w:sz w:val="16"/>
                <w:szCs w:val="16"/>
                <w:lang w:val="en-US"/>
              </w:rPr>
            </w:pPr>
            <w:r>
              <w:rPr>
                <w:rFonts w:ascii="Arial" w:hAnsi="Arial" w:cs="Arial"/>
                <w:sz w:val="16"/>
                <w:szCs w:val="16"/>
                <w:lang w:val="en-US"/>
              </w:rPr>
              <w:t>256</w:t>
            </w: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val="sv-FI"/>
              </w:rPr>
            </w:pPr>
            <w:r>
              <w:rPr>
                <w:rFonts w:ascii="Arial" w:hAnsi="Arial" w:cs="Arial"/>
                <w:sz w:val="16"/>
                <w:szCs w:val="16"/>
                <w:lang w:val="sv-FI" w:eastAsia="en-GB"/>
              </w:rPr>
              <w:t xml:space="preserve">E-UTRA Band 1, 3, </w:t>
            </w:r>
            <w:r>
              <w:rPr>
                <w:rFonts w:ascii="Arial" w:hAnsi="Arial" w:cs="Arial"/>
                <w:sz w:val="16"/>
                <w:szCs w:val="16"/>
                <w:lang w:val="en-US"/>
              </w:rPr>
              <w:t>5,</w:t>
            </w:r>
            <w:r>
              <w:rPr>
                <w:rFonts w:ascii="Arial" w:hAnsi="Arial" w:cs="Arial"/>
                <w:sz w:val="16"/>
                <w:szCs w:val="16"/>
                <w:lang w:val="sv-FI" w:eastAsia="en-GB"/>
              </w:rPr>
              <w:t>7, 8,</w:t>
            </w:r>
            <w:r>
              <w:rPr>
                <w:rFonts w:ascii="Arial" w:hAnsi="Arial" w:cs="Arial"/>
                <w:sz w:val="16"/>
                <w:szCs w:val="16"/>
                <w:lang w:val="en-US"/>
              </w:rPr>
              <w:t xml:space="preserve"> 11, 18, 19,</w:t>
            </w:r>
            <w:r>
              <w:rPr>
                <w:rFonts w:ascii="Arial" w:hAnsi="Arial" w:cs="Arial"/>
                <w:sz w:val="16"/>
                <w:szCs w:val="16"/>
                <w:lang w:val="sv-FI" w:eastAsia="en-GB"/>
              </w:rPr>
              <w:t xml:space="preserve"> 20, </w:t>
            </w:r>
            <w:r>
              <w:rPr>
                <w:rFonts w:ascii="Arial" w:hAnsi="Arial" w:cs="Arial"/>
                <w:sz w:val="16"/>
                <w:szCs w:val="16"/>
                <w:lang w:val="en-US"/>
              </w:rPr>
              <w:t xml:space="preserve">21, </w:t>
            </w:r>
            <w:r>
              <w:rPr>
                <w:rFonts w:ascii="Arial" w:hAnsi="Arial" w:cs="Arial"/>
                <w:sz w:val="16"/>
                <w:szCs w:val="16"/>
                <w:lang w:val="sv-FI" w:eastAsia="en-GB"/>
              </w:rPr>
              <w:t xml:space="preserve">22, </w:t>
            </w:r>
            <w:r>
              <w:rPr>
                <w:rFonts w:ascii="Arial" w:hAnsi="Arial" w:cs="Arial"/>
                <w:sz w:val="16"/>
                <w:szCs w:val="16"/>
                <w:lang w:val="en-US"/>
              </w:rPr>
              <w:t xml:space="preserve">26, 27, </w:t>
            </w:r>
            <w:r>
              <w:rPr>
                <w:rFonts w:ascii="Arial" w:hAnsi="Arial" w:cs="Arial"/>
                <w:sz w:val="16"/>
                <w:szCs w:val="16"/>
                <w:lang w:val="sv-FI" w:eastAsia="en-GB"/>
              </w:rPr>
              <w:t xml:space="preserve">28, 31, </w:t>
            </w:r>
            <w:r>
              <w:rPr>
                <w:rFonts w:ascii="Arial" w:hAnsi="Arial" w:cs="Arial"/>
                <w:sz w:val="16"/>
                <w:szCs w:val="16"/>
                <w:lang w:val="en-US"/>
              </w:rPr>
              <w:t xml:space="preserve">33, </w:t>
            </w:r>
            <w:r>
              <w:rPr>
                <w:rFonts w:ascii="Arial" w:hAnsi="Arial" w:cs="Arial"/>
                <w:sz w:val="16"/>
                <w:szCs w:val="16"/>
                <w:lang w:val="sv-FI" w:eastAsia="en-GB"/>
              </w:rPr>
              <w:t xml:space="preserve">32, </w:t>
            </w:r>
            <w:r>
              <w:rPr>
                <w:rFonts w:ascii="Arial" w:hAnsi="Arial" w:cs="Arial"/>
                <w:sz w:val="16"/>
                <w:szCs w:val="16"/>
                <w:lang w:val="en-US"/>
              </w:rPr>
              <w:t xml:space="preserve">35, </w:t>
            </w:r>
            <w:r>
              <w:rPr>
                <w:rFonts w:ascii="Arial" w:hAnsi="Arial" w:cs="Arial"/>
                <w:sz w:val="16"/>
                <w:szCs w:val="16"/>
                <w:lang w:val="sv-FI" w:eastAsia="en-GB"/>
              </w:rPr>
              <w:t>38, 40,</w:t>
            </w:r>
            <w:r>
              <w:rPr>
                <w:rFonts w:ascii="Arial" w:hAnsi="Arial" w:cs="Arial"/>
                <w:sz w:val="16"/>
                <w:szCs w:val="16"/>
                <w:lang w:val="en-US"/>
              </w:rPr>
              <w:t xml:space="preserve"> 41,</w:t>
            </w:r>
            <w:r>
              <w:rPr>
                <w:rFonts w:ascii="Arial" w:hAnsi="Arial" w:cs="Arial"/>
                <w:sz w:val="16"/>
                <w:szCs w:val="16"/>
                <w:lang w:val="sv-FI" w:eastAsia="en-GB"/>
              </w:rPr>
              <w:t xml:space="preserve"> 42, 43, 50, 51</w:t>
            </w:r>
            <w:r>
              <w:rPr>
                <w:rFonts w:ascii="Arial" w:hAnsi="Arial" w:cs="Arial"/>
                <w:sz w:val="16"/>
                <w:szCs w:val="16"/>
                <w:lang w:val="en-US"/>
              </w:rPr>
              <w:t xml:space="preserve">, 54, </w:t>
            </w:r>
            <w:r>
              <w:rPr>
                <w:rFonts w:ascii="Arial" w:hAnsi="Arial" w:cs="Arial"/>
                <w:sz w:val="16"/>
                <w:szCs w:val="16"/>
                <w:lang w:val="sv-FI" w:eastAsia="en-GB"/>
              </w:rPr>
              <w:t>65, 68, 69, 72</w:t>
            </w:r>
            <w:r>
              <w:rPr>
                <w:rFonts w:ascii="Arial" w:hAnsi="Arial" w:cs="Arial"/>
                <w:sz w:val="16"/>
                <w:szCs w:val="16"/>
                <w:lang w:val="sv-FI" w:eastAsia="ja-JP"/>
              </w:rPr>
              <w:t>, 74</w:t>
            </w:r>
            <w:r>
              <w:rPr>
                <w:rFonts w:ascii="Arial" w:hAnsi="Arial" w:cs="Arial"/>
                <w:sz w:val="16"/>
                <w:szCs w:val="16"/>
                <w:lang w:val="sv-FI" w:eastAsia="en-GB"/>
              </w:rPr>
              <w:t>, 75, 76</w:t>
            </w:r>
            <w:r>
              <w:rPr>
                <w:rFonts w:ascii="Arial" w:hAnsi="Arial" w:cs="Arial"/>
                <w:sz w:val="16"/>
                <w:szCs w:val="16"/>
                <w:lang w:val="de-DE"/>
              </w:rPr>
              <w:t>, 87, 88</w:t>
            </w:r>
          </w:p>
          <w:p>
            <w:pPr>
              <w:keepNext/>
              <w:keepLines/>
              <w:spacing w:after="0"/>
              <w:rPr>
                <w:rFonts w:ascii="Arial" w:hAnsi="Arial" w:cs="Arial"/>
                <w:sz w:val="16"/>
                <w:szCs w:val="16"/>
                <w:lang w:val="sv-FI" w:eastAsia="en-GB"/>
              </w:rPr>
            </w:pPr>
            <w:r>
              <w:rPr>
                <w:rFonts w:ascii="Arial" w:hAnsi="Arial" w:cs="Arial"/>
                <w:sz w:val="16"/>
                <w:szCs w:val="16"/>
                <w:lang w:val="sv-FI" w:eastAsia="en-GB"/>
              </w:rPr>
              <w:t>NR Band n12, n13, n14, n24, n29, n30,  n39,</w:t>
            </w:r>
            <w:r>
              <w:rPr>
                <w:rFonts w:ascii="Arial" w:hAnsi="Arial" w:cs="Arial"/>
                <w:sz w:val="16"/>
                <w:szCs w:val="16"/>
                <w:lang w:val="en-US"/>
              </w:rPr>
              <w:t xml:space="preserve"> </w:t>
            </w:r>
            <w:r>
              <w:rPr>
                <w:rFonts w:ascii="Arial" w:hAnsi="Arial" w:cs="Arial"/>
                <w:sz w:val="16"/>
                <w:szCs w:val="16"/>
                <w:lang w:val="sv-FI" w:eastAsia="en-GB"/>
              </w:rPr>
              <w:t>n48, n53</w:t>
            </w:r>
            <w:r>
              <w:rPr>
                <w:rFonts w:ascii="Arial" w:hAnsi="Arial" w:cs="Arial"/>
                <w:sz w:val="16"/>
                <w:szCs w:val="16"/>
                <w:lang w:val="en-US"/>
              </w:rPr>
              <w:t>,</w:t>
            </w:r>
            <w:r>
              <w:rPr>
                <w:rFonts w:ascii="Arial" w:hAnsi="Arial" w:cs="Arial"/>
                <w:sz w:val="16"/>
                <w:szCs w:val="16"/>
                <w:lang w:val="sv-FI" w:eastAsia="en-GB"/>
              </w:rPr>
              <w:t xml:space="preserve"> n66, n67, n71, n78, n79, n85, n90, n91, n92, n93, n94, n101</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jc w:val="right"/>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DL_low</w:t>
            </w:r>
            <w:r>
              <w:rPr>
                <w:rFonts w:ascii="Arial" w:hAnsi="Arial" w:cs="Arial"/>
                <w:sz w:val="16"/>
                <w:szCs w:val="16"/>
                <w:lang w:eastAsia="en-GB"/>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en-GB"/>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val="sv-FI"/>
              </w:rPr>
              <w:t>NR Band n77</w:t>
            </w:r>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jc w:val="right"/>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DL_low</w:t>
            </w:r>
            <w:r>
              <w:rPr>
                <w:rFonts w:ascii="Arial" w:hAnsi="Arial" w:cs="Arial"/>
                <w:sz w:val="16"/>
                <w:szCs w:val="16"/>
                <w:lang w:eastAsia="en-GB"/>
              </w:rPr>
              <w:t xml:space="preserve"> </w:t>
            </w:r>
          </w:p>
        </w:tc>
        <w:tc>
          <w:tcPr>
            <w:tcW w:w="362" w:type="dxa"/>
            <w:tcBorders>
              <w:top w:val="single" w:color="auto" w:sz="6" w:space="0"/>
              <w:left w:val="single" w:color="auto" w:sz="6" w:space="0"/>
              <w:bottom w:val="single" w:color="auto" w:sz="6" w:space="0"/>
              <w:right w:val="single" w:color="auto" w:sz="6" w:space="0"/>
            </w:tcBorders>
            <w:vAlign w:val="bottom"/>
          </w:tcPr>
          <w:p>
            <w:pPr>
              <w:keepNext/>
              <w:keepLines/>
              <w:spacing w:after="0"/>
              <w:jc w:val="center"/>
              <w:rPr>
                <w:rFonts w:ascii="Arial" w:hAnsi="Arial" w:cs="Arial"/>
                <w:sz w:val="16"/>
                <w:szCs w:val="16"/>
                <w:lang w:eastAsia="en-GB"/>
              </w:rPr>
            </w:pPr>
            <w:r>
              <w:rPr>
                <w:rFonts w:ascii="Arial" w:hAnsi="Arial" w:cs="Arial"/>
                <w:sz w:val="16"/>
                <w:szCs w:val="16"/>
                <w:lang w:eastAsia="en-GB"/>
              </w:rPr>
              <w:t xml:space="preserve">- </w:t>
            </w:r>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bottom"/>
          </w:tcPr>
          <w:p>
            <w:pPr>
              <w:keepNext/>
              <w:keepLines/>
              <w:spacing w:after="0"/>
              <w:rPr>
                <w:rFonts w:ascii="Arial" w:hAnsi="Arial" w:cs="Arial"/>
                <w:sz w:val="16"/>
                <w:szCs w:val="16"/>
                <w:lang w:eastAsia="ja-JP"/>
              </w:rPr>
            </w:pPr>
            <w:r>
              <w:rPr>
                <w:rFonts w:ascii="Arial" w:hAnsi="Arial" w:cs="Arial"/>
                <w:sz w:val="16"/>
                <w:szCs w:val="16"/>
                <w:lang w:val="sv-FI" w:eastAsia="en-GB"/>
              </w:rPr>
              <w:t>NR Band n2, n25, n70</w:t>
            </w:r>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jc w:val="right"/>
              <w:rPr>
                <w:rFonts w:ascii="Arial" w:hAnsi="Arial" w:cs="Arial"/>
                <w:sz w:val="16"/>
                <w:szCs w:val="16"/>
                <w:lang w:eastAsia="en-GB"/>
              </w:rPr>
            </w:pPr>
            <w:r>
              <w:rPr>
                <w:rFonts w:ascii="Arial" w:hAnsi="Arial"/>
                <w:sz w:val="16"/>
                <w:szCs w:val="16"/>
                <w:lang w:eastAsia="en-GB"/>
              </w:rPr>
              <w:t>F</w:t>
            </w:r>
            <w:r>
              <w:rPr>
                <w:rFonts w:ascii="Arial" w:hAnsi="Arial"/>
                <w:sz w:val="16"/>
                <w:szCs w:val="16"/>
                <w:vertAlign w:val="subscript"/>
                <w:lang w:eastAsia="en-GB"/>
              </w:rPr>
              <w:t>DL_low</w:t>
            </w:r>
          </w:p>
        </w:tc>
        <w:tc>
          <w:tcPr>
            <w:tcW w:w="362" w:type="dxa"/>
            <w:tcBorders>
              <w:top w:val="single" w:color="auto" w:sz="6" w:space="0"/>
              <w:left w:val="single" w:color="auto" w:sz="6" w:space="0"/>
              <w:bottom w:val="single" w:color="auto" w:sz="6" w:space="0"/>
              <w:right w:val="single" w:color="auto" w:sz="6" w:space="0"/>
            </w:tcBorders>
            <w:vAlign w:val="bottom"/>
          </w:tcPr>
          <w:p>
            <w:pPr>
              <w:keepNext/>
              <w:keepLines/>
              <w:spacing w:after="0"/>
              <w:jc w:val="center"/>
              <w:rPr>
                <w:rFonts w:ascii="Arial" w:hAnsi="Arial" w:cs="Arial"/>
                <w:sz w:val="16"/>
                <w:szCs w:val="16"/>
                <w:lang w:eastAsia="en-GB"/>
              </w:rPr>
            </w:pPr>
            <w:r>
              <w:rPr>
                <w:rFonts w:ascii="Arial" w:hAnsi="Arial" w:cs="Arial"/>
                <w:sz w:val="16"/>
                <w:szCs w:val="16"/>
                <w:lang w:eastAsia="en-GB"/>
              </w:rPr>
              <w:t xml:space="preserve">- </w:t>
            </w:r>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rPr>
                <w:rFonts w:ascii="Arial" w:hAnsi="Arial" w:cs="Arial"/>
                <w:sz w:val="16"/>
                <w:szCs w:val="16"/>
                <w:lang w:eastAsia="en-GB"/>
              </w:rPr>
            </w:pPr>
            <w:r>
              <w:rPr>
                <w:rFonts w:ascii="Arial" w:hAnsi="Arial"/>
                <w:sz w:val="16"/>
                <w:szCs w:val="16"/>
                <w:lang w:eastAsia="en-GB"/>
              </w:rPr>
              <w:t>F</w:t>
            </w:r>
            <w:r>
              <w:rPr>
                <w:rFonts w:ascii="Arial" w:hAnsi="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sz w:val="16"/>
                <w:szCs w:val="16"/>
                <w:lang w:eastAsia="en-GB"/>
              </w:rPr>
              <w:t>NA</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sz w:val="16"/>
                <w:szCs w:val="16"/>
                <w:lang w:eastAsia="en-GB"/>
              </w:rPr>
              <w:t>NA</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ja-JP"/>
              </w:rPr>
            </w:pPr>
            <w:r>
              <w:rPr>
                <w:rFonts w:ascii="Arial" w:hAnsi="Arial"/>
                <w:sz w:val="16"/>
                <w:szCs w:val="16"/>
                <w:lang w:eastAsia="en-GB"/>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112" w:hRule="atLeast"/>
          <w:jc w:val="center"/>
        </w:trPr>
        <w:tc>
          <w:tcPr>
            <w:tcW w:w="8946" w:type="dxa"/>
            <w:gridSpan w:val="8"/>
            <w:tcBorders>
              <w:top w:val="single" w:color="auto" w:sz="6" w:space="0"/>
              <w:left w:val="single" w:color="auto" w:sz="4" w:space="0"/>
              <w:bottom w:val="single" w:color="auto" w:sz="4" w:space="0"/>
              <w:right w:val="single" w:color="auto" w:sz="4" w:space="0"/>
            </w:tcBorders>
            <w:vAlign w:val="bottom"/>
          </w:tcPr>
          <w:p>
            <w:pPr>
              <w:pStyle w:val="118"/>
              <w:keepNext/>
              <w:keepLines/>
              <w:spacing w:after="0"/>
              <w:ind w:left="851"/>
              <w:rPr>
                <w:lang w:eastAsia="en-GB"/>
              </w:rPr>
            </w:pPr>
            <w:r>
              <w:rPr>
                <w:lang w:eastAsia="en-GB"/>
              </w:rPr>
              <w:t>NOTE 1:</w:t>
            </w:r>
            <w:r>
              <w:rPr>
                <w:lang w:eastAsia="en-GB"/>
              </w:rPr>
              <w:tab/>
            </w:r>
            <w:r>
              <w:rPr>
                <w:lang w:eastAsia="en-GB"/>
              </w:rPr>
              <w:t>F</w:t>
            </w:r>
            <w:r>
              <w:rPr>
                <w:vertAlign w:val="subscript"/>
                <w:lang w:eastAsia="en-GB"/>
              </w:rPr>
              <w:t>DL_low</w:t>
            </w:r>
            <w:r>
              <w:rPr>
                <w:lang w:eastAsia="en-GB"/>
              </w:rPr>
              <w:t xml:space="preserve"> and F</w:t>
            </w:r>
            <w:r>
              <w:rPr>
                <w:vertAlign w:val="subscript"/>
                <w:lang w:eastAsia="en-GB"/>
              </w:rPr>
              <w:t>DL_high</w:t>
            </w:r>
            <w:r>
              <w:rPr>
                <w:lang w:eastAsia="en-GB"/>
              </w:rPr>
              <w:t xml:space="preserve"> refer to each E-UTRA frequency band specified in Table 5.4A.2-1</w:t>
            </w:r>
          </w:p>
          <w:p>
            <w:pPr>
              <w:pStyle w:val="118"/>
              <w:keepNext/>
              <w:keepLines/>
              <w:spacing w:after="0"/>
              <w:ind w:left="851"/>
              <w:rPr>
                <w:lang w:eastAsia="en-GB"/>
              </w:rPr>
            </w:pPr>
            <w:r>
              <w:rPr>
                <w:lang w:eastAsia="en-GB"/>
              </w:rPr>
              <w:t>NOTE 2:</w:t>
            </w:r>
            <w:r>
              <w:rPr>
                <w:lang w:eastAsia="en-GB"/>
              </w:rPr>
              <w:tab/>
            </w:r>
            <w:r>
              <w:rPr>
                <w:lang w:eastAsia="en-GB"/>
              </w:rPr>
              <w:t>As exceptions, measurements with a level up to the applicable requirements defined in Table 6.5A.4.2-2 are permitted for each assigned E-UTRA carrier used in the measurement due to 2</w:t>
            </w:r>
            <w:r>
              <w:rPr>
                <w:vertAlign w:val="superscript"/>
                <w:lang w:eastAsia="en-GB"/>
              </w:rPr>
              <w:t>nd</w:t>
            </w:r>
            <w:r>
              <w:rPr>
                <w:lang w:eastAsia="en-GB"/>
              </w:rPr>
              <w:t>, 3</w:t>
            </w:r>
            <w:r>
              <w:rPr>
                <w:vertAlign w:val="superscript"/>
                <w:lang w:eastAsia="en-GB"/>
              </w:rPr>
              <w:t>rd</w:t>
            </w:r>
            <w:r>
              <w:rPr>
                <w:lang w:eastAsia="en-GB"/>
              </w:rPr>
              <w:t>, 4</w:t>
            </w:r>
            <w:r>
              <w:rPr>
                <w:vertAlign w:val="superscript"/>
                <w:lang w:eastAsia="en-GB"/>
              </w:rPr>
              <w:t>th</w:t>
            </w:r>
            <w:r>
              <w:rPr>
                <w:lang w:eastAsia="en-GB"/>
              </w:rPr>
              <w:t xml:space="preserve"> [or 5</w:t>
            </w:r>
            <w:r>
              <w:rPr>
                <w:vertAlign w:val="superscript"/>
                <w:lang w:eastAsia="en-GB"/>
              </w:rPr>
              <w:t>th</w:t>
            </w:r>
            <w:r>
              <w:rPr>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lang w:eastAsia="en-GB"/>
              </w:rPr>
              <w:t>CRB</w:t>
            </w:r>
            <w:r>
              <w:rPr>
                <w:lang w:eastAsia="en-GB"/>
              </w:rPr>
              <w:t xml:space="preserve"> x 180kHz), where N is 2, 3, 4, [5] for the 2</w:t>
            </w:r>
            <w:r>
              <w:rPr>
                <w:vertAlign w:val="superscript"/>
                <w:lang w:eastAsia="en-GB"/>
              </w:rPr>
              <w:t>nd</w:t>
            </w:r>
            <w:r>
              <w:rPr>
                <w:lang w:eastAsia="en-GB"/>
              </w:rPr>
              <w:t>, 3</w:t>
            </w:r>
            <w:r>
              <w:rPr>
                <w:vertAlign w:val="superscript"/>
                <w:lang w:eastAsia="en-GB"/>
              </w:rPr>
              <w:t>rd</w:t>
            </w:r>
            <w:r>
              <w:rPr>
                <w:lang w:eastAsia="en-GB"/>
              </w:rPr>
              <w:t>, 4</w:t>
            </w:r>
            <w:r>
              <w:rPr>
                <w:vertAlign w:val="superscript"/>
                <w:lang w:eastAsia="en-GB"/>
              </w:rPr>
              <w:t>th</w:t>
            </w:r>
            <w:r>
              <w:rPr>
                <w:lang w:eastAsia="en-GB"/>
              </w:rPr>
              <w:t xml:space="preserve"> [or 5</w:t>
            </w:r>
            <w:r>
              <w:rPr>
                <w:vertAlign w:val="superscript"/>
                <w:lang w:eastAsia="en-GB"/>
              </w:rPr>
              <w:t>th</w:t>
            </w:r>
            <w:r>
              <w:rPr>
                <w:lang w:eastAsia="en-GB"/>
              </w:rPr>
              <w:t>] harmonic respectively. The exception is allowed if the measurement bandwidth (MBW) totally or partially overlaps the overall exception interval.</w:t>
            </w:r>
          </w:p>
          <w:p>
            <w:pPr>
              <w:pStyle w:val="118"/>
              <w:keepNext/>
              <w:keepLines/>
              <w:spacing w:after="0"/>
              <w:ind w:left="851"/>
              <w:rPr>
                <w:lang w:eastAsia="en-GB"/>
              </w:rPr>
            </w:pPr>
            <w:r>
              <w:rPr>
                <w:lang w:eastAsia="en-GB"/>
              </w:rPr>
              <w:t>NOTE 3:</w:t>
            </w:r>
            <w:r>
              <w:rPr>
                <w:lang w:eastAsia="en-GB"/>
              </w:rPr>
              <w:tab/>
            </w:r>
            <w:r>
              <w:rPr>
                <w:lang w:eastAsia="en-GB"/>
              </w:rPr>
              <w:t>The co-existence between 256 and band 2, 25 and 70 is subject to regional/national regulation.</w:t>
            </w:r>
          </w:p>
        </w:tc>
      </w:tr>
    </w:tbl>
    <w:p>
      <w:pPr>
        <w:rPr>
          <w:lang w:eastAsia="en-GB"/>
        </w:rPr>
      </w:pPr>
    </w:p>
    <w:p>
      <w:pPr>
        <w:pStyle w:val="100"/>
        <w:keepLines/>
        <w:ind w:left="1135"/>
        <w:rPr>
          <w:lang w:eastAsia="en-GB"/>
        </w:rPr>
      </w:pPr>
      <w:r>
        <w:rPr>
          <w:lang w:eastAsia="en-GB"/>
        </w:rPr>
        <w:t>NOTE:</w:t>
      </w:r>
      <w:r>
        <w:rPr>
          <w:lang w:eastAsia="en-GB"/>
        </w:rPr>
        <w:tab/>
      </w:r>
      <w:r>
        <w:rPr>
          <w:lang w:eastAsia="en-GB"/>
        </w:rPr>
        <w:t>To simplify Table 6.5B.4.3.3-1, E-UTRA band numbers are listed for bands which are specified only for E-UTRA operation or both E-UTRA and NR operation. NR band numbers are listed for bands which are specified only for NR operation.</w:t>
      </w:r>
    </w:p>
    <w:p>
      <w:pPr>
        <w:rPr>
          <w:lang w:eastAsia="en-GB"/>
        </w:rPr>
      </w:pPr>
      <w:r>
        <w:rPr>
          <w:lang w:eastAsia="en-GB"/>
        </w:rPr>
        <w:t>The normative reference for this requirement is TS 36.102 [11] subclause 6.5B.4.3.</w:t>
      </w:r>
    </w:p>
    <w:p>
      <w:pPr>
        <w:pStyle w:val="9"/>
        <w:rPr>
          <w:rFonts w:eastAsia="MS Mincho"/>
          <w:lang w:eastAsia="en-GB"/>
        </w:rPr>
      </w:pPr>
      <w:r>
        <w:rPr>
          <w:rFonts w:eastAsia="MS Mincho"/>
          <w:lang w:eastAsia="en-GB"/>
        </w:rPr>
        <w:t>6.5B.4.3.4</w:t>
      </w:r>
      <w:r>
        <w:rPr>
          <w:rFonts w:eastAsia="MS Mincho"/>
          <w:lang w:eastAsia="en-GB"/>
        </w:rPr>
        <w:tab/>
      </w:r>
      <w:r>
        <w:rPr>
          <w:rFonts w:eastAsia="MS Mincho"/>
          <w:lang w:eastAsia="en-GB"/>
        </w:rPr>
        <w:t>Test description</w:t>
      </w:r>
    </w:p>
    <w:p>
      <w:pPr>
        <w:keepNext/>
        <w:keepLines/>
        <w:spacing w:before="120"/>
        <w:ind w:left="1985" w:hanging="1985"/>
        <w:rPr>
          <w:rFonts w:ascii="Arial" w:hAnsi="Arial" w:eastAsia="MS Mincho"/>
          <w:lang w:eastAsia="en-GB"/>
        </w:rPr>
      </w:pPr>
      <w:r>
        <w:rPr>
          <w:rFonts w:ascii="Arial" w:hAnsi="Arial"/>
          <w:lang w:eastAsia="en-GB"/>
        </w:rPr>
        <w:t>6.5B.4.3.4.1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6.5B.4.3.4.1-1: Test Configuration Table</w:t>
      </w:r>
      <w:r>
        <w:rPr>
          <w:rFonts w:ascii="Arial" w:hAnsi="Arial"/>
          <w:b/>
        </w:rPr>
        <w:t xml:space="preserve"> for FDD </w:t>
      </w:r>
    </w:p>
    <w:tbl>
      <w:tblPr>
        <w:tblStyle w:val="89"/>
        <w:tblW w:w="72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017"/>
        <w:gridCol w:w="15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MS Mincho"/>
                <w:sz w:val="18"/>
              </w:rPr>
            </w:pPr>
            <w:r>
              <w:rPr>
                <w:rFonts w:ascii="Arial" w:hAnsi="Arial"/>
                <w:sz w:val="18"/>
              </w:rPr>
              <w:t>Test Environment as specified in</w:t>
            </w:r>
          </w:p>
          <w:p>
            <w:pPr>
              <w:keepNext/>
              <w:keepLines/>
              <w:spacing w:after="0"/>
              <w:rPr>
                <w:rFonts w:ascii="Arial" w:hAnsi="Arial"/>
                <w:b/>
                <w:sz w:val="18"/>
                <w:lang w:eastAsia="en-GB"/>
              </w:rPr>
            </w:pPr>
            <w:r>
              <w:rPr>
                <w:rFonts w:ascii="Arial" w:hAnsi="Arial"/>
                <w:sz w:val="18"/>
              </w:rPr>
              <w:t xml:space="preserve">TS 36.508[12] subclause </w:t>
            </w:r>
            <w:r>
              <w:rPr>
                <w:rFonts w:ascii="Arial" w:hAnsi="Arial"/>
                <w:sz w:val="18"/>
                <w:lang w:eastAsia="en-GB"/>
              </w:rPr>
              <w:t>8.1.1</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both"/>
              <w:rPr>
                <w:rFonts w:ascii="Arial" w:hAnsi="Arial"/>
                <w:b/>
                <w:sz w:val="18"/>
              </w:rPr>
            </w:pPr>
            <w:r>
              <w:rPr>
                <w:rFonts w:ascii="Arial" w:hAnsi="Arial"/>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MS Mincho"/>
                <w:sz w:val="18"/>
              </w:rPr>
            </w:pPr>
            <w:r>
              <w:rPr>
                <w:rFonts w:ascii="Arial" w:hAnsi="Arial"/>
                <w:bCs/>
                <w:sz w:val="18"/>
              </w:rPr>
              <w:t>Test Frequencies as specified in</w:t>
            </w:r>
          </w:p>
          <w:p>
            <w:pPr>
              <w:keepNext/>
              <w:keepLines/>
              <w:spacing w:after="0"/>
              <w:rPr>
                <w:rFonts w:ascii="Arial" w:hAnsi="Arial"/>
                <w:b/>
                <w:sz w:val="18"/>
                <w:lang w:eastAsia="en-GB"/>
              </w:rPr>
            </w:pPr>
            <w:r>
              <w:rPr>
                <w:rFonts w:ascii="Arial" w:hAnsi="Arial"/>
                <w:sz w:val="18"/>
              </w:rPr>
              <w:t xml:space="preserve">TS 36.508[12] subclause </w:t>
            </w:r>
            <w:r>
              <w:rPr>
                <w:rFonts w:ascii="Arial" w:hAnsi="Arial"/>
                <w:sz w:val="18"/>
                <w:lang w:eastAsia="en-GB"/>
              </w:rPr>
              <w:t>8.1.3.1</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both"/>
              <w:rPr>
                <w:rFonts w:ascii="Arial" w:hAnsi="Arial" w:eastAsia="MS Mincho"/>
                <w:sz w:val="18"/>
                <w:lang w:eastAsia="en-GB"/>
              </w:rPr>
            </w:pPr>
            <w:r>
              <w:rPr>
                <w:rFonts w:ascii="Arial" w:hAnsi="Arial"/>
                <w:sz w:val="18"/>
                <w:lang w:eastAsia="en-GB"/>
              </w:rPr>
              <w:t>Frequency ranges defined in Annex K.1.3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rPr>
              <w:t>Downlink Configuration</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rPr>
              <w:t>N/A for Spurious Emissions testing</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Modulation</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N</w:t>
            </w:r>
            <w:r>
              <w:rPr>
                <w:rFonts w:ascii="Arial" w:hAnsi="Arial"/>
                <w:b/>
                <w:sz w:val="18"/>
                <w:vertAlign w:val="subscript"/>
              </w:rPr>
              <w:t>tones</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QPSK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1@47</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BPSK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1@0</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BPSK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1@11</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r>
              <w:rPr>
                <w:rFonts w:ascii="Arial" w:hAnsi="Arial"/>
                <w:sz w:val="18"/>
                <w:vertAlign w:val="superscript"/>
              </w:rPr>
              <w:t xml:space="preserve"> </w:t>
            </w:r>
            <w:r>
              <w:rPr>
                <w:rFonts w:ascii="Arial" w:hAnsi="Arial"/>
                <w:sz w:val="18"/>
              </w:rPr>
              <w:t>(Note 1)</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eastAsia="MS Mincho"/>
                <w:sz w:val="18"/>
                <w:lang w:eastAsia="en-GB"/>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lang w:eastAsia="en-GB"/>
        </w:rP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the SS to the UE to the UE antenna connectors as shown in Figure TS 36.508 [12] Annex A, Figure A.7 using only main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H.1.1 and H.4.0.</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The UL Reference Measurement channels are set according to Table 6.5B.4.3.4.1-1.</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UE location according to TS 36.508 [12] clause 8.2.6.1 is provided to the UE through any preconfigured means.</w:t>
      </w:r>
    </w:p>
    <w:p>
      <w:pPr>
        <w:pStyle w:val="111"/>
        <w:overflowPunct w:val="0"/>
        <w:autoSpaceDE w:val="0"/>
        <w:autoSpaceDN w:val="0"/>
        <w:adjustRightInd w:val="0"/>
        <w:ind w:left="568"/>
        <w:contextualSpacing w:val="0"/>
        <w:textAlignment w:val="baseline"/>
        <w:rPr>
          <w:lang w:eastAsia="en-GB"/>
        </w:rPr>
      </w:pPr>
      <w:r>
        <w:rPr>
          <w:rFonts w:hint="eastAsia"/>
          <w:lang w:eastAsia="en-GB"/>
        </w:rPr>
        <w:t>7</w:t>
      </w:r>
      <w:r>
        <w:rPr>
          <w:lang w:eastAsia="en-GB"/>
        </w:rPr>
        <w:t>.</w:t>
      </w:r>
      <w:r>
        <w:rPr>
          <w:lang w:eastAsia="en-GB"/>
        </w:rPr>
        <w:tab/>
      </w:r>
      <w:r>
        <w:rPr>
          <w:lang w:eastAsia="en-GB"/>
        </w:rPr>
        <w:t xml:space="preserve">Test equipment shall emulate </w:t>
      </w:r>
      <w:r>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Pr>
          <w:lang w:eastAsia="en-GB"/>
        </w:rPr>
        <w:t>. Test system shall send same SIB31-NB information during the duration of the test as define in TS 36.508[12] clause 8.2.6.3.1</w:t>
      </w:r>
    </w:p>
    <w:p>
      <w:pPr>
        <w:pStyle w:val="111"/>
        <w:overflowPunct w:val="0"/>
        <w:autoSpaceDE w:val="0"/>
        <w:autoSpaceDN w:val="0"/>
        <w:adjustRightInd w:val="0"/>
        <w:ind w:left="568"/>
        <w:contextualSpacing w:val="0"/>
        <w:textAlignment w:val="baseline"/>
        <w:rPr>
          <w:lang w:eastAsia="en-GB"/>
        </w:rPr>
      </w:pPr>
      <w:r>
        <w:rPr>
          <w:rFonts w:hint="eastAsia"/>
          <w:lang w:eastAsia="en-GB"/>
        </w:rPr>
        <w:t>8</w:t>
      </w:r>
      <w:r>
        <w:rPr>
          <w:lang w:eastAsia="en-GB"/>
        </w:rPr>
        <w:t>.</w:t>
      </w:r>
      <w:r>
        <w:rPr>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9.</w:t>
      </w:r>
      <w:r>
        <w:rPr>
          <w:lang w:eastAsia="en-GB"/>
        </w:rPr>
        <w:tab/>
      </w:r>
      <w:r>
        <w:rPr>
          <w:lang w:eastAsia="en-GB"/>
        </w:rPr>
        <w:t>Ensure the UE is in State 2A-NB with CP CIoT Optimisation according to TS 36.508 [12] clause 8.1.5. Message contents are defined in clause 6.5B.4.3.4.3.</w:t>
      </w:r>
    </w:p>
    <w:p>
      <w:pPr>
        <w:keepNext/>
        <w:keepLines/>
        <w:spacing w:before="120"/>
        <w:ind w:left="1985" w:hanging="1985"/>
        <w:rPr>
          <w:rFonts w:ascii="Arial" w:hAnsi="Arial"/>
          <w:snapToGrid w:val="0"/>
          <w:lang w:eastAsia="en-GB"/>
        </w:rPr>
      </w:pPr>
      <w:r>
        <w:rPr>
          <w:rFonts w:ascii="Arial" w:hAnsi="Arial"/>
          <w:lang w:eastAsia="en-GB"/>
        </w:rPr>
        <w:t>6.5B.4.3.4.2</w:t>
      </w:r>
      <w:r>
        <w:rPr>
          <w:rFonts w:ascii="Arial" w:hAnsi="Arial"/>
          <w:lang w:eastAsia="en-GB"/>
        </w:rPr>
        <w:tab/>
      </w:r>
      <w:r>
        <w:rPr>
          <w:rFonts w:ascii="Arial" w:hAnsi="Arial"/>
          <w:snapToGrid w:val="0"/>
          <w:lang w:eastAsia="en-GB"/>
        </w:rP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Pr>
          <w:vertAlign w:val="subscript"/>
          <w:lang w:eastAsia="en-GB"/>
        </w:rPr>
        <w:t>UMAX</w:t>
      </w:r>
      <w:r>
        <w:rPr>
          <w:lang w:eastAsia="en-GB"/>
        </w:rPr>
        <w:t xml:space="preserve"> after Initial Conditions setting).</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 xml:space="preserve">Measure the power of the transmitted signal with a measurement filter of bandwidths according to tables </w:t>
      </w:r>
      <w:bookmarkStart w:id="1062" w:name="_Hlk140843364"/>
      <w:r>
        <w:rPr>
          <w:lang w:eastAsia="en-GB"/>
        </w:rPr>
        <w:t>6.5B.4.3</w:t>
      </w:r>
      <w:bookmarkEnd w:id="1062"/>
      <w:r>
        <w:rPr>
          <w:lang w:eastAsia="en-GB"/>
        </w:rPr>
        <w:t>.3-1. The centre frequency of the filter shall be stepped in contiguous steps according to table 6.5B.4.3.3-1. The measured power shall be verified for each step. The measurement period shall capture the active time slots. During measurement the spectrum analyser shall be set to 'Detector' = RMS.</w:t>
      </w:r>
    </w:p>
    <w:p>
      <w:pPr>
        <w:pStyle w:val="100"/>
        <w:ind w:left="1134"/>
        <w:rPr>
          <w:rFonts w:eastAsia="??"/>
          <w:lang w:eastAsia="en-GB"/>
        </w:rPr>
      </w:pPr>
      <w:r>
        <w:rPr>
          <w:rFonts w:eastAsia="??"/>
          <w:lang w:eastAsia="en-GB"/>
        </w:rPr>
        <w:t>NOTE 1:</w:t>
      </w:r>
      <w:r>
        <w:rPr>
          <w:rFonts w:eastAsia="??"/>
          <w:lang w:eastAsia="en-GB"/>
        </w:rPr>
        <w:tab/>
      </w:r>
      <w:r>
        <w:rPr>
          <w:rFonts w:eastAsia="??"/>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keepNext/>
        <w:keepLines/>
        <w:spacing w:before="120"/>
        <w:ind w:left="1985" w:hanging="1985"/>
        <w:rPr>
          <w:rFonts w:ascii="Arial" w:hAnsi="Arial" w:eastAsia="MS Mincho"/>
          <w:snapToGrid w:val="0"/>
          <w:lang w:eastAsia="en-GB"/>
        </w:rPr>
      </w:pPr>
      <w:r>
        <w:rPr>
          <w:rFonts w:ascii="Arial" w:hAnsi="Arial"/>
          <w:lang w:eastAsia="en-GB"/>
        </w:rPr>
        <w:t>6.5B.4.3.4.3</w:t>
      </w:r>
      <w:r>
        <w:rPr>
          <w:rFonts w:ascii="Arial" w:hAnsi="Arial"/>
          <w:lang w:eastAsia="en-GB"/>
        </w:rPr>
        <w:tab/>
      </w:r>
      <w:r>
        <w:rPr>
          <w:rFonts w:ascii="Arial" w:hAnsi="Arial"/>
          <w:snapToGrid w:val="0"/>
          <w:lang w:eastAsia="en-GB"/>
        </w:rPr>
        <w:t>Message contents</w:t>
      </w:r>
    </w:p>
    <w:p>
      <w:pPr>
        <w:rPr>
          <w:lang w:eastAsia="en-GB"/>
        </w:rPr>
      </w:pPr>
      <w:r>
        <w:rPr>
          <w:lang w:eastAsia="en-GB"/>
        </w:rPr>
        <w:t>Message contents are according to TS 36.508 [12] subclause 8.1.6.</w:t>
      </w:r>
    </w:p>
    <w:p>
      <w:pPr>
        <w:pStyle w:val="9"/>
        <w:rPr>
          <w:rFonts w:eastAsia="MS Mincho"/>
          <w:lang w:eastAsia="en-GB"/>
        </w:rPr>
      </w:pPr>
      <w:r>
        <w:rPr>
          <w:rFonts w:eastAsia="MS Mincho"/>
          <w:snapToGrid w:val="0"/>
          <w:lang w:eastAsia="en-GB"/>
        </w:rPr>
        <w:t>6.5B.4.3.5</w:t>
      </w:r>
      <w:r>
        <w:rPr>
          <w:rFonts w:eastAsia="MS Mincho"/>
          <w:snapToGrid w:val="0"/>
          <w:lang w:eastAsia="en-GB"/>
        </w:rPr>
        <w:tab/>
      </w:r>
      <w:r>
        <w:rPr>
          <w:rFonts w:eastAsia="MS Mincho"/>
          <w:lang w:eastAsia="en-GB"/>
        </w:rPr>
        <w:t>Test requirement</w:t>
      </w:r>
    </w:p>
    <w:p>
      <w:pPr>
        <w:rPr>
          <w:rFonts w:eastAsia="MS Mincho"/>
          <w:lang w:eastAsia="en-GB"/>
        </w:rPr>
      </w:pPr>
      <w:r>
        <w:rPr>
          <w:lang w:eastAsia="en-GB"/>
        </w:rPr>
        <w:t>Test requirements for Spurious Emissions UE Co-existence are the same as the minimum requirements and are not repeated in this section.</w:t>
      </w:r>
    </w:p>
    <w:p>
      <w:pPr>
        <w:rPr>
          <w:lang w:eastAsia="en-GB"/>
        </w:rPr>
      </w:pPr>
      <w:r>
        <w:rPr>
          <w:lang w:eastAsia="en-GB"/>
        </w:rPr>
        <w:t>The measured average power of spurious emission, derived in step 2, shall not exceed the described value in tables 6.5B.4.3.3-1.</w:t>
      </w:r>
    </w:p>
    <w:p>
      <w:pPr>
        <w:rPr>
          <w:rFonts w:eastAsia="宋体" w:cs="v5.0.0"/>
          <w:lang w:val="en-US" w:eastAsia="zh-CN"/>
        </w:rPr>
      </w:pPr>
    </w:p>
    <w:p>
      <w:pPr>
        <w:pStyle w:val="6"/>
      </w:pPr>
      <w:bookmarkStart w:id="1063" w:name="_Toc4333"/>
      <w:bookmarkStart w:id="1064" w:name="_Toc120570081"/>
      <w:bookmarkStart w:id="1065" w:name="_Toc26190"/>
      <w:bookmarkStart w:id="1066" w:name="_Toc121162873"/>
      <w:bookmarkStart w:id="1067" w:name="_Toc8793"/>
      <w:bookmarkStart w:id="1068" w:name="_Toc957"/>
      <w:bookmarkStart w:id="1069" w:name="_Toc10156"/>
      <w:bookmarkStart w:id="1070" w:name="_Toc29028"/>
      <w:bookmarkStart w:id="1071" w:name="_Toc13715"/>
      <w:r>
        <w:t>6.5B.</w:t>
      </w:r>
      <w:r>
        <w:rPr>
          <w:rFonts w:eastAsia="宋体"/>
          <w:lang w:val="en-US" w:eastAsia="zh-CN"/>
        </w:rPr>
        <w:t>4</w:t>
      </w:r>
      <w:r>
        <w:t>.</w:t>
      </w:r>
      <w:r>
        <w:rPr>
          <w:rFonts w:eastAsia="宋体"/>
          <w:lang w:val="en-US" w:eastAsia="zh-CN"/>
        </w:rPr>
        <w:t>4</w:t>
      </w:r>
      <w:r>
        <w:tab/>
      </w:r>
      <w:r>
        <w:t>Additional spurious emissions</w:t>
      </w:r>
      <w:bookmarkEnd w:id="1063"/>
      <w:bookmarkEnd w:id="1064"/>
      <w:bookmarkEnd w:id="1065"/>
      <w:bookmarkEnd w:id="1066"/>
      <w:bookmarkEnd w:id="1067"/>
      <w:r>
        <w:rPr>
          <w:rFonts w:hint="eastAsia"/>
        </w:rPr>
        <w:t xml:space="preserve"> for category NB1 and NB2</w:t>
      </w:r>
      <w:bookmarkEnd w:id="1068"/>
      <w:bookmarkEnd w:id="1069"/>
      <w:bookmarkEnd w:id="1070"/>
      <w:bookmarkEnd w:id="1071"/>
    </w:p>
    <w:p>
      <w:pPr>
        <w:pStyle w:val="112"/>
        <w:rPr>
          <w:i w:val="0"/>
          <w:iCs w:val="0"/>
          <w:lang w:val="en-GB"/>
        </w:rPr>
      </w:pPr>
      <w:bookmarkStart w:id="1072" w:name="_Toc5695"/>
      <w:bookmarkStart w:id="1073" w:name="_Toc121162874"/>
      <w:bookmarkStart w:id="1074" w:name="_Toc120570082"/>
      <w:bookmarkStart w:id="1075" w:name="_Toc23870"/>
      <w:r>
        <w:t>Editor’s Note: Addition to applicability spec is pending.</w:t>
      </w:r>
    </w:p>
    <w:p>
      <w:pPr>
        <w:pStyle w:val="9"/>
      </w:pPr>
      <w:bookmarkStart w:id="1076" w:name="_Toc15083"/>
      <w:bookmarkStart w:id="1077" w:name="_Toc7545"/>
      <w:bookmarkStart w:id="1078" w:name="_Toc10844"/>
      <w:r>
        <w:t>6.5B.</w:t>
      </w:r>
      <w:r>
        <w:rPr>
          <w:rFonts w:eastAsia="Times New Roman"/>
          <w:lang w:val="en-US" w:eastAsia="zh-CN"/>
        </w:rPr>
        <w:t>4</w:t>
      </w:r>
      <w:r>
        <w:t>.4.</w:t>
      </w:r>
      <w:r>
        <w:rPr>
          <w:lang w:val="en-US"/>
        </w:rPr>
        <w:t>0</w:t>
      </w:r>
      <w:r>
        <w:tab/>
      </w:r>
      <w:r>
        <w:t>General</w:t>
      </w:r>
      <w:bookmarkEnd w:id="1072"/>
      <w:bookmarkEnd w:id="1073"/>
      <w:bookmarkEnd w:id="1074"/>
      <w:bookmarkEnd w:id="1075"/>
      <w:bookmarkEnd w:id="1076"/>
      <w:bookmarkEnd w:id="1077"/>
      <w:bookmarkEnd w:id="1078"/>
    </w:p>
    <w:p>
      <w: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pPr>
        <w:pStyle w:val="100"/>
        <w:rPr>
          <w:lang w:val="en-US" w:eastAsia="zh-CN"/>
        </w:rPr>
      </w:pPr>
      <w:r>
        <w:t>NOTE: In addition to the requirements below, additional UE region-specific emissions requirements for European are expected to be added once more information becomes available</w:t>
      </w:r>
      <w:r>
        <w:rPr>
          <w:lang w:val="en-US"/>
        </w:rPr>
        <w:t>.</w:t>
      </w:r>
    </w:p>
    <w:p>
      <w:pPr>
        <w:pStyle w:val="9"/>
      </w:pPr>
      <w:bookmarkStart w:id="1079" w:name="_Toc336589716"/>
      <w:bookmarkStart w:id="1080" w:name="_Toc120570083"/>
      <w:bookmarkStart w:id="1081" w:name="_Toc13148"/>
      <w:bookmarkStart w:id="1082" w:name="_Toc7496"/>
      <w:bookmarkStart w:id="1083" w:name="_Toc121162875"/>
      <w:r>
        <w:t>6.5B.4.4.1</w:t>
      </w:r>
      <w:r>
        <w:tab/>
      </w:r>
      <w:r>
        <w:t>Test purpose</w:t>
      </w:r>
      <w:bookmarkEnd w:id="1079"/>
    </w:p>
    <w:p>
      <w:pPr>
        <w:rPr>
          <w:lang w:eastAsia="en-GB"/>
        </w:rPr>
      </w:pPr>
      <w:r>
        <w:rPr>
          <w:lang w:eastAsia="en-GB"/>
        </w:rPr>
        <w:t>To verify that UE transmitter does not cause unacceptable interference to other channels or other systems in terms of transmitter spurious emissions under the deployment scenarios where additional requirements are specified.</w:t>
      </w:r>
    </w:p>
    <w:p>
      <w:pPr>
        <w:pStyle w:val="9"/>
        <w:rPr>
          <w:lang w:eastAsia="en-GB"/>
        </w:rPr>
      </w:pPr>
      <w:bookmarkStart w:id="1084" w:name="_Toc336589717"/>
      <w:r>
        <w:rPr>
          <w:lang w:eastAsia="en-GB"/>
        </w:rPr>
        <w:t>6.5B.4.4.2</w:t>
      </w:r>
      <w:r>
        <w:rPr>
          <w:lang w:eastAsia="en-GB"/>
        </w:rPr>
        <w:tab/>
      </w:r>
      <w:r>
        <w:rPr>
          <w:lang w:eastAsia="en-GB"/>
        </w:rPr>
        <w:t>Test applicability</w:t>
      </w:r>
      <w:bookmarkEnd w:id="1084"/>
    </w:p>
    <w:p>
      <w:bookmarkStart w:id="1085" w:name="_Hlk141120594"/>
      <w:bookmarkStart w:id="1086" w:name="_Toc336589718"/>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rPr>
          <w:rFonts w:eastAsia="MS Mincho"/>
          <w:lang w:eastAsia="en-GB"/>
        </w:rPr>
      </w:pPr>
      <w:r>
        <w:rPr>
          <w:lang w:eastAsia="en-GB"/>
        </w:rPr>
        <w:t>6.5B.4.4.</w:t>
      </w:r>
      <w:bookmarkEnd w:id="1085"/>
      <w:r>
        <w:rPr>
          <w:lang w:eastAsia="en-GB"/>
        </w:rPr>
        <w:t>3</w:t>
      </w:r>
      <w:r>
        <w:rPr>
          <w:lang w:eastAsia="en-GB"/>
        </w:rPr>
        <w:tab/>
      </w:r>
      <w:r>
        <w:rPr>
          <w:lang w:eastAsia="en-GB"/>
        </w:rPr>
        <w:t>Minimum conformance requirements</w:t>
      </w:r>
      <w:bookmarkEnd w:id="1086"/>
    </w:p>
    <w:p>
      <w:pPr>
        <w:rPr>
          <w:rFonts w:eastAsia="MS Mincho"/>
        </w:rPr>
      </w:pPr>
      <w:bookmarkStart w:id="1087" w:name="_Hlk141106053"/>
      <w: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pPr>
        <w:pStyle w:val="100"/>
      </w:pPr>
      <w:r>
        <w:t>NOTE:</w:t>
      </w:r>
      <w:r>
        <w:tab/>
      </w:r>
      <w: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keepNext/>
        <w:keepLines/>
        <w:spacing w:before="120"/>
        <w:ind w:left="1985" w:hanging="1985"/>
        <w:rPr>
          <w:rFonts w:ascii="Arial" w:hAnsi="Arial"/>
          <w:lang w:eastAsia="en-GB"/>
        </w:rPr>
      </w:pPr>
      <w:r>
        <w:rPr>
          <w:rFonts w:ascii="Arial" w:hAnsi="Arial"/>
          <w:lang w:eastAsia="en-GB"/>
        </w:rPr>
        <w:t>6.5B.4.4.3.1</w:t>
      </w:r>
      <w:r>
        <w:rPr>
          <w:rFonts w:ascii="Arial" w:hAnsi="Arial"/>
          <w:lang w:eastAsia="en-GB"/>
        </w:rPr>
        <w:tab/>
      </w:r>
      <w:r>
        <w:rPr>
          <w:rFonts w:ascii="Arial" w:hAnsi="Arial"/>
          <w:lang w:eastAsia="en-GB"/>
        </w:rPr>
        <w:t>Minimum requirement (network signalled value "NS_02N")</w:t>
      </w:r>
    </w:p>
    <w:p>
      <w:pPr>
        <w:rPr>
          <w:rFonts w:eastAsia="Times New Roman"/>
          <w:lang w:eastAsia="en-US"/>
        </w:rPr>
      </w:pPr>
      <w:r>
        <w:rPr>
          <w:color w:val="auto"/>
          <w:lang w:val="en-GB" w:eastAsia="en-US"/>
        </w:rPr>
        <w:t>When "NS_</w:t>
      </w:r>
      <w:r>
        <w:rPr>
          <w:rFonts w:hint="eastAsia"/>
          <w:color w:val="auto"/>
          <w:lang w:val="en-GB"/>
        </w:rPr>
        <w:t>02N</w:t>
      </w:r>
      <w:r>
        <w:rPr>
          <w:color w:val="auto"/>
          <w:lang w:val="en-GB" w:eastAsia="en-US"/>
        </w:rPr>
        <w:t xml:space="preserve">" is indicated in the cell, the power of any UE </w:t>
      </w:r>
      <w:r>
        <w:rPr>
          <w:rFonts w:hint="eastAsia"/>
          <w:color w:val="auto"/>
          <w:lang w:val="en-GB"/>
        </w:rPr>
        <w:t xml:space="preserve">spurious </w:t>
      </w:r>
      <w:r>
        <w:rPr>
          <w:color w:val="auto"/>
          <w:lang w:val="en-GB" w:eastAsia="en-US"/>
        </w:rPr>
        <w:t>emission shall not exceed the levels specified in Table 6.5B.4.4.3.1-1</w:t>
      </w:r>
      <w:r>
        <w:rPr>
          <w:rFonts w:hint="eastAsia"/>
          <w:color w:val="auto"/>
          <w:lang w:val="en-GB"/>
        </w:rPr>
        <w:t xml:space="preserve"> an</w:t>
      </w:r>
      <w:r>
        <w:rPr>
          <w:color w:val="auto"/>
          <w:lang w:val="en-GB"/>
        </w:rPr>
        <w:t xml:space="preserve">d </w:t>
      </w:r>
      <w:r>
        <w:rPr>
          <w:color w:val="auto"/>
          <w:lang w:val="en-GB" w:eastAsia="en-US"/>
        </w:rPr>
        <w:t>6.5B.4.4.3.1-2.</w:t>
      </w:r>
      <w:r>
        <w:rPr>
          <w:color w:val="auto"/>
          <w:lang w:val="en-GB"/>
        </w:rPr>
        <w:t xml:space="preserve"> </w:t>
      </w:r>
      <w:r>
        <w:rPr>
          <w:color w:val="auto"/>
          <w:lang w:eastAsia="en-US"/>
        </w:rPr>
        <w:t xml:space="preserve">This requirement also applies for the frequency ranges that are less than </w:t>
      </w:r>
      <w:r>
        <w:rPr>
          <w:color w:val="000000"/>
          <w:lang w:eastAsia="en-GB"/>
        </w:rPr>
        <w:t>F</w:t>
      </w:r>
      <w:r>
        <w:rPr>
          <w:color w:val="000000"/>
          <w:vertAlign w:val="subscript"/>
          <w:lang w:eastAsia="en-GB"/>
        </w:rPr>
        <w:t>OOB</w:t>
      </w:r>
      <w:r>
        <w:rPr>
          <w:color w:val="000000"/>
          <w:lang w:eastAsia="en-GB"/>
        </w:rPr>
        <w:t xml:space="preserve"> (</w:t>
      </w:r>
      <w:r>
        <w:rPr>
          <w:color w:val="000000"/>
          <w:lang w:val="en-US" w:eastAsia="en-GB"/>
        </w:rPr>
        <w:t xml:space="preserve">MHz) </w:t>
      </w:r>
      <w:r>
        <w:rPr>
          <w:color w:val="auto"/>
          <w:lang w:val="en-GB"/>
        </w:rPr>
        <w:t xml:space="preserve">specified in </w:t>
      </w:r>
      <w:r>
        <w:rPr>
          <w:color w:val="auto"/>
          <w:lang w:val="en-GB" w:eastAsia="en-US"/>
        </w:rPr>
        <w:t>6.5B.</w:t>
      </w:r>
      <w:r>
        <w:rPr>
          <w:color w:val="auto"/>
          <w:lang w:val="en-GB"/>
        </w:rPr>
        <w:t>4</w:t>
      </w:r>
      <w:r>
        <w:rPr>
          <w:color w:val="auto"/>
          <w:lang w:val="en-GB" w:eastAsia="en-US"/>
        </w:rPr>
        <w:t>.</w:t>
      </w:r>
      <w:r>
        <w:rPr>
          <w:color w:val="auto"/>
          <w:lang w:val="en-GB"/>
        </w:rPr>
        <w:t>2</w:t>
      </w:r>
      <w:r>
        <w:rPr>
          <w:color w:val="auto"/>
          <w:lang w:val="en-GB" w:eastAsia="en-US"/>
        </w:rPr>
        <w:t xml:space="preserve"> from the edge of the channel bandwidth. </w:t>
      </w:r>
      <w:r>
        <w:t>Network signalling remark NS_02N applies integer-value 2.</w:t>
      </w:r>
    </w:p>
    <w:p>
      <w:pPr>
        <w:keepNext/>
        <w:keepLines/>
        <w:spacing w:before="60"/>
        <w:jc w:val="center"/>
        <w:rPr>
          <w:rFonts w:ascii="Arial" w:hAnsi="Arial"/>
          <w:b/>
          <w:lang w:eastAsia="en-GB"/>
        </w:rPr>
      </w:pPr>
      <w:r>
        <w:rPr>
          <w:rFonts w:ascii="Arial" w:hAnsi="Arial"/>
          <w:b/>
          <w:lang w:eastAsia="en-GB"/>
        </w:rPr>
        <w:t xml:space="preserve">Table </w:t>
      </w:r>
      <w:bookmarkStart w:id="1088" w:name="_Hlk141120423"/>
      <w:r>
        <w:rPr>
          <w:rFonts w:ascii="Arial" w:hAnsi="Arial"/>
          <w:b/>
          <w:lang w:eastAsia="en-GB"/>
        </w:rPr>
        <w:t>6.5B.4.4.3.1-1</w:t>
      </w:r>
      <w:bookmarkEnd w:id="1088"/>
      <w:r>
        <w:rPr>
          <w:rFonts w:ascii="Arial" w:hAnsi="Arial"/>
          <w:b/>
          <w:lang w:eastAsia="en-GB"/>
        </w:rPr>
        <w:t xml:space="preserve">: Additional requirements for </w:t>
      </w:r>
      <w:r>
        <w:rPr>
          <w:rFonts w:ascii="Arial" w:hAnsi="Arial" w:eastAsia="Yu Mincho"/>
          <w:b/>
          <w:lang w:eastAsia="en-GB"/>
        </w:rPr>
        <w:t>"</w:t>
      </w:r>
      <w:r>
        <w:rPr>
          <w:rFonts w:ascii="Arial" w:hAnsi="Arial"/>
          <w:b/>
          <w:lang w:eastAsia="en-GB"/>
        </w:rPr>
        <w:t>NS_</w:t>
      </w:r>
      <w:r>
        <w:rPr>
          <w:rFonts w:hint="eastAsia" w:ascii="Arial" w:hAnsi="Arial"/>
          <w:b/>
          <w:lang w:val="en-US"/>
        </w:rPr>
        <w:t>02</w:t>
      </w:r>
      <w:r>
        <w:rPr>
          <w:rFonts w:ascii="Arial" w:hAnsi="Arial"/>
          <w:b/>
          <w:lang w:val="en-US" w:eastAsia="en-GB"/>
        </w:rPr>
        <w:t>N</w:t>
      </w:r>
      <w:r>
        <w:rPr>
          <w:rFonts w:ascii="Arial" w:hAnsi="Arial" w:eastAsia="Yu Mincho"/>
          <w:b/>
          <w:lang w:eastAsia="en-GB"/>
        </w:rPr>
        <w:t>"</w:t>
      </w:r>
    </w:p>
    <w:tbl>
      <w:tblPr>
        <w:tblStyle w:val="89"/>
        <w:tblW w:w="75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2065"/>
        <w:gridCol w:w="1377"/>
        <w:gridCol w:w="2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1848"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Frequency band</w:t>
            </w:r>
          </w:p>
          <w:p>
            <w:pPr>
              <w:keepNext/>
              <w:keepLines/>
              <w:spacing w:after="0"/>
              <w:jc w:val="center"/>
              <w:rPr>
                <w:rFonts w:ascii="Arial" w:hAnsi="Arial" w:cs="Arial"/>
                <w:b/>
                <w:bCs/>
                <w:sz w:val="18"/>
                <w:lang w:eastAsia="en-GB"/>
              </w:rPr>
            </w:pPr>
            <w:r>
              <w:rPr>
                <w:rFonts w:ascii="Arial" w:hAnsi="Arial" w:cs="Arial"/>
                <w:b/>
                <w:bCs/>
                <w:sz w:val="18"/>
                <w:lang w:eastAsia="en-GB"/>
              </w:rPr>
              <w:t>(MHz)</w:t>
            </w:r>
          </w:p>
        </w:tc>
        <w:tc>
          <w:tcPr>
            <w:tcW w:w="2065" w:type="dxa"/>
          </w:tcPr>
          <w:p>
            <w:pPr>
              <w:keepNext/>
              <w:keepLines/>
              <w:spacing w:after="0"/>
              <w:jc w:val="center"/>
              <w:rPr>
                <w:rFonts w:ascii="Arial" w:hAnsi="Arial" w:cs="Arial"/>
                <w:b/>
                <w:bCs/>
                <w:sz w:val="18"/>
                <w:lang w:eastAsia="en-GB"/>
              </w:rPr>
            </w:pPr>
            <w:r>
              <w:rPr>
                <w:rFonts w:ascii="Arial" w:hAnsi="Arial" w:cs="Arial"/>
                <w:b/>
                <w:bCs/>
                <w:sz w:val="18"/>
                <w:lang w:eastAsia="en-GB"/>
              </w:rPr>
              <w:t>Channel bandwidth / Spectrum emission limit</w:t>
            </w:r>
            <w:r>
              <w:rPr>
                <w:rFonts w:ascii="Arial" w:hAnsi="Arial" w:cs="Arial"/>
                <w:b/>
                <w:bCs/>
                <w:sz w:val="18"/>
                <w:vertAlign w:val="superscript"/>
                <w:lang w:eastAsia="en-GB"/>
              </w:rPr>
              <w:t>1</w:t>
            </w:r>
            <w:r>
              <w:rPr>
                <w:rFonts w:ascii="Arial" w:hAnsi="Arial" w:cs="Arial"/>
                <w:b/>
                <w:bCs/>
                <w:sz w:val="18"/>
                <w:lang w:eastAsia="en-GB"/>
              </w:rPr>
              <w:t xml:space="preserve"> (dB</w:t>
            </w:r>
            <w:r>
              <w:rPr>
                <w:rFonts w:hint="eastAsia" w:ascii="Arial" w:hAnsi="Arial" w:cs="Arial"/>
                <w:b/>
                <w:bCs/>
                <w:sz w:val="18"/>
                <w:lang w:val="en-US"/>
              </w:rPr>
              <w:t>m</w:t>
            </w:r>
            <w:r>
              <w:rPr>
                <w:rFonts w:ascii="Arial" w:hAnsi="Arial" w:cs="Arial"/>
                <w:b/>
                <w:bCs/>
                <w:sz w:val="18"/>
                <w:lang w:eastAsia="en-GB"/>
              </w:rPr>
              <w:t>)</w:t>
            </w:r>
          </w:p>
        </w:tc>
        <w:tc>
          <w:tcPr>
            <w:tcW w:w="1377"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 xml:space="preserve">Measurement bandwidth </w:t>
            </w:r>
          </w:p>
        </w:tc>
        <w:tc>
          <w:tcPr>
            <w:tcW w:w="2222"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 w:hRule="atLeast"/>
          <w:jc w:val="center"/>
        </w:trPr>
        <w:tc>
          <w:tcPr>
            <w:tcW w:w="1848" w:type="dxa"/>
            <w:vMerge w:val="continue"/>
          </w:tcPr>
          <w:p>
            <w:pPr>
              <w:keepNext/>
              <w:keepLines/>
              <w:spacing w:after="0"/>
              <w:jc w:val="center"/>
              <w:rPr>
                <w:rFonts w:ascii="Arial" w:hAnsi="Arial" w:cs="Arial"/>
                <w:sz w:val="18"/>
                <w:lang w:eastAsia="en-GB"/>
              </w:rPr>
            </w:pPr>
          </w:p>
        </w:tc>
        <w:tc>
          <w:tcPr>
            <w:tcW w:w="2065" w:type="dxa"/>
          </w:tcPr>
          <w:p>
            <w:pPr>
              <w:keepNext/>
              <w:keepLines/>
              <w:spacing w:after="0"/>
              <w:jc w:val="center"/>
              <w:rPr>
                <w:rFonts w:ascii="Arial" w:hAnsi="Arial" w:cs="Arial"/>
                <w:sz w:val="18"/>
                <w:lang w:val="en-US"/>
              </w:rPr>
            </w:pPr>
            <w:r>
              <w:rPr>
                <w:rFonts w:hint="eastAsia" w:ascii="Arial" w:hAnsi="Arial" w:cs="Arial"/>
                <w:sz w:val="18"/>
                <w:lang w:val="en-US"/>
              </w:rPr>
              <w:t>200kHz</w:t>
            </w:r>
          </w:p>
        </w:tc>
        <w:tc>
          <w:tcPr>
            <w:tcW w:w="1377" w:type="dxa"/>
            <w:vMerge w:val="continue"/>
          </w:tcPr>
          <w:p>
            <w:pPr>
              <w:keepNext/>
              <w:keepLines/>
              <w:ind w:left="800"/>
              <w:jc w:val="center"/>
              <w:rPr>
                <w:rFonts w:ascii="Arial" w:hAnsi="Arial" w:cs="Arial"/>
                <w:snapToGrid w:val="0"/>
                <w:kern w:val="2"/>
                <w:sz w:val="18"/>
                <w:szCs w:val="18"/>
                <w:lang w:eastAsia="en-GB"/>
              </w:rPr>
            </w:pPr>
          </w:p>
        </w:tc>
        <w:tc>
          <w:tcPr>
            <w:tcW w:w="2222" w:type="dxa"/>
            <w:vMerge w:val="continue"/>
            <w:tcBorders>
              <w:bottom w:val="single" w:color="auto" w:sz="4" w:space="0"/>
            </w:tcBorders>
          </w:tcPr>
          <w:p>
            <w:pPr>
              <w:keepNext/>
              <w:keepLines/>
              <w:ind w:left="800"/>
              <w:jc w:val="center"/>
              <w:rPr>
                <w:rFonts w:ascii="Arial" w:hAnsi="Arial" w:cs="Arial"/>
                <w:snapToGrid w:val="0"/>
                <w:kern w:val="2"/>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15</w:t>
            </w:r>
            <w:r>
              <w:rPr>
                <w:rFonts w:ascii="Arial" w:hAnsi="Arial" w:cs="Arial"/>
                <w:sz w:val="18"/>
                <w:szCs w:val="18"/>
                <w:lang w:val="en-US" w:eastAsia="en-GB"/>
              </w:rPr>
              <w:t>59</w:t>
            </w:r>
            <w:r>
              <w:rPr>
                <w:rFonts w:ascii="Arial" w:hAnsi="Arial" w:cs="Arial"/>
                <w:sz w:val="18"/>
                <w:szCs w:val="18"/>
                <w:lang w:eastAsia="en-GB"/>
              </w:rPr>
              <w:t>≤ f ≤ 16</w:t>
            </w:r>
            <w:r>
              <w:rPr>
                <w:rFonts w:ascii="Arial" w:hAnsi="Arial" w:cs="Arial"/>
                <w:sz w:val="18"/>
                <w:szCs w:val="18"/>
                <w:lang w:val="en-US" w:eastAsia="en-GB"/>
              </w:rPr>
              <w:t>05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p>
        </w:tc>
        <w:tc>
          <w:tcPr>
            <w:tcW w:w="1377"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700 Hz</w:t>
            </w:r>
          </w:p>
        </w:tc>
        <w:tc>
          <w:tcPr>
            <w:tcW w:w="2222"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605</w:t>
            </w:r>
            <w:r>
              <w:rPr>
                <w:rFonts w:ascii="Arial" w:hAnsi="Arial" w:cs="Arial"/>
                <w:sz w:val="18"/>
                <w:szCs w:val="18"/>
                <w:lang w:eastAsia="en-GB"/>
              </w:rPr>
              <w:t>≤ f ≤ 1610</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r>
              <w:rPr>
                <w:rFonts w:ascii="Arial" w:hAnsi="Arial" w:cs="Arial"/>
                <w:sz w:val="18"/>
                <w:szCs w:val="18"/>
                <w:lang w:eastAsia="en-GB"/>
              </w:rPr>
              <w:t xml:space="preserve"> </w:t>
            </w:r>
            <w:r>
              <w:rPr>
                <w:rFonts w:ascii="Arial" w:hAnsi="Arial" w:cs="Arial"/>
                <w:sz w:val="18"/>
                <w:szCs w:val="18"/>
                <w:lang w:val="en-US" w:eastAsia="en-GB"/>
              </w:rPr>
              <w:t>+ 24/5 (f-1605)</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700Hz</w:t>
            </w:r>
          </w:p>
        </w:tc>
        <w:tc>
          <w:tcPr>
            <w:tcW w:w="2222" w:type="dxa"/>
            <w:tcBorders>
              <w:top w:val="nil"/>
              <w:bottom w:val="nil"/>
            </w:tcBorders>
            <w:shd w:val="clear" w:color="auto" w:fill="auto"/>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559</w:t>
            </w:r>
            <w:r>
              <w:rPr>
                <w:rFonts w:ascii="Arial" w:hAnsi="Arial" w:cs="Arial"/>
                <w:sz w:val="18"/>
                <w:szCs w:val="18"/>
                <w:lang w:eastAsia="en-GB"/>
              </w:rPr>
              <w:t xml:space="preserve"> ≤ f ≤ 160</w:t>
            </w:r>
            <w:r>
              <w:rPr>
                <w:rFonts w:ascii="Arial" w:hAnsi="Arial" w:cs="Arial"/>
                <w:sz w:val="18"/>
                <w:szCs w:val="18"/>
                <w:lang w:val="en-US" w:eastAsia="en-GB"/>
              </w:rPr>
              <w:t>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-40</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1MHz</w:t>
            </w:r>
          </w:p>
        </w:tc>
        <w:tc>
          <w:tcPr>
            <w:tcW w:w="2222"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lang w:eastAsia="en-GB"/>
              </w:rPr>
            </w:pPr>
            <w:r>
              <w:rPr>
                <w:rFonts w:ascii="Arial" w:hAnsi="Arial" w:cs="Arial"/>
                <w:sz w:val="18"/>
                <w:lang w:eastAsia="en-GB"/>
              </w:rPr>
              <w:t>160</w:t>
            </w:r>
            <w:r>
              <w:rPr>
                <w:rFonts w:ascii="Arial" w:hAnsi="Arial" w:cs="Arial"/>
                <w:sz w:val="18"/>
                <w:lang w:val="en-US" w:eastAsia="en-GB"/>
              </w:rPr>
              <w:t>5</w:t>
            </w:r>
            <w:r>
              <w:rPr>
                <w:rFonts w:ascii="Arial" w:hAnsi="Arial" w:cs="Arial"/>
                <w:sz w:val="18"/>
                <w:lang w:eastAsia="en-GB"/>
              </w:rPr>
              <w:t>≤ f ≤ 1610</w:t>
            </w:r>
          </w:p>
        </w:tc>
        <w:tc>
          <w:tcPr>
            <w:tcW w:w="2065" w:type="dxa"/>
          </w:tcPr>
          <w:p>
            <w:pPr>
              <w:keepNext/>
              <w:keepLines/>
              <w:spacing w:after="0"/>
              <w:jc w:val="center"/>
              <w:rPr>
                <w:rFonts w:ascii="Arial" w:hAnsi="Arial" w:cs="Arial"/>
                <w:sz w:val="18"/>
                <w:lang w:val="en-US" w:eastAsia="en-GB"/>
              </w:rPr>
            </w:pPr>
            <w:r>
              <w:rPr>
                <w:rFonts w:ascii="Arial" w:hAnsi="Arial" w:cs="Arial"/>
                <w:sz w:val="18"/>
                <w:szCs w:val="18"/>
                <w:lang w:eastAsia="en-GB"/>
              </w:rPr>
              <w:t>-40</w:t>
            </w:r>
            <w:r>
              <w:rPr>
                <w:rFonts w:ascii="Arial" w:hAnsi="Arial" w:cs="Arial"/>
                <w:sz w:val="18"/>
                <w:lang w:eastAsia="en-GB"/>
              </w:rPr>
              <w:t xml:space="preserve"> </w:t>
            </w:r>
            <w:r>
              <w:rPr>
                <w:rFonts w:ascii="Arial" w:hAnsi="Arial" w:cs="Arial"/>
                <w:sz w:val="18"/>
                <w:lang w:val="en-US" w:eastAsia="en-GB"/>
              </w:rPr>
              <w:t>+ 24/5 (f-1605)</w:t>
            </w:r>
          </w:p>
        </w:tc>
        <w:tc>
          <w:tcPr>
            <w:tcW w:w="1377" w:type="dxa"/>
          </w:tcPr>
          <w:p>
            <w:pPr>
              <w:keepNext/>
              <w:keepLines/>
              <w:spacing w:after="0"/>
              <w:jc w:val="center"/>
              <w:rPr>
                <w:rFonts w:ascii="Arial" w:hAnsi="Arial" w:cs="Arial"/>
                <w:sz w:val="18"/>
                <w:lang w:eastAsia="en-GB"/>
              </w:rPr>
            </w:pPr>
            <w:r>
              <w:rPr>
                <w:rFonts w:ascii="Arial" w:hAnsi="Arial" w:cs="Arial"/>
                <w:sz w:val="18"/>
                <w:lang w:eastAsia="en-GB"/>
              </w:rPr>
              <w:t>1MHz</w:t>
            </w:r>
          </w:p>
        </w:tc>
        <w:tc>
          <w:tcPr>
            <w:tcW w:w="2222" w:type="dxa"/>
            <w:tcBorders>
              <w:top w:val="nil"/>
              <w:bottom w:val="nil"/>
            </w:tcBorders>
            <w:shd w:val="clear" w:color="auto" w:fill="auto"/>
          </w:tcPr>
          <w:p>
            <w:pPr>
              <w:keepNext/>
              <w:keepLines/>
              <w:spacing w:after="0"/>
              <w:jc w:val="center"/>
              <w:rPr>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2" w:type="dxa"/>
            <w:gridSpan w:val="4"/>
          </w:tcPr>
          <w:p>
            <w:pPr>
              <w:keepNext/>
              <w:keepLines/>
              <w:spacing w:after="0"/>
              <w:ind w:left="851" w:hanging="851"/>
              <w:rPr>
                <w:sz w:val="18"/>
                <w:lang w:eastAsia="en-GB"/>
              </w:rPr>
            </w:pPr>
            <w:r>
              <w:rPr>
                <w:rFonts w:ascii="Arial" w:hAnsi="Arial" w:cs="Arial"/>
                <w:sz w:val="18"/>
                <w:lang w:eastAsia="en-GB"/>
              </w:rPr>
              <w:t>NOTE:</w:t>
            </w:r>
            <w:r>
              <w:rPr>
                <w:rFonts w:ascii="Arial" w:hAnsi="Arial"/>
                <w:sz w:val="18"/>
                <w:lang w:eastAsia="en-GB"/>
              </w:rPr>
              <w:tab/>
            </w:r>
            <w:r>
              <w:rPr>
                <w:rFonts w:ascii="Arial" w:hAnsi="Arial"/>
                <w:sz w:val="18"/>
                <w:lang w:eastAsia="en-GB"/>
              </w:rPr>
              <w:t>The EIRP requirement in regulation is converted to conducted requirement using a 0 dBi antenna.</w:t>
            </w:r>
          </w:p>
        </w:tc>
      </w:tr>
    </w:tbl>
    <w:p>
      <w:pPr>
        <w:rPr>
          <w:lang w:val="en-US"/>
        </w:rPr>
      </w:pPr>
    </w:p>
    <w:p>
      <w:pPr>
        <w:keepNext/>
        <w:keepLines/>
        <w:spacing w:before="60"/>
        <w:jc w:val="center"/>
        <w:rPr>
          <w:rFonts w:ascii="Arial" w:hAnsi="Arial"/>
          <w:b/>
          <w:color w:val="000000"/>
          <w:lang w:eastAsia="en-GB"/>
        </w:rPr>
      </w:pPr>
      <w:r>
        <w:rPr>
          <w:rFonts w:ascii="Arial" w:hAnsi="Arial"/>
          <w:b/>
          <w:lang w:eastAsia="en-GB"/>
        </w:rPr>
        <w:t>Table 6.5B.4.4.3.1</w:t>
      </w:r>
      <w:r>
        <w:rPr>
          <w:rFonts w:ascii="Arial" w:hAnsi="Arial"/>
          <w:b/>
          <w:color w:val="000000"/>
          <w:lang w:val="en-US"/>
        </w:rPr>
        <w:t>-</w:t>
      </w:r>
      <w:r>
        <w:rPr>
          <w:rFonts w:hint="eastAsia" w:ascii="Arial" w:hAnsi="Arial"/>
          <w:b/>
          <w:color w:val="000000"/>
          <w:lang w:val="en-US"/>
        </w:rPr>
        <w:t>2</w:t>
      </w:r>
      <w:r>
        <w:rPr>
          <w:rFonts w:ascii="Arial" w:hAnsi="Arial"/>
          <w:b/>
          <w:color w:val="000000"/>
          <w:lang w:eastAsia="en-GB"/>
        </w:rPr>
        <w:t>: Additional requirements</w:t>
      </w:r>
      <w:r>
        <w:rPr>
          <w:rFonts w:ascii="Arial" w:hAnsi="Arial"/>
          <w:b/>
          <w:lang w:eastAsia="en-GB"/>
        </w:rPr>
        <w:t xml:space="preserve"> for </w:t>
      </w:r>
      <w:r>
        <w:rPr>
          <w:rFonts w:ascii="Arial" w:hAnsi="Arial" w:eastAsia="Yu Mincho"/>
          <w:b/>
          <w:lang w:eastAsia="en-GB"/>
        </w:rPr>
        <w:t>"</w:t>
      </w:r>
      <w:r>
        <w:rPr>
          <w:rFonts w:ascii="Arial" w:hAnsi="Arial"/>
          <w:b/>
          <w:lang w:eastAsia="en-GB"/>
        </w:rPr>
        <w:t>NS_</w:t>
      </w:r>
      <w:r>
        <w:rPr>
          <w:rFonts w:ascii="Arial" w:hAnsi="Arial"/>
          <w:b/>
          <w:lang w:val="en-US"/>
        </w:rPr>
        <w:t>02</w:t>
      </w:r>
      <w:r>
        <w:rPr>
          <w:rFonts w:ascii="Arial" w:hAnsi="Arial"/>
          <w:b/>
          <w:lang w:val="en-US" w:eastAsia="en-GB"/>
        </w:rPr>
        <w:t>N</w:t>
      </w:r>
      <w:r>
        <w:rPr>
          <w:rFonts w:ascii="Arial" w:hAnsi="Arial" w:eastAsia="Yu Mincho"/>
          <w:b/>
          <w:lang w:eastAsia="en-GB"/>
        </w:rPr>
        <w:t>"</w:t>
      </w:r>
    </w:p>
    <w:tbl>
      <w:tblPr>
        <w:tblStyle w:val="89"/>
        <w:tblW w:w="5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84"/>
        <w:gridCol w:w="2589"/>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084"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Δf</w:t>
            </w:r>
            <w:r>
              <w:rPr>
                <w:rFonts w:ascii="Arial" w:hAnsi="Arial"/>
                <w:b/>
                <w:sz w:val="18"/>
                <w:vertAlign w:val="subscript"/>
                <w:lang w:eastAsia="en-GB"/>
              </w:rPr>
              <w:t>OOB</w:t>
            </w:r>
          </w:p>
          <w:p>
            <w:pPr>
              <w:keepNext/>
              <w:keepLines/>
              <w:spacing w:after="0"/>
              <w:jc w:val="center"/>
              <w:rPr>
                <w:rFonts w:ascii="Arial" w:hAnsi="Arial"/>
                <w:b/>
                <w:sz w:val="18"/>
                <w:lang w:eastAsia="en-GB"/>
              </w:rPr>
            </w:pPr>
            <w:r>
              <w:rPr>
                <w:rFonts w:ascii="Arial" w:hAnsi="Arial"/>
                <w:b/>
                <w:sz w:val="18"/>
                <w:lang w:eastAsia="en-GB"/>
              </w:rPr>
              <w:t>(MHz)</w:t>
            </w:r>
          </w:p>
        </w:tc>
        <w:tc>
          <w:tcPr>
            <w:tcW w:w="2589"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Spectrum Emission Limit (dBm)</w:t>
            </w:r>
          </w:p>
        </w:tc>
        <w:tc>
          <w:tcPr>
            <w:tcW w:w="1982"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[0.09 – 0.28]</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-2 for PC3</w:t>
            </w:r>
          </w:p>
          <w:p>
            <w:pPr>
              <w:keepNext/>
              <w:keepLines/>
              <w:spacing w:after="0"/>
              <w:jc w:val="center"/>
              <w:rPr>
                <w:rFonts w:ascii="Arial" w:hAnsi="Arial"/>
                <w:sz w:val="18"/>
                <w:lang w:eastAsia="en-GB"/>
              </w:rPr>
            </w:pPr>
            <w:r>
              <w:rPr>
                <w:rFonts w:ascii="Arial" w:hAnsi="Arial"/>
                <w:sz w:val="18"/>
                <w:lang w:eastAsia="en-GB"/>
              </w:rPr>
              <w:t>-5 for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[0.28 – 0.85]</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-12 for PC3</w:t>
            </w:r>
          </w:p>
          <w:p>
            <w:pPr>
              <w:keepNext/>
              <w:keepLines/>
              <w:spacing w:after="0"/>
              <w:jc w:val="center"/>
              <w:rPr>
                <w:rFonts w:ascii="Arial" w:hAnsi="Arial"/>
                <w:sz w:val="18"/>
                <w:lang w:eastAsia="en-GB"/>
              </w:rPr>
            </w:pPr>
            <w:r>
              <w:rPr>
                <w:rFonts w:ascii="Arial" w:hAnsi="Arial"/>
                <w:sz w:val="18"/>
                <w:lang w:eastAsia="en-GB"/>
              </w:rPr>
              <w:t>-15 for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[&gt;0.85]</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-13 for PC3 and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bl>
    <w:p>
      <w:pPr>
        <w:rPr>
          <w:lang w:eastAsia="en-GB"/>
        </w:rPr>
      </w:pPr>
    </w:p>
    <w:p>
      <w:pPr>
        <w:pStyle w:val="100"/>
        <w:keepLines/>
        <w:ind w:left="1135"/>
        <w:rPr>
          <w:lang w:val="en-US" w:eastAsia="en-GB"/>
        </w:rPr>
      </w:pPr>
      <w:r>
        <w:rPr>
          <w:lang w:eastAsia="en-GB"/>
        </w:rPr>
        <w:t>NOTE:</w:t>
      </w:r>
      <w:r>
        <w:rPr>
          <w:lang w:eastAsia="en-GB"/>
        </w:rPr>
        <w:tab/>
      </w:r>
      <w:r>
        <w:rPr>
          <w:lang w:eastAsia="en-GB"/>
        </w:rPr>
        <w:t>Δf</w:t>
      </w:r>
      <w:r>
        <w:rPr>
          <w:vertAlign w:val="subscript"/>
          <w:lang w:eastAsia="en-GB"/>
        </w:rPr>
        <w:t xml:space="preserve">OOB </w:t>
      </w:r>
      <w:r>
        <w:rPr>
          <w:lang w:eastAsia="en-GB"/>
        </w:rPr>
        <w:t>= 0.09 MHz</w:t>
      </w:r>
      <w:r>
        <w:rPr>
          <w:lang w:val="en-US" w:eastAsia="en-GB"/>
        </w:rPr>
        <w:t xml:space="preserve"> </w:t>
      </w:r>
      <w:r>
        <w:rPr>
          <w:lang w:val="en-US"/>
        </w:rPr>
        <w:t>co</w:t>
      </w:r>
      <w:r>
        <w:rPr>
          <w:lang w:val="en-US" w:eastAsia="en-GB"/>
        </w:rPr>
        <w:t>rresponds to an authorized bandwidth, as defined in C63.26-2015</w:t>
      </w:r>
      <w:r>
        <w:rPr>
          <w:rFonts w:hint="eastAsia"/>
          <w:lang w:val="en-US"/>
        </w:rPr>
        <w:t xml:space="preserve"> </w:t>
      </w:r>
      <w:r>
        <w:rPr>
          <w:lang w:val="en-US"/>
        </w:rPr>
        <w:t>[10]</w:t>
      </w:r>
      <w:r>
        <w:rPr>
          <w:lang w:val="en-US" w:eastAsia="en-GB"/>
        </w:rPr>
        <w:t xml:space="preserve">, of </w:t>
      </w:r>
      <w:r>
        <w:rPr>
          <w:rFonts w:hint="eastAsia"/>
          <w:lang w:val="en-US"/>
        </w:rPr>
        <w:t>0</w:t>
      </w:r>
      <w:r>
        <w:rPr>
          <w:lang w:val="en-US" w:eastAsia="en-GB"/>
        </w:rPr>
        <w:t>.38 MHz.</w:t>
      </w:r>
    </w:p>
    <w:p>
      <w:pPr>
        <w:rPr>
          <w:rFonts w:eastAsiaTheme="minorEastAsia"/>
        </w:rPr>
      </w:pPr>
      <w:r>
        <w:rPr>
          <w:lang w:eastAsia="en-GB"/>
        </w:rPr>
        <w:t>The normative reference for this requirement is TS 36.102 [11] subclauses 6.5B.4.</w:t>
      </w:r>
      <w:r>
        <w:rPr>
          <w:rFonts w:hint="eastAsia" w:eastAsiaTheme="minorEastAsia"/>
        </w:rPr>
        <w:t>4</w:t>
      </w:r>
      <w:r>
        <w:rPr>
          <w:rFonts w:eastAsiaTheme="minorEastAsia"/>
        </w:rPr>
        <w:t>.2.</w:t>
      </w:r>
    </w:p>
    <w:p>
      <w:pPr>
        <w:keepNext/>
        <w:keepLines/>
        <w:spacing w:before="120"/>
        <w:ind w:left="1985" w:hanging="1985"/>
        <w:rPr>
          <w:rFonts w:ascii="Arial" w:hAnsi="Arial"/>
          <w:lang w:eastAsia="en-GB"/>
        </w:rPr>
      </w:pPr>
      <w:r>
        <w:rPr>
          <w:rFonts w:ascii="Arial" w:hAnsi="Arial"/>
          <w:lang w:eastAsia="en-GB"/>
        </w:rPr>
        <w:t>6.5B.4.4.3.2</w:t>
      </w:r>
      <w:r>
        <w:rPr>
          <w:rFonts w:ascii="Arial" w:hAnsi="Arial"/>
          <w:lang w:eastAsia="en-GB"/>
        </w:rPr>
        <w:tab/>
      </w:r>
      <w:r>
        <w:rPr>
          <w:rFonts w:ascii="Arial" w:hAnsi="Arial"/>
          <w:lang w:eastAsia="en-GB"/>
        </w:rPr>
        <w:t>Minimum requirement (network signalled value "NS_24")</w:t>
      </w:r>
    </w:p>
    <w:p>
      <w:pPr>
        <w:rPr>
          <w:lang w:eastAsia="en-GB"/>
        </w:rPr>
      </w:pPr>
      <w:r>
        <w:rPr>
          <w:lang w:eastAsia="en-GB"/>
        </w:rPr>
        <w:t xml:space="preserve">When "NS_24" is indicated in the cell, the power of any UE emission shall not exceed the levels specified in Table 6.5B.4.4.3.2-1. </w:t>
      </w:r>
    </w:p>
    <w:p>
      <w:pPr>
        <w:keepNext/>
        <w:keepLines/>
        <w:spacing w:before="60"/>
        <w:jc w:val="center"/>
        <w:rPr>
          <w:rFonts w:ascii="Arial" w:hAnsi="Arial"/>
          <w:b/>
          <w:lang w:eastAsia="en-GB"/>
        </w:rPr>
      </w:pPr>
      <w:r>
        <w:rPr>
          <w:rFonts w:ascii="Arial" w:hAnsi="Arial"/>
          <w:b/>
          <w:lang w:eastAsia="en-GB"/>
        </w:rPr>
        <w:t xml:space="preserve">Table 6.5B.4.4.3.2-1: Additional requirements for </w:t>
      </w:r>
      <w:r>
        <w:rPr>
          <w:rFonts w:ascii="Arial" w:hAnsi="Arial" w:eastAsia="Yu Mincho"/>
          <w:b/>
          <w:lang w:eastAsia="en-GB"/>
        </w:rPr>
        <w:t>"</w:t>
      </w:r>
      <w:r>
        <w:rPr>
          <w:rFonts w:ascii="Arial" w:hAnsi="Arial"/>
          <w:b/>
          <w:lang w:eastAsia="en-GB"/>
        </w:rPr>
        <w:t>NS_</w:t>
      </w:r>
      <w:r>
        <w:rPr>
          <w:rFonts w:ascii="Arial" w:hAnsi="Arial"/>
          <w:b/>
          <w:lang w:val="en-US"/>
        </w:rPr>
        <w:t>24</w:t>
      </w:r>
      <w:r>
        <w:rPr>
          <w:rFonts w:ascii="Arial" w:hAnsi="Arial" w:eastAsia="Yu Mincho"/>
          <w:b/>
          <w:lang w:eastAsia="en-GB"/>
        </w:rPr>
        <w:t>"</w:t>
      </w:r>
    </w:p>
    <w:tbl>
      <w:tblPr>
        <w:tblStyle w:val="89"/>
        <w:tblW w:w="75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0"/>
        <w:gridCol w:w="3686"/>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restart"/>
          </w:tcPr>
          <w:p>
            <w:pPr>
              <w:keepNext/>
              <w:keepLines/>
              <w:spacing w:after="0"/>
              <w:jc w:val="center"/>
              <w:rPr>
                <w:rFonts w:ascii="Arial" w:hAnsi="Arial" w:cs="Arial"/>
                <w:b/>
                <w:sz w:val="18"/>
                <w:lang w:eastAsia="en-GB"/>
              </w:rPr>
            </w:pPr>
            <w:r>
              <w:rPr>
                <w:rFonts w:ascii="Arial" w:hAnsi="Arial" w:cs="Arial"/>
                <w:b/>
                <w:sz w:val="18"/>
                <w:lang w:eastAsia="en-GB"/>
              </w:rPr>
              <w:t>Frequency band</w:t>
            </w:r>
          </w:p>
          <w:p>
            <w:pPr>
              <w:keepNext/>
              <w:keepLines/>
              <w:spacing w:after="0"/>
              <w:jc w:val="center"/>
              <w:rPr>
                <w:rFonts w:ascii="Arial" w:hAnsi="Arial" w:cs="Arial"/>
                <w:b/>
                <w:sz w:val="18"/>
                <w:lang w:eastAsia="en-GB"/>
              </w:rPr>
            </w:pPr>
            <w:r>
              <w:rPr>
                <w:rFonts w:ascii="Arial" w:hAnsi="Arial" w:cs="Arial"/>
                <w:b/>
                <w:sz w:val="18"/>
                <w:lang w:eastAsia="en-GB"/>
              </w:rPr>
              <w:t>(MHz)</w:t>
            </w:r>
          </w:p>
        </w:tc>
        <w:tc>
          <w:tcPr>
            <w:tcW w:w="3686" w:type="dxa"/>
          </w:tcPr>
          <w:p>
            <w:pPr>
              <w:keepNext/>
              <w:keepLines/>
              <w:spacing w:after="0"/>
              <w:jc w:val="center"/>
              <w:rPr>
                <w:rFonts w:ascii="Arial" w:hAnsi="Arial" w:cs="Arial"/>
                <w:b/>
                <w:sz w:val="18"/>
                <w:lang w:eastAsia="en-GB"/>
              </w:rPr>
            </w:pPr>
            <w:r>
              <w:rPr>
                <w:rFonts w:ascii="Arial" w:hAnsi="Arial" w:cs="Arial"/>
                <w:b/>
                <w:sz w:val="18"/>
                <w:lang w:eastAsia="en-GB"/>
              </w:rPr>
              <w:t>Channel bandwidth /</w:t>
            </w:r>
          </w:p>
          <w:p>
            <w:pPr>
              <w:keepNext/>
              <w:keepLines/>
              <w:spacing w:after="0"/>
              <w:jc w:val="center"/>
              <w:rPr>
                <w:rFonts w:ascii="Arial" w:hAnsi="Arial" w:cs="Arial"/>
                <w:b/>
                <w:sz w:val="18"/>
                <w:lang w:eastAsia="en-GB"/>
              </w:rPr>
            </w:pPr>
            <w:r>
              <w:rPr>
                <w:rFonts w:ascii="Arial" w:hAnsi="Arial" w:cs="Arial"/>
                <w:b/>
                <w:sz w:val="18"/>
                <w:lang w:eastAsia="en-GB"/>
              </w:rPr>
              <w:t>Spectrum emission limit</w:t>
            </w:r>
          </w:p>
          <w:p>
            <w:pPr>
              <w:keepNext/>
              <w:keepLines/>
              <w:spacing w:after="0"/>
              <w:jc w:val="center"/>
              <w:rPr>
                <w:rFonts w:ascii="Arial" w:hAnsi="Arial" w:cs="Arial"/>
                <w:b/>
                <w:sz w:val="18"/>
                <w:lang w:eastAsia="en-GB"/>
              </w:rPr>
            </w:pPr>
            <w:r>
              <w:rPr>
                <w:rFonts w:ascii="Arial" w:hAnsi="Arial" w:cs="Arial"/>
                <w:b/>
                <w:sz w:val="18"/>
                <w:lang w:eastAsia="en-GB"/>
              </w:rPr>
              <w:t>(dBm)</w:t>
            </w:r>
          </w:p>
        </w:tc>
        <w:tc>
          <w:tcPr>
            <w:tcW w:w="1701" w:type="dxa"/>
            <w:vMerge w:val="restart"/>
          </w:tcPr>
          <w:p>
            <w:pPr>
              <w:keepNext/>
              <w:keepLines/>
              <w:spacing w:after="0"/>
              <w:jc w:val="center"/>
              <w:rPr>
                <w:rFonts w:ascii="Arial" w:hAnsi="Arial" w:cs="Arial"/>
                <w:b/>
                <w:sz w:val="18"/>
                <w:lang w:eastAsia="en-GB"/>
              </w:rPr>
            </w:pPr>
            <w:r>
              <w:rPr>
                <w:rFonts w:ascii="Arial" w:hAnsi="Arial" w:cs="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continue"/>
          </w:tcPr>
          <w:p>
            <w:pPr>
              <w:keepNext/>
              <w:keepLines/>
              <w:spacing w:after="0"/>
              <w:jc w:val="center"/>
              <w:rPr>
                <w:rFonts w:ascii="Arial" w:hAnsi="Arial" w:cs="Arial"/>
                <w:b/>
                <w:sz w:val="18"/>
                <w:lang w:eastAsia="en-GB"/>
              </w:rPr>
            </w:pPr>
          </w:p>
        </w:tc>
        <w:tc>
          <w:tcPr>
            <w:tcW w:w="3686" w:type="dxa"/>
          </w:tcPr>
          <w:p>
            <w:pPr>
              <w:keepNext/>
              <w:keepLines/>
              <w:spacing w:after="0"/>
              <w:jc w:val="center"/>
              <w:rPr>
                <w:rFonts w:ascii="Arial" w:hAnsi="Arial" w:cs="Arial"/>
                <w:b/>
                <w:sz w:val="18"/>
                <w:lang w:val="en-US"/>
              </w:rPr>
            </w:pPr>
            <w:r>
              <w:rPr>
                <w:rFonts w:hint="eastAsia" w:ascii="Arial" w:hAnsi="Arial" w:cs="Arial"/>
                <w:b/>
                <w:sz w:val="18"/>
                <w:lang w:val="en-US"/>
              </w:rPr>
              <w:t>200kHz</w:t>
            </w:r>
          </w:p>
        </w:tc>
        <w:tc>
          <w:tcPr>
            <w:tcW w:w="1701" w:type="dxa"/>
            <w:vMerge w:val="continue"/>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tcPr>
          <w:p>
            <w:pPr>
              <w:keepNext/>
              <w:keepLines/>
              <w:spacing w:after="0"/>
              <w:jc w:val="center"/>
              <w:rPr>
                <w:rFonts w:ascii="Arial" w:hAnsi="Arial" w:cs="Arial"/>
                <w:sz w:val="18"/>
                <w:lang w:eastAsia="en-GB"/>
              </w:rPr>
            </w:pPr>
            <w:r>
              <w:rPr>
                <w:rFonts w:ascii="Arial" w:hAnsi="Arial" w:cs="Arial"/>
                <w:sz w:val="18"/>
                <w:lang w:eastAsia="en-GB"/>
              </w:rPr>
              <w:t>Band 34</w:t>
            </w:r>
          </w:p>
        </w:tc>
        <w:tc>
          <w:tcPr>
            <w:tcW w:w="3686" w:type="dxa"/>
          </w:tcPr>
          <w:p>
            <w:pPr>
              <w:keepNext/>
              <w:keepLines/>
              <w:spacing w:after="0"/>
              <w:jc w:val="center"/>
              <w:rPr>
                <w:rFonts w:ascii="Arial" w:hAnsi="Arial" w:cs="Arial"/>
                <w:sz w:val="18"/>
                <w:lang w:eastAsia="en-GB"/>
              </w:rPr>
            </w:pPr>
            <w:r>
              <w:rPr>
                <w:rFonts w:ascii="Arial" w:hAnsi="Arial" w:cs="Arial"/>
                <w:sz w:val="18"/>
                <w:lang w:eastAsia="en-GB"/>
              </w:rPr>
              <w:t>-50</w:t>
            </w:r>
          </w:p>
        </w:tc>
        <w:tc>
          <w:tcPr>
            <w:tcW w:w="1701" w:type="dxa"/>
          </w:tcPr>
          <w:p>
            <w:pPr>
              <w:keepNext/>
              <w:keepLines/>
              <w:spacing w:after="0"/>
              <w:jc w:val="center"/>
              <w:rPr>
                <w:rFonts w:ascii="Arial" w:hAnsi="Arial" w:cs="Arial"/>
                <w:sz w:val="18"/>
                <w:lang w:eastAsia="en-GB"/>
              </w:rPr>
            </w:pPr>
            <w:r>
              <w:rPr>
                <w:rFonts w:ascii="Arial" w:hAnsi="Arial" w:cs="Arial"/>
                <w:sz w:val="18"/>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7" w:type="dxa"/>
            <w:gridSpan w:val="3"/>
          </w:tcPr>
          <w:p>
            <w:pPr>
              <w:keepNext/>
              <w:keepLines/>
              <w:spacing w:after="0"/>
              <w:ind w:left="851" w:hanging="851"/>
              <w:rPr>
                <w:rFonts w:ascii="Arial" w:hAnsi="Arial"/>
                <w:sz w:val="18"/>
                <w:lang w:eastAsia="ja-JP"/>
              </w:rPr>
            </w:pPr>
            <w:r>
              <w:rPr>
                <w:rFonts w:ascii="Arial" w:hAnsi="Arial"/>
                <w:sz w:val="18"/>
                <w:lang w:eastAsia="en-GB"/>
              </w:rPr>
              <w:t>NOTE 1:</w:t>
            </w:r>
            <w:r>
              <w:rPr>
                <w:rFonts w:ascii="Arial" w:hAnsi="Arial"/>
                <w:sz w:val="18"/>
                <w:vertAlign w:val="superscript"/>
                <w:lang w:eastAsia="en-GB"/>
              </w:rPr>
              <w:tab/>
            </w:r>
            <w:r>
              <w:rPr>
                <w:rFonts w:ascii="Arial" w:hAnsi="Arial"/>
                <w:sz w:val="18"/>
                <w:lang w:eastAsia="ja-JP"/>
              </w:rPr>
              <w:t>This requirement</w:t>
            </w:r>
            <w:r>
              <w:rPr>
                <w:rFonts w:hint="eastAsia" w:ascii="Arial" w:hAnsi="Arial"/>
                <w:sz w:val="18"/>
                <w:lang w:eastAsia="ja-JP"/>
              </w:rPr>
              <w:t xml:space="preserve"> appl</w:t>
            </w:r>
            <w:r>
              <w:rPr>
                <w:rFonts w:ascii="Arial" w:hAnsi="Arial"/>
                <w:sz w:val="18"/>
                <w:lang w:eastAsia="ja-JP"/>
              </w:rPr>
              <w:t>ies</w:t>
            </w:r>
            <w:r>
              <w:rPr>
                <w:rFonts w:hint="eastAsia" w:ascii="Arial" w:hAnsi="Arial"/>
                <w:sz w:val="18"/>
                <w:lang w:eastAsia="ja-JP"/>
              </w:rPr>
              <w:t xml:space="preserve"> </w:t>
            </w:r>
            <w:r>
              <w:rPr>
                <w:rFonts w:ascii="Arial" w:hAnsi="Arial"/>
                <w:sz w:val="18"/>
                <w:lang w:eastAsia="ja-JP"/>
              </w:rPr>
              <w:t xml:space="preserve">at a </w:t>
            </w:r>
            <w:r>
              <w:rPr>
                <w:rFonts w:hint="eastAsia" w:ascii="Arial" w:hAnsi="Arial"/>
                <w:sz w:val="18"/>
                <w:lang w:eastAsia="ja-JP"/>
              </w:rPr>
              <w:t xml:space="preserve">frequency </w:t>
            </w:r>
            <w:r>
              <w:rPr>
                <w:rFonts w:ascii="Arial" w:hAnsi="Arial"/>
                <w:sz w:val="18"/>
                <w:lang w:eastAsia="ja-JP"/>
              </w:rPr>
              <w:t xml:space="preserve">offset equal or larger than 5 MHz from the upper </w:t>
            </w:r>
            <w:r>
              <w:rPr>
                <w:rFonts w:hint="eastAsia" w:ascii="Arial" w:hAnsi="Arial"/>
                <w:sz w:val="18"/>
                <w:lang w:eastAsia="ja-JP"/>
              </w:rPr>
              <w:t>edge of the channel bandwidth</w:t>
            </w:r>
            <w:r>
              <w:rPr>
                <w:rFonts w:ascii="Arial" w:hAnsi="Arial"/>
                <w:sz w:val="18"/>
                <w:lang w:eastAsia="ja-JP"/>
              </w:rPr>
              <w:t>, whenever these frequencies overlap with the specified frequency band.</w:t>
            </w:r>
          </w:p>
        </w:tc>
      </w:tr>
    </w:tbl>
    <w:p/>
    <w:p>
      <w:pPr>
        <w:rPr>
          <w:rFonts w:eastAsiaTheme="minorEastAsia"/>
        </w:rPr>
      </w:pPr>
      <w:bookmarkStart w:id="1089" w:name="_Hlk141260715"/>
      <w:r>
        <w:rPr>
          <w:lang w:eastAsia="en-GB"/>
        </w:rPr>
        <w:t>The normative reference for this requirement is TS 36.102 [11] subclauses 6.5B.4.</w:t>
      </w:r>
      <w:r>
        <w:rPr>
          <w:rFonts w:hint="eastAsia" w:eastAsiaTheme="minorEastAsia"/>
        </w:rPr>
        <w:t>4</w:t>
      </w:r>
      <w:r>
        <w:rPr>
          <w:rFonts w:eastAsiaTheme="minorEastAsia"/>
        </w:rPr>
        <w:t>.3.</w:t>
      </w:r>
    </w:p>
    <w:bookmarkEnd w:id="1087"/>
    <w:bookmarkEnd w:id="1089"/>
    <w:p>
      <w:pPr>
        <w:pStyle w:val="9"/>
        <w:rPr>
          <w:lang w:eastAsia="en-GB"/>
        </w:rPr>
      </w:pPr>
      <w:r>
        <w:rPr>
          <w:lang w:eastAsia="en-GB"/>
        </w:rPr>
        <w:t>6.5B.4.4.4</w:t>
      </w:r>
      <w:r>
        <w:rPr>
          <w:lang w:eastAsia="en-GB"/>
        </w:rPr>
        <w:tab/>
      </w:r>
      <w:r>
        <w:rPr>
          <w:lang w:eastAsia="en-GB"/>
        </w:rPr>
        <w:t>Test description</w:t>
      </w:r>
    </w:p>
    <w:p>
      <w:pPr>
        <w:keepNext/>
        <w:keepLines/>
        <w:spacing w:before="120"/>
        <w:ind w:left="1985" w:hanging="1985"/>
        <w:rPr>
          <w:rFonts w:ascii="Arial" w:hAnsi="Arial" w:eastAsia="MS Mincho"/>
          <w:snapToGrid w:val="0"/>
          <w:lang w:eastAsia="en-GB"/>
        </w:rPr>
      </w:pPr>
      <w:r>
        <w:rPr>
          <w:rFonts w:ascii="Arial" w:hAnsi="Arial"/>
          <w:lang w:eastAsia="en-GB"/>
        </w:rPr>
        <w:t>6.5B.4.4.4.1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r>
        <w:t xml:space="preserve"> </w:t>
      </w:r>
      <w:r>
        <w:rPr>
          <w:lang w:eastAsia="en-GB"/>
        </w:rPr>
        <w:t xml:space="preserve">Annexes A.2. </w:t>
      </w:r>
      <w:r>
        <w:rPr>
          <w:rFonts w:cs="v5.0.0"/>
          <w:lang w:eastAsia="en-GB"/>
        </w:rPr>
        <w:t>Configurations of NPDSCH and NPDCCH before measurement are specified in Annex C.2.</w:t>
      </w:r>
    </w:p>
    <w:p>
      <w:pPr>
        <w:keepNext/>
        <w:keepLines/>
        <w:spacing w:before="60"/>
        <w:jc w:val="center"/>
        <w:rPr>
          <w:rFonts w:ascii="Arial" w:hAnsi="Arial"/>
          <w:b/>
          <w:lang w:eastAsia="en-GB"/>
        </w:rPr>
      </w:pPr>
      <w:bookmarkStart w:id="1090" w:name="_Hlk141261628"/>
      <w:r>
        <w:rPr>
          <w:rFonts w:ascii="Arial" w:hAnsi="Arial"/>
          <w:b/>
          <w:lang w:eastAsia="en-GB"/>
        </w:rPr>
        <w:t>Table 6.5B.4.4.4.1-1</w:t>
      </w:r>
      <w:bookmarkEnd w:id="1090"/>
      <w:r>
        <w:rPr>
          <w:rFonts w:ascii="Arial" w:hAnsi="Arial"/>
          <w:b/>
          <w:lang w:eastAsia="en-GB"/>
        </w:rPr>
        <w:t>: Test Configuration Table (network signalled value "</w:t>
      </w:r>
      <w:r>
        <w:t xml:space="preserve"> </w:t>
      </w:r>
      <w:r>
        <w:rPr>
          <w:rFonts w:ascii="Arial" w:hAnsi="Arial"/>
          <w:b/>
          <w:lang w:eastAsia="en-GB"/>
        </w:rPr>
        <w:t>NS_02N ")</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r>
              <w:rPr>
                <w:rFonts w:ascii="Arial" w:hAnsi="Arial"/>
                <w:sz w:val="18"/>
                <w:vertAlign w:val="superscript"/>
              </w:rPr>
              <w:t xml:space="preserve"> </w:t>
            </w:r>
            <w:r>
              <w:rPr>
                <w:rFonts w:ascii="Arial" w:hAnsi="Arial"/>
                <w:sz w:val="18"/>
              </w:rPr>
              <w:t>(Note 1)</w:t>
            </w:r>
          </w:p>
        </w:tc>
        <w:tc>
          <w:tcPr>
            <w:tcW w:w="2365" w:type="dxa"/>
            <w:vMerge w:val="restart"/>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3@3</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3@9</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6@0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6@6</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lang w:eastAsia="en-GB"/>
        </w:rPr>
      </w:pPr>
    </w:p>
    <w:p>
      <w:pPr>
        <w:keepNext/>
        <w:keepLines/>
        <w:spacing w:before="60"/>
        <w:jc w:val="center"/>
        <w:rPr>
          <w:rFonts w:ascii="Arial" w:hAnsi="Arial"/>
          <w:b/>
          <w:lang w:eastAsia="en-GB"/>
        </w:rPr>
      </w:pPr>
      <w:r>
        <w:rPr>
          <w:rFonts w:ascii="Arial" w:hAnsi="Arial"/>
          <w:b/>
          <w:lang w:eastAsia="en-GB"/>
        </w:rPr>
        <w:t>Table 6.5B.4.4.4.1-2 Test Configuration Table (network signalled value "NS_24")</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r>
              <w:rPr>
                <w:rFonts w:ascii="Arial" w:hAnsi="Arial"/>
                <w:sz w:val="18"/>
                <w:vertAlign w:val="superscript"/>
              </w:rPr>
              <w:t xml:space="preserve"> </w:t>
            </w:r>
            <w:r>
              <w:rPr>
                <w:rFonts w:ascii="Arial" w:hAnsi="Arial"/>
                <w:sz w:val="18"/>
              </w:rPr>
              <w:t>(Note 1)</w:t>
            </w:r>
          </w:p>
        </w:tc>
        <w:tc>
          <w:tcPr>
            <w:tcW w:w="2365" w:type="dxa"/>
            <w:vMerge w:val="restart"/>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3@3</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3@9</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6@0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6@6</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color w:val="0070C0"/>
          <w:lang w:eastAsia="en-GB"/>
        </w:rP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the SS to the UE antenna connectors as shown in TS 36.508[12] Annex A Figure A.7 using only main UE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4.4.3.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 and H.3.0.</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 xml:space="preserve">The UL Reference Measurement channels are set according to </w:t>
      </w:r>
      <w:bookmarkStart w:id="1091" w:name="_Hlk141262737"/>
      <w:r>
        <w:rPr>
          <w:lang w:eastAsia="en-GB"/>
        </w:rPr>
        <w:t xml:space="preserve">Table 6.5B.4.4.4.1-1 to Table 6.5B.4.4.4.1-2 </w:t>
      </w:r>
      <w:bookmarkEnd w:id="1091"/>
      <w:r>
        <w:rPr>
          <w:rFonts w:eastAsia="MS Mincho"/>
          <w:lang w:eastAsia="en-GB"/>
        </w:rPr>
        <w:t>depending on network signal value</w:t>
      </w:r>
      <w:r>
        <w:rPr>
          <w:lang w:eastAsia="en-GB"/>
        </w:rPr>
        <w:t>.</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UE location according to TS 36.508 [12] clause 8.2.6.1 is provided to the UE through any</w:t>
      </w:r>
      <w:r>
        <w:rPr>
          <w:lang w:eastAsia="en-GB"/>
        </w:rPr>
        <w:t xml:space="preserve"> </w:t>
      </w:r>
      <w:r>
        <w:rPr>
          <w:rFonts w:hint="eastAsia"/>
          <w:lang w:eastAsia="en-GB"/>
        </w:rPr>
        <w:t>preconfigured means.</w:t>
      </w:r>
    </w:p>
    <w:p>
      <w:pPr>
        <w:pStyle w:val="111"/>
        <w:overflowPunct w:val="0"/>
        <w:autoSpaceDE w:val="0"/>
        <w:autoSpaceDN w:val="0"/>
        <w:adjustRightInd w:val="0"/>
        <w:ind w:left="568"/>
        <w:contextualSpacing w:val="0"/>
        <w:textAlignment w:val="baseline"/>
        <w:rPr>
          <w:lang w:eastAsia="en-GB"/>
        </w:rPr>
      </w:pPr>
      <w:r>
        <w:rPr>
          <w:rFonts w:hint="eastAsia"/>
          <w:lang w:eastAsia="en-GB"/>
        </w:rPr>
        <w:t>7</w:t>
      </w:r>
      <w:r>
        <w:rPr>
          <w:lang w:eastAsia="en-GB"/>
        </w:rPr>
        <w:t>.</w:t>
      </w:r>
      <w:r>
        <w:rPr>
          <w:lang w:eastAsia="en-GB"/>
        </w:rPr>
        <w:tab/>
      </w:r>
      <w:r>
        <w:rPr>
          <w:lang w:eastAsia="en-GB"/>
        </w:rPr>
        <w:t xml:space="preserve">Test equipment shall emulate </w:t>
      </w:r>
      <w:r>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Pr>
          <w:lang w:eastAsia="en-GB"/>
        </w:rPr>
        <w:t>. Test system shall send same SIB31-NB information during the duration of the test as define in TS 36.508[12] clause 8.2.6.3.1</w:t>
      </w:r>
    </w:p>
    <w:p>
      <w:pPr>
        <w:pStyle w:val="111"/>
        <w:overflowPunct w:val="0"/>
        <w:autoSpaceDE w:val="0"/>
        <w:autoSpaceDN w:val="0"/>
        <w:adjustRightInd w:val="0"/>
        <w:ind w:left="568"/>
        <w:contextualSpacing w:val="0"/>
        <w:textAlignment w:val="baseline"/>
        <w:rPr>
          <w:lang w:eastAsia="en-GB"/>
        </w:rPr>
      </w:pPr>
      <w:r>
        <w:rPr>
          <w:rFonts w:hint="eastAsia"/>
          <w:lang w:eastAsia="en-GB"/>
        </w:rPr>
        <w:t>8</w:t>
      </w:r>
      <w:r>
        <w:rPr>
          <w:lang w:eastAsia="en-GB"/>
        </w:rPr>
        <w:t>.</w:t>
      </w:r>
      <w:r>
        <w:rPr>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9.</w:t>
      </w:r>
      <w:r>
        <w:rPr>
          <w:lang w:eastAsia="en-GB"/>
        </w:rPr>
        <w:tab/>
      </w:r>
      <w:r>
        <w:rPr>
          <w:lang w:eastAsia="en-GB"/>
        </w:rPr>
        <w:t>Ensure the UE is in State 3A-RF-CE according to TS 36.508 [12] clause 5.2A.2AA. Message contents are defined in clause 6.5B.4.4.4.3.</w:t>
      </w:r>
    </w:p>
    <w:p>
      <w:pPr>
        <w:keepNext/>
        <w:keepLines/>
        <w:spacing w:before="120"/>
        <w:ind w:left="1985" w:hanging="1985"/>
        <w:rPr>
          <w:rFonts w:ascii="Arial" w:hAnsi="Arial"/>
          <w:snapToGrid w:val="0"/>
          <w:lang w:eastAsia="en-GB"/>
        </w:rPr>
      </w:pPr>
      <w:bookmarkStart w:id="1092" w:name="_Hlk141273203"/>
      <w:r>
        <w:rPr>
          <w:rFonts w:ascii="Arial" w:hAnsi="Arial"/>
          <w:lang w:eastAsia="en-GB"/>
        </w:rPr>
        <w:t>6.5B.4.4</w:t>
      </w:r>
      <w:bookmarkEnd w:id="1092"/>
      <w:r>
        <w:rPr>
          <w:rFonts w:ascii="Arial" w:hAnsi="Arial"/>
          <w:lang w:eastAsia="en-GB"/>
        </w:rPr>
        <w:t>.4.2</w:t>
      </w:r>
      <w:r>
        <w:rPr>
          <w:rFonts w:ascii="Arial" w:hAnsi="Arial"/>
          <w:lang w:eastAsia="en-GB"/>
        </w:rPr>
        <w:tab/>
      </w:r>
      <w:r>
        <w:rPr>
          <w:rFonts w:ascii="Arial" w:hAnsi="Arial"/>
          <w:snapToGrid w:val="0"/>
          <w:lang w:eastAsia="en-GB"/>
        </w:rP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 xml:space="preserve">SS sends uplink scheduling information </w:t>
      </w:r>
      <w:r>
        <w:rPr>
          <w:rFonts w:eastAsia="MS Mincho"/>
          <w:lang w:eastAsia="en-GB"/>
        </w:rPr>
        <w:t>for each UL HARQ process</w:t>
      </w:r>
      <w:r>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Pr>
          <w:rFonts w:eastAsia="MS Mincho"/>
          <w:lang w:eastAsia="en-GB"/>
        </w:rPr>
        <w:t>.</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 xml:space="preserve">Send continuously uplink power control "up" commands </w:t>
      </w:r>
      <w:r>
        <w:rPr>
          <w:rFonts w:eastAsia="MS Mincho"/>
          <w:lang w:eastAsia="en-GB"/>
        </w:rPr>
        <w:t>in the uplink scheduling information</w:t>
      </w:r>
      <w:r>
        <w:rPr>
          <w:lang w:eastAsia="en-GB"/>
        </w:rPr>
        <w:t xml:space="preserve"> to the UE until the UE transmits at P</w:t>
      </w:r>
      <w:r>
        <w:rPr>
          <w:vertAlign w:val="subscript"/>
          <w:lang w:eastAsia="en-GB"/>
        </w:rPr>
        <w:t>UMAX</w:t>
      </w:r>
      <w:r>
        <w:rPr>
          <w:lang w:eastAsia="en-GB"/>
        </w:rPr>
        <w:t xml:space="preserve"> level</w:t>
      </w:r>
      <w:r>
        <w:rPr>
          <w:rFonts w:eastAsia="MS Mincho"/>
          <w:lang w:eastAsia="en-GB"/>
        </w:rPr>
        <w:t>.</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Measure the mean power of the UE in the channel bandwidth of the radio access mode according to the test configuration, which shall meet the requirements described in Tables 6.2B.3.5-1 to 6.2B.3.5</w:t>
      </w:r>
      <w:r>
        <w:rPr>
          <w:lang w:eastAsia="en-GB"/>
        </w:rPr>
        <w:noBreakHyphen/>
      </w:r>
      <w:r>
        <w:rPr>
          <w:lang w:eastAsia="en-GB"/>
        </w:rPr>
        <w:t>2 for Power Class 3 UEs as appropriate. The period of the measurement shall be at least one sub-frame (1ms).</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 xml:space="preserve">Measure the power of the transmitted signal with a measurement filter of bandwidths according to Table 6.5B.4.4.5.1-1 to </w:t>
      </w:r>
      <w:r>
        <w:rPr>
          <w:rFonts w:eastAsia="MS Mincho"/>
          <w:lang w:eastAsia="en-GB"/>
        </w:rPr>
        <w:t>6.5B.4.4.5.</w:t>
      </w:r>
      <w:r>
        <w:rPr>
          <w:lang w:eastAsia="en-GB"/>
        </w:rPr>
        <w:t>2</w:t>
      </w:r>
      <w:r>
        <w:rPr>
          <w:rFonts w:eastAsia="MS Mincho"/>
          <w:lang w:eastAsia="en-GB"/>
        </w:rPr>
        <w:t>-1</w:t>
      </w:r>
      <w:r>
        <w:rPr>
          <w:lang w:eastAsia="en-GB"/>
        </w:rPr>
        <w:t xml:space="preserve"> as appropriate. The centre frequency of the filter shall be stepped in contiguous steps according to the same table. The measured power shall be verified for each step. The measurement period shall capture the active </w:t>
      </w:r>
      <w:r>
        <w:rPr>
          <w:rFonts w:eastAsia="MS Mincho"/>
          <w:lang w:eastAsia="en-GB"/>
        </w:rPr>
        <w:t>time slot</w:t>
      </w:r>
      <w:r>
        <w:rPr>
          <w:lang w:eastAsia="en-GB"/>
        </w:rPr>
        <w:t>s. During measurement the spectrum analyser shall be set to 'Detector' = RMS.</w:t>
      </w:r>
    </w:p>
    <w:p>
      <w:pPr>
        <w:keepNext/>
        <w:keepLines/>
        <w:spacing w:before="120"/>
        <w:ind w:left="1985" w:hanging="1985"/>
        <w:rPr>
          <w:rFonts w:ascii="Arial" w:hAnsi="Arial"/>
          <w:snapToGrid w:val="0"/>
          <w:lang w:eastAsia="en-GB"/>
        </w:rPr>
      </w:pPr>
      <w:r>
        <w:rPr>
          <w:rFonts w:ascii="Arial" w:hAnsi="Arial"/>
          <w:lang w:eastAsia="en-GB"/>
        </w:rPr>
        <w:t>6.5B.4.4.4.3</w:t>
      </w:r>
      <w:r>
        <w:rPr>
          <w:rFonts w:ascii="Arial" w:hAnsi="Arial"/>
          <w:lang w:eastAsia="en-GB"/>
        </w:rPr>
        <w:tab/>
      </w:r>
      <w:r>
        <w:rPr>
          <w:rFonts w:ascii="Arial" w:hAnsi="Arial"/>
          <w:snapToGrid w:val="0"/>
          <w:lang w:eastAsia="en-GB"/>
        </w:rPr>
        <w:t>Message contents</w:t>
      </w:r>
    </w:p>
    <w:p>
      <w:pPr>
        <w:rPr>
          <w:lang w:eastAsia="en-GB"/>
        </w:rPr>
      </w:pPr>
      <w:r>
        <w:rPr>
          <w:lang w:eastAsia="en-GB"/>
        </w:rPr>
        <w:t>Message contents are same as in clause 6.2B.3.4.3.</w:t>
      </w:r>
    </w:p>
    <w:p>
      <w:pPr>
        <w:pStyle w:val="9"/>
        <w:rPr>
          <w:rFonts w:eastAsia="MS Mincho"/>
          <w:lang w:eastAsia="en-GB"/>
        </w:rPr>
      </w:pPr>
      <w:bookmarkStart w:id="1093" w:name="_Hlk141274009"/>
      <w:r>
        <w:rPr>
          <w:snapToGrid w:val="0"/>
          <w:lang w:eastAsia="en-GB"/>
        </w:rPr>
        <w:t>6.5B.4.4.5</w:t>
      </w:r>
      <w:bookmarkEnd w:id="1093"/>
      <w:r>
        <w:rPr>
          <w:snapToGrid w:val="0"/>
          <w:lang w:eastAsia="en-GB"/>
        </w:rPr>
        <w:tab/>
      </w:r>
      <w:r>
        <w:rPr>
          <w:lang w:eastAsia="en-GB"/>
        </w:rPr>
        <w:t>Test requirement</w:t>
      </w:r>
    </w:p>
    <w:p>
      <w:pPr>
        <w:rPr>
          <w:lang w:eastAsia="en-GB"/>
        </w:rPr>
      </w:pPr>
      <w:r>
        <w:rPr>
          <w:lang w:eastAsia="en-GB"/>
        </w:rPr>
        <w:t>The measured UE mean power in the channel bandwidth, derived in step 3, shall fulfil requirements in Tables 6.2B.3.5-1 to 6.2B.3.5</w:t>
      </w:r>
      <w:r>
        <w:rPr>
          <w:lang w:eastAsia="en-GB"/>
        </w:rPr>
        <w:noBreakHyphen/>
      </w:r>
      <w:r>
        <w:rPr>
          <w:lang w:eastAsia="en-GB"/>
        </w:rPr>
        <w:t>2 as appropriate.</w:t>
      </w:r>
    </w:p>
    <w:p>
      <w:pPr>
        <w:keepNext/>
        <w:keepLines/>
        <w:spacing w:before="120"/>
        <w:ind w:left="1985" w:hanging="1985"/>
        <w:rPr>
          <w:rFonts w:ascii="Arial" w:hAnsi="Arial"/>
          <w:lang w:eastAsia="en-GB"/>
        </w:rPr>
      </w:pPr>
      <w:r>
        <w:rPr>
          <w:rFonts w:ascii="Arial" w:hAnsi="Arial"/>
          <w:lang w:eastAsia="en-GB"/>
        </w:rPr>
        <w:t>6.5B.4.4.5.1</w:t>
      </w:r>
      <w:r>
        <w:rPr>
          <w:rFonts w:ascii="Arial" w:hAnsi="Arial"/>
          <w:lang w:eastAsia="en-GB"/>
        </w:rPr>
        <w:tab/>
      </w:r>
      <w:r>
        <w:rPr>
          <w:rFonts w:ascii="Arial" w:hAnsi="Arial"/>
          <w:lang w:eastAsia="en-GB"/>
        </w:rPr>
        <w:t>Test requirement (network signalled value "NS_02N ")</w:t>
      </w:r>
    </w:p>
    <w:p>
      <w:pPr>
        <w:rPr>
          <w:rFonts w:eastAsia="PMingLiU"/>
          <w:lang w:eastAsia="zh-TW"/>
        </w:rPr>
      </w:pPr>
      <w:r>
        <w:rPr>
          <w:color w:val="000000"/>
          <w:lang w:val="en-US" w:eastAsia="en-GB"/>
        </w:rPr>
        <w:t>When "NS_</w:t>
      </w:r>
      <w:r>
        <w:rPr>
          <w:rFonts w:hint="eastAsia"/>
          <w:color w:val="000000"/>
          <w:lang w:val="en-US"/>
        </w:rPr>
        <w:t>02N</w:t>
      </w:r>
      <w:r>
        <w:rPr>
          <w:color w:val="000000"/>
          <w:lang w:val="en-US" w:eastAsia="en-GB"/>
        </w:rPr>
        <w:t xml:space="preserve">" is indicated in the cell, the power of any UE </w:t>
      </w:r>
      <w:r>
        <w:rPr>
          <w:rFonts w:hint="eastAsia"/>
          <w:color w:val="000000"/>
          <w:lang w:val="en-US"/>
        </w:rPr>
        <w:t xml:space="preserve">spurious </w:t>
      </w:r>
      <w:r>
        <w:rPr>
          <w:color w:val="000000"/>
          <w:lang w:val="en-US" w:eastAsia="en-GB"/>
        </w:rPr>
        <w:t>emission shall not exceed the levels specified in Table 6.5B.4.4.5.1-1 and 6.5B.4.4.5.1-2.</w:t>
      </w:r>
      <w:r>
        <w:rPr>
          <w:color w:val="000000"/>
          <w:lang w:val="en-US"/>
        </w:rPr>
        <w:t xml:space="preserve"> </w:t>
      </w:r>
      <w:r>
        <w:rPr>
          <w:color w:val="000000"/>
          <w:lang w:eastAsia="en-GB"/>
        </w:rPr>
        <w:t>This requirement also applies for the frequency ranges that are less than F</w:t>
      </w:r>
      <w:r>
        <w:rPr>
          <w:color w:val="000000"/>
          <w:vertAlign w:val="subscript"/>
          <w:lang w:eastAsia="en-GB"/>
        </w:rPr>
        <w:t>OOB</w:t>
      </w:r>
      <w:r>
        <w:rPr>
          <w:color w:val="000000"/>
          <w:lang w:eastAsia="en-GB"/>
        </w:rPr>
        <w:t xml:space="preserve"> (</w:t>
      </w:r>
      <w:r>
        <w:rPr>
          <w:color w:val="000000"/>
          <w:lang w:val="en-US" w:eastAsia="en-GB"/>
        </w:rPr>
        <w:t xml:space="preserve">MHz) </w:t>
      </w:r>
      <w:r>
        <w:rPr>
          <w:color w:val="000000"/>
          <w:lang w:val="en-US"/>
        </w:rPr>
        <w:t xml:space="preserve">specified in </w:t>
      </w:r>
      <w:r>
        <w:rPr>
          <w:color w:val="000000"/>
          <w:lang w:val="en-US" w:eastAsia="en-GB"/>
        </w:rPr>
        <w:t>6.5B.</w:t>
      </w:r>
      <w:r>
        <w:rPr>
          <w:color w:val="000000"/>
          <w:lang w:val="en-US"/>
        </w:rPr>
        <w:t>4</w:t>
      </w:r>
      <w:r>
        <w:rPr>
          <w:color w:val="000000"/>
          <w:lang w:val="en-US" w:eastAsia="en-GB"/>
        </w:rPr>
        <w:t>.</w:t>
      </w:r>
      <w:r>
        <w:rPr>
          <w:color w:val="000000"/>
          <w:lang w:val="en-US"/>
        </w:rPr>
        <w:t>2</w:t>
      </w:r>
      <w:r>
        <w:rPr>
          <w:color w:val="000000"/>
          <w:lang w:val="en-US" w:eastAsia="en-GB"/>
        </w:rPr>
        <w:t xml:space="preserve"> from the edge of the channel bandwidth. </w:t>
      </w:r>
      <w:r>
        <w:rPr>
          <w:lang w:eastAsia="en-GB"/>
        </w:rPr>
        <w:t xml:space="preserve">Network signalling remark NS_02N applies integer-value 2. </w:t>
      </w:r>
    </w:p>
    <w:p>
      <w:pPr>
        <w:keepNext/>
        <w:keepLines/>
        <w:spacing w:before="60"/>
        <w:jc w:val="center"/>
        <w:rPr>
          <w:rFonts w:ascii="Arial" w:hAnsi="Arial"/>
          <w:b/>
          <w:lang w:eastAsia="en-GB"/>
        </w:rPr>
      </w:pPr>
      <w:r>
        <w:rPr>
          <w:rFonts w:ascii="Arial" w:hAnsi="Arial"/>
          <w:b/>
          <w:lang w:eastAsia="en-GB"/>
        </w:rPr>
        <w:t>Table 6.5B.</w:t>
      </w:r>
      <w:r>
        <w:rPr>
          <w:rFonts w:ascii="Arial" w:hAnsi="Arial"/>
          <w:b/>
          <w:lang w:val="en-US"/>
        </w:rPr>
        <w:t>4</w:t>
      </w:r>
      <w:r>
        <w:rPr>
          <w:rFonts w:ascii="Arial" w:hAnsi="Arial"/>
          <w:b/>
          <w:lang w:eastAsia="en-GB"/>
        </w:rPr>
        <w:t>.</w:t>
      </w:r>
      <w:r>
        <w:rPr>
          <w:rFonts w:ascii="Arial" w:hAnsi="Arial"/>
          <w:b/>
          <w:lang w:val="en-US"/>
        </w:rPr>
        <w:t>4</w:t>
      </w:r>
      <w:r>
        <w:rPr>
          <w:rFonts w:hint="eastAsia" w:ascii="Arial" w:hAnsi="Arial"/>
          <w:b/>
          <w:lang w:val="en-US"/>
        </w:rPr>
        <w:t>.</w:t>
      </w:r>
      <w:r>
        <w:rPr>
          <w:rFonts w:ascii="Arial" w:hAnsi="Arial"/>
          <w:b/>
          <w:lang w:val="en-US"/>
        </w:rPr>
        <w:t>5.1</w:t>
      </w:r>
      <w:r>
        <w:rPr>
          <w:rFonts w:ascii="Arial" w:hAnsi="Arial"/>
          <w:b/>
          <w:lang w:eastAsia="en-GB"/>
        </w:rPr>
        <w:t xml:space="preserve">-1: Additional requirements for </w:t>
      </w:r>
      <w:r>
        <w:rPr>
          <w:rFonts w:ascii="Arial" w:hAnsi="Arial" w:eastAsia="Yu Mincho"/>
          <w:b/>
          <w:lang w:eastAsia="en-GB"/>
        </w:rPr>
        <w:t>"</w:t>
      </w:r>
      <w:r>
        <w:rPr>
          <w:rFonts w:ascii="Arial" w:hAnsi="Arial"/>
          <w:b/>
          <w:lang w:eastAsia="en-GB"/>
        </w:rPr>
        <w:t>NS_</w:t>
      </w:r>
      <w:r>
        <w:rPr>
          <w:rFonts w:hint="eastAsia" w:ascii="Arial" w:hAnsi="Arial"/>
          <w:b/>
          <w:lang w:val="en-US"/>
        </w:rPr>
        <w:t>02</w:t>
      </w:r>
      <w:r>
        <w:rPr>
          <w:rFonts w:ascii="Arial" w:hAnsi="Arial"/>
          <w:b/>
          <w:lang w:val="en-US" w:eastAsia="en-GB"/>
        </w:rPr>
        <w:t>N</w:t>
      </w:r>
      <w:r>
        <w:rPr>
          <w:rFonts w:ascii="Arial" w:hAnsi="Arial" w:eastAsia="Yu Mincho"/>
          <w:b/>
          <w:lang w:eastAsia="en-GB"/>
        </w:rPr>
        <w:t>"</w:t>
      </w:r>
    </w:p>
    <w:tbl>
      <w:tblPr>
        <w:tblStyle w:val="89"/>
        <w:tblW w:w="75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2065"/>
        <w:gridCol w:w="1377"/>
        <w:gridCol w:w="2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1848"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Frequency band</w:t>
            </w:r>
          </w:p>
          <w:p>
            <w:pPr>
              <w:keepNext/>
              <w:keepLines/>
              <w:spacing w:after="0"/>
              <w:jc w:val="center"/>
              <w:rPr>
                <w:rFonts w:ascii="Arial" w:hAnsi="Arial" w:cs="Arial"/>
                <w:b/>
                <w:bCs/>
                <w:sz w:val="18"/>
                <w:lang w:eastAsia="en-GB"/>
              </w:rPr>
            </w:pPr>
            <w:r>
              <w:rPr>
                <w:rFonts w:ascii="Arial" w:hAnsi="Arial" w:cs="Arial"/>
                <w:b/>
                <w:bCs/>
                <w:sz w:val="18"/>
                <w:lang w:eastAsia="en-GB"/>
              </w:rPr>
              <w:t>(MHz)</w:t>
            </w:r>
          </w:p>
        </w:tc>
        <w:tc>
          <w:tcPr>
            <w:tcW w:w="2065" w:type="dxa"/>
          </w:tcPr>
          <w:p>
            <w:pPr>
              <w:keepNext/>
              <w:keepLines/>
              <w:spacing w:after="0"/>
              <w:jc w:val="center"/>
              <w:rPr>
                <w:rFonts w:ascii="Arial" w:hAnsi="Arial" w:cs="Arial"/>
                <w:b/>
                <w:bCs/>
                <w:sz w:val="18"/>
                <w:lang w:eastAsia="en-GB"/>
              </w:rPr>
            </w:pPr>
            <w:r>
              <w:rPr>
                <w:rFonts w:ascii="Arial" w:hAnsi="Arial" w:cs="Arial"/>
                <w:b/>
                <w:bCs/>
                <w:sz w:val="18"/>
                <w:lang w:eastAsia="en-GB"/>
              </w:rPr>
              <w:t>Channel bandwidth / Spectrum emission limit</w:t>
            </w:r>
            <w:r>
              <w:rPr>
                <w:rFonts w:ascii="Arial" w:hAnsi="Arial" w:cs="Arial"/>
                <w:b/>
                <w:bCs/>
                <w:sz w:val="18"/>
                <w:vertAlign w:val="superscript"/>
                <w:lang w:eastAsia="en-GB"/>
              </w:rPr>
              <w:t>1</w:t>
            </w:r>
            <w:r>
              <w:rPr>
                <w:rFonts w:ascii="Arial" w:hAnsi="Arial" w:cs="Arial"/>
                <w:b/>
                <w:bCs/>
                <w:sz w:val="18"/>
                <w:lang w:eastAsia="en-GB"/>
              </w:rPr>
              <w:t xml:space="preserve"> (dB</w:t>
            </w:r>
            <w:r>
              <w:rPr>
                <w:rFonts w:hint="eastAsia" w:ascii="Arial" w:hAnsi="Arial" w:cs="Arial"/>
                <w:b/>
                <w:bCs/>
                <w:sz w:val="18"/>
                <w:lang w:val="en-US"/>
              </w:rPr>
              <w:t>m</w:t>
            </w:r>
            <w:r>
              <w:rPr>
                <w:rFonts w:ascii="Arial" w:hAnsi="Arial" w:cs="Arial"/>
                <w:b/>
                <w:bCs/>
                <w:sz w:val="18"/>
                <w:lang w:eastAsia="en-GB"/>
              </w:rPr>
              <w:t>)</w:t>
            </w:r>
          </w:p>
        </w:tc>
        <w:tc>
          <w:tcPr>
            <w:tcW w:w="1377"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 xml:space="preserve">Measurement bandwidth </w:t>
            </w:r>
          </w:p>
        </w:tc>
        <w:tc>
          <w:tcPr>
            <w:tcW w:w="2222"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 w:hRule="atLeast"/>
          <w:jc w:val="center"/>
        </w:trPr>
        <w:tc>
          <w:tcPr>
            <w:tcW w:w="1848" w:type="dxa"/>
            <w:vMerge w:val="continue"/>
          </w:tcPr>
          <w:p>
            <w:pPr>
              <w:keepNext/>
              <w:keepLines/>
              <w:spacing w:after="0"/>
              <w:jc w:val="center"/>
              <w:rPr>
                <w:rFonts w:ascii="Arial" w:hAnsi="Arial" w:cs="Arial"/>
                <w:sz w:val="18"/>
                <w:lang w:eastAsia="en-GB"/>
              </w:rPr>
            </w:pPr>
          </w:p>
        </w:tc>
        <w:tc>
          <w:tcPr>
            <w:tcW w:w="2065" w:type="dxa"/>
          </w:tcPr>
          <w:p>
            <w:pPr>
              <w:keepNext/>
              <w:keepLines/>
              <w:spacing w:after="0"/>
              <w:jc w:val="center"/>
              <w:rPr>
                <w:rFonts w:ascii="Arial" w:hAnsi="Arial" w:cs="Arial"/>
                <w:sz w:val="18"/>
                <w:lang w:val="en-US"/>
              </w:rPr>
            </w:pPr>
            <w:r>
              <w:rPr>
                <w:rFonts w:hint="eastAsia" w:ascii="Arial" w:hAnsi="Arial" w:cs="Arial"/>
                <w:sz w:val="18"/>
                <w:lang w:val="en-US"/>
              </w:rPr>
              <w:t>200kHz</w:t>
            </w:r>
          </w:p>
        </w:tc>
        <w:tc>
          <w:tcPr>
            <w:tcW w:w="1377" w:type="dxa"/>
            <w:vMerge w:val="continue"/>
          </w:tcPr>
          <w:p>
            <w:pPr>
              <w:keepNext/>
              <w:keepLines/>
              <w:ind w:left="800"/>
              <w:jc w:val="center"/>
              <w:rPr>
                <w:rFonts w:ascii="Arial" w:hAnsi="Arial" w:cs="Arial"/>
                <w:snapToGrid w:val="0"/>
                <w:kern w:val="2"/>
                <w:sz w:val="18"/>
                <w:szCs w:val="18"/>
                <w:lang w:eastAsia="en-GB"/>
              </w:rPr>
            </w:pPr>
          </w:p>
        </w:tc>
        <w:tc>
          <w:tcPr>
            <w:tcW w:w="2222" w:type="dxa"/>
            <w:vMerge w:val="continue"/>
            <w:tcBorders>
              <w:bottom w:val="single" w:color="auto" w:sz="4" w:space="0"/>
            </w:tcBorders>
          </w:tcPr>
          <w:p>
            <w:pPr>
              <w:keepNext/>
              <w:keepLines/>
              <w:ind w:left="800"/>
              <w:jc w:val="center"/>
              <w:rPr>
                <w:rFonts w:ascii="Arial" w:hAnsi="Arial" w:cs="Arial"/>
                <w:snapToGrid w:val="0"/>
                <w:kern w:val="2"/>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15</w:t>
            </w:r>
            <w:r>
              <w:rPr>
                <w:rFonts w:ascii="Arial" w:hAnsi="Arial" w:cs="Arial"/>
                <w:sz w:val="18"/>
                <w:szCs w:val="18"/>
                <w:lang w:val="en-US" w:eastAsia="en-GB"/>
              </w:rPr>
              <w:t>59</w:t>
            </w:r>
            <w:r>
              <w:rPr>
                <w:rFonts w:ascii="Arial" w:hAnsi="Arial" w:cs="Arial"/>
                <w:sz w:val="18"/>
                <w:szCs w:val="18"/>
                <w:lang w:eastAsia="en-GB"/>
              </w:rPr>
              <w:t>≤ f ≤ 16</w:t>
            </w:r>
            <w:r>
              <w:rPr>
                <w:rFonts w:ascii="Arial" w:hAnsi="Arial" w:cs="Arial"/>
                <w:sz w:val="18"/>
                <w:szCs w:val="18"/>
                <w:lang w:val="en-US" w:eastAsia="en-GB"/>
              </w:rPr>
              <w:t>05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p>
        </w:tc>
        <w:tc>
          <w:tcPr>
            <w:tcW w:w="1377"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700 Hz</w:t>
            </w:r>
          </w:p>
        </w:tc>
        <w:tc>
          <w:tcPr>
            <w:tcW w:w="2222"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605</w:t>
            </w:r>
            <w:r>
              <w:rPr>
                <w:rFonts w:ascii="Arial" w:hAnsi="Arial" w:cs="Arial"/>
                <w:sz w:val="18"/>
                <w:szCs w:val="18"/>
                <w:lang w:eastAsia="en-GB"/>
              </w:rPr>
              <w:t>≤ f ≤ 1610</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r>
              <w:rPr>
                <w:rFonts w:ascii="Arial" w:hAnsi="Arial" w:cs="Arial"/>
                <w:sz w:val="18"/>
                <w:szCs w:val="18"/>
                <w:lang w:eastAsia="en-GB"/>
              </w:rPr>
              <w:t xml:space="preserve"> </w:t>
            </w:r>
            <w:r>
              <w:rPr>
                <w:rFonts w:ascii="Arial" w:hAnsi="Arial" w:cs="Arial"/>
                <w:sz w:val="18"/>
                <w:szCs w:val="18"/>
                <w:lang w:val="en-US" w:eastAsia="en-GB"/>
              </w:rPr>
              <w:t>+ 24/5 (f-1605)</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700Hz</w:t>
            </w:r>
          </w:p>
        </w:tc>
        <w:tc>
          <w:tcPr>
            <w:tcW w:w="2222" w:type="dxa"/>
            <w:tcBorders>
              <w:top w:val="nil"/>
              <w:bottom w:val="nil"/>
            </w:tcBorders>
            <w:shd w:val="clear" w:color="auto" w:fill="auto"/>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559</w:t>
            </w:r>
            <w:r>
              <w:rPr>
                <w:rFonts w:ascii="Arial" w:hAnsi="Arial" w:cs="Arial"/>
                <w:sz w:val="18"/>
                <w:szCs w:val="18"/>
                <w:lang w:eastAsia="en-GB"/>
              </w:rPr>
              <w:t xml:space="preserve"> ≤ f ≤ 160</w:t>
            </w:r>
            <w:r>
              <w:rPr>
                <w:rFonts w:ascii="Arial" w:hAnsi="Arial" w:cs="Arial"/>
                <w:sz w:val="18"/>
                <w:szCs w:val="18"/>
                <w:lang w:val="en-US" w:eastAsia="en-GB"/>
              </w:rPr>
              <w:t>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-40</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1MHz</w:t>
            </w:r>
          </w:p>
        </w:tc>
        <w:tc>
          <w:tcPr>
            <w:tcW w:w="2222"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lang w:eastAsia="en-GB"/>
              </w:rPr>
            </w:pPr>
            <w:r>
              <w:rPr>
                <w:rFonts w:ascii="Arial" w:hAnsi="Arial" w:cs="Arial"/>
                <w:sz w:val="18"/>
                <w:lang w:eastAsia="en-GB"/>
              </w:rPr>
              <w:t>160</w:t>
            </w:r>
            <w:r>
              <w:rPr>
                <w:rFonts w:ascii="Arial" w:hAnsi="Arial" w:cs="Arial"/>
                <w:sz w:val="18"/>
                <w:lang w:val="en-US" w:eastAsia="en-GB"/>
              </w:rPr>
              <w:t>5</w:t>
            </w:r>
            <w:r>
              <w:rPr>
                <w:rFonts w:ascii="Arial" w:hAnsi="Arial" w:cs="Arial"/>
                <w:sz w:val="18"/>
                <w:lang w:eastAsia="en-GB"/>
              </w:rPr>
              <w:t>≤ f ≤ 1610</w:t>
            </w:r>
          </w:p>
        </w:tc>
        <w:tc>
          <w:tcPr>
            <w:tcW w:w="2065" w:type="dxa"/>
          </w:tcPr>
          <w:p>
            <w:pPr>
              <w:keepNext/>
              <w:keepLines/>
              <w:spacing w:after="0"/>
              <w:jc w:val="center"/>
              <w:rPr>
                <w:rFonts w:ascii="Arial" w:hAnsi="Arial" w:cs="Arial"/>
                <w:sz w:val="18"/>
                <w:lang w:val="en-US" w:eastAsia="en-GB"/>
              </w:rPr>
            </w:pPr>
            <w:r>
              <w:rPr>
                <w:rFonts w:ascii="Arial" w:hAnsi="Arial" w:cs="Arial"/>
                <w:sz w:val="18"/>
                <w:szCs w:val="18"/>
                <w:lang w:eastAsia="en-GB"/>
              </w:rPr>
              <w:t>-40</w:t>
            </w:r>
            <w:r>
              <w:rPr>
                <w:rFonts w:ascii="Arial" w:hAnsi="Arial" w:cs="Arial"/>
                <w:sz w:val="18"/>
                <w:lang w:eastAsia="en-GB"/>
              </w:rPr>
              <w:t xml:space="preserve"> </w:t>
            </w:r>
            <w:r>
              <w:rPr>
                <w:rFonts w:ascii="Arial" w:hAnsi="Arial" w:cs="Arial"/>
                <w:sz w:val="18"/>
                <w:lang w:val="en-US" w:eastAsia="en-GB"/>
              </w:rPr>
              <w:t>+ 24/5 (f-1605)</w:t>
            </w:r>
          </w:p>
        </w:tc>
        <w:tc>
          <w:tcPr>
            <w:tcW w:w="1377" w:type="dxa"/>
          </w:tcPr>
          <w:p>
            <w:pPr>
              <w:keepNext/>
              <w:keepLines/>
              <w:spacing w:after="0"/>
              <w:jc w:val="center"/>
              <w:rPr>
                <w:rFonts w:ascii="Arial" w:hAnsi="Arial" w:cs="Arial"/>
                <w:sz w:val="18"/>
                <w:lang w:eastAsia="en-GB"/>
              </w:rPr>
            </w:pPr>
            <w:r>
              <w:rPr>
                <w:rFonts w:ascii="Arial" w:hAnsi="Arial" w:cs="Arial"/>
                <w:sz w:val="18"/>
                <w:lang w:eastAsia="en-GB"/>
              </w:rPr>
              <w:t>1MHz</w:t>
            </w:r>
          </w:p>
        </w:tc>
        <w:tc>
          <w:tcPr>
            <w:tcW w:w="2222" w:type="dxa"/>
            <w:tcBorders>
              <w:top w:val="nil"/>
              <w:bottom w:val="nil"/>
            </w:tcBorders>
            <w:shd w:val="clear" w:color="auto" w:fill="auto"/>
          </w:tcPr>
          <w:p>
            <w:pPr>
              <w:keepNext/>
              <w:keepLines/>
              <w:spacing w:after="0"/>
              <w:jc w:val="center"/>
              <w:rPr>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2" w:type="dxa"/>
            <w:gridSpan w:val="4"/>
          </w:tcPr>
          <w:p>
            <w:pPr>
              <w:keepNext/>
              <w:keepLines/>
              <w:spacing w:after="0"/>
              <w:ind w:left="851" w:hanging="851"/>
              <w:rPr>
                <w:sz w:val="18"/>
                <w:lang w:eastAsia="en-GB"/>
              </w:rPr>
            </w:pPr>
            <w:r>
              <w:rPr>
                <w:rFonts w:ascii="Arial" w:hAnsi="Arial" w:cs="Arial"/>
                <w:sz w:val="18"/>
                <w:lang w:eastAsia="en-GB"/>
              </w:rPr>
              <w:t>NOTE:</w:t>
            </w:r>
            <w:r>
              <w:rPr>
                <w:rFonts w:ascii="Arial" w:hAnsi="Arial"/>
                <w:sz w:val="18"/>
                <w:lang w:eastAsia="en-GB"/>
              </w:rPr>
              <w:tab/>
            </w:r>
            <w:r>
              <w:rPr>
                <w:rFonts w:ascii="Arial" w:hAnsi="Arial"/>
                <w:sz w:val="18"/>
                <w:lang w:eastAsia="en-GB"/>
              </w:rPr>
              <w:t>The EIRP requirement in regulation is converted to conducted requirement using a 0 dBi antenna.</w:t>
            </w:r>
          </w:p>
        </w:tc>
      </w:tr>
    </w:tbl>
    <w:p>
      <w:pPr>
        <w:rPr>
          <w:lang w:val="en-US"/>
        </w:rPr>
      </w:pPr>
    </w:p>
    <w:p>
      <w:pPr>
        <w:keepNext/>
        <w:keepLines/>
        <w:spacing w:before="60"/>
        <w:jc w:val="center"/>
        <w:rPr>
          <w:rFonts w:ascii="Arial" w:hAnsi="Arial"/>
          <w:b/>
          <w:color w:val="000000"/>
          <w:lang w:eastAsia="en-GB"/>
        </w:rPr>
      </w:pPr>
      <w:r>
        <w:rPr>
          <w:rFonts w:ascii="Arial" w:hAnsi="Arial"/>
          <w:b/>
          <w:color w:val="000000"/>
          <w:lang w:eastAsia="en-GB"/>
        </w:rPr>
        <w:t>Table 6.5B.4.</w:t>
      </w:r>
      <w:r>
        <w:rPr>
          <w:rFonts w:ascii="Arial" w:hAnsi="Arial"/>
          <w:b/>
          <w:color w:val="000000"/>
          <w:lang w:val="en-US"/>
        </w:rPr>
        <w:t>4</w:t>
      </w:r>
      <w:r>
        <w:rPr>
          <w:rFonts w:hint="eastAsia" w:ascii="Arial" w:hAnsi="Arial"/>
          <w:b/>
          <w:color w:val="000000"/>
          <w:lang w:val="en-US"/>
        </w:rPr>
        <w:t>.</w:t>
      </w:r>
      <w:r>
        <w:rPr>
          <w:rFonts w:ascii="Arial" w:hAnsi="Arial"/>
          <w:b/>
          <w:color w:val="000000"/>
          <w:lang w:val="en-US"/>
        </w:rPr>
        <w:t>5.1-</w:t>
      </w:r>
      <w:r>
        <w:rPr>
          <w:rFonts w:hint="eastAsia" w:ascii="Arial" w:hAnsi="Arial"/>
          <w:b/>
          <w:color w:val="000000"/>
          <w:lang w:val="en-US"/>
        </w:rPr>
        <w:t>2</w:t>
      </w:r>
      <w:r>
        <w:rPr>
          <w:rFonts w:ascii="Arial" w:hAnsi="Arial"/>
          <w:b/>
          <w:color w:val="000000"/>
          <w:lang w:eastAsia="en-GB"/>
        </w:rPr>
        <w:t>: Additional requirements</w:t>
      </w:r>
      <w:r>
        <w:rPr>
          <w:rFonts w:ascii="Arial" w:hAnsi="Arial"/>
          <w:b/>
          <w:lang w:eastAsia="en-GB"/>
        </w:rPr>
        <w:t xml:space="preserve"> for </w:t>
      </w:r>
      <w:r>
        <w:rPr>
          <w:rFonts w:ascii="Arial" w:hAnsi="Arial" w:eastAsia="Yu Mincho"/>
          <w:b/>
          <w:lang w:eastAsia="en-GB"/>
        </w:rPr>
        <w:t>"</w:t>
      </w:r>
      <w:r>
        <w:rPr>
          <w:rFonts w:ascii="Arial" w:hAnsi="Arial"/>
          <w:b/>
          <w:lang w:eastAsia="en-GB"/>
        </w:rPr>
        <w:t>NS_</w:t>
      </w:r>
      <w:r>
        <w:rPr>
          <w:rFonts w:ascii="Arial" w:hAnsi="Arial"/>
          <w:b/>
          <w:lang w:val="en-US"/>
        </w:rPr>
        <w:t>02</w:t>
      </w:r>
      <w:r>
        <w:rPr>
          <w:rFonts w:ascii="Arial" w:hAnsi="Arial"/>
          <w:b/>
          <w:lang w:val="en-US" w:eastAsia="en-GB"/>
        </w:rPr>
        <w:t>N</w:t>
      </w:r>
      <w:r>
        <w:rPr>
          <w:rFonts w:ascii="Arial" w:hAnsi="Arial" w:eastAsia="Yu Mincho"/>
          <w:b/>
          <w:lang w:eastAsia="en-GB"/>
        </w:rPr>
        <w:t>"</w:t>
      </w:r>
    </w:p>
    <w:tbl>
      <w:tblPr>
        <w:tblStyle w:val="89"/>
        <w:tblW w:w="5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84"/>
        <w:gridCol w:w="2589"/>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084"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Δf</w:t>
            </w:r>
            <w:r>
              <w:rPr>
                <w:rFonts w:ascii="Arial" w:hAnsi="Arial"/>
                <w:b/>
                <w:sz w:val="18"/>
                <w:vertAlign w:val="subscript"/>
                <w:lang w:eastAsia="en-GB"/>
              </w:rPr>
              <w:t>OOB</w:t>
            </w:r>
          </w:p>
          <w:p>
            <w:pPr>
              <w:keepNext/>
              <w:keepLines/>
              <w:spacing w:after="0"/>
              <w:jc w:val="center"/>
              <w:rPr>
                <w:rFonts w:ascii="Arial" w:hAnsi="Arial"/>
                <w:b/>
                <w:sz w:val="18"/>
                <w:lang w:eastAsia="en-GB"/>
              </w:rPr>
            </w:pPr>
            <w:r>
              <w:rPr>
                <w:rFonts w:ascii="Arial" w:hAnsi="Arial"/>
                <w:b/>
                <w:sz w:val="18"/>
                <w:lang w:eastAsia="en-GB"/>
              </w:rPr>
              <w:t>(MHz)</w:t>
            </w:r>
          </w:p>
        </w:tc>
        <w:tc>
          <w:tcPr>
            <w:tcW w:w="2589"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Spectrum Emission Limit (dBm)</w:t>
            </w:r>
          </w:p>
        </w:tc>
        <w:tc>
          <w:tcPr>
            <w:tcW w:w="1982"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[0.09 – 0.28]</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-2 for PC3</w:t>
            </w:r>
          </w:p>
          <w:p>
            <w:pPr>
              <w:keepNext/>
              <w:keepLines/>
              <w:spacing w:after="0"/>
              <w:jc w:val="center"/>
              <w:rPr>
                <w:rFonts w:ascii="Arial" w:hAnsi="Arial"/>
                <w:sz w:val="18"/>
                <w:lang w:eastAsia="en-GB"/>
              </w:rPr>
            </w:pPr>
            <w:r>
              <w:rPr>
                <w:rFonts w:ascii="Arial" w:hAnsi="Arial"/>
                <w:sz w:val="18"/>
                <w:lang w:eastAsia="en-GB"/>
              </w:rPr>
              <w:t>-5 for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[0.28 – 0.85]</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-12 for PC3</w:t>
            </w:r>
          </w:p>
          <w:p>
            <w:pPr>
              <w:keepNext/>
              <w:keepLines/>
              <w:spacing w:after="0"/>
              <w:jc w:val="center"/>
              <w:rPr>
                <w:rFonts w:ascii="Arial" w:hAnsi="Arial"/>
                <w:sz w:val="18"/>
                <w:lang w:eastAsia="en-GB"/>
              </w:rPr>
            </w:pPr>
            <w:r>
              <w:rPr>
                <w:rFonts w:ascii="Arial" w:hAnsi="Arial"/>
                <w:sz w:val="18"/>
                <w:lang w:eastAsia="en-GB"/>
              </w:rPr>
              <w:t>-15 for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[&gt;0.85]</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-13 for PC3 and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bl>
    <w:p>
      <w:pPr>
        <w:rPr>
          <w:lang w:eastAsia="en-GB"/>
        </w:rPr>
      </w:pPr>
    </w:p>
    <w:p>
      <w:pPr>
        <w:keepLines/>
        <w:ind w:left="1135" w:hanging="851"/>
        <w:rPr>
          <w:lang w:eastAsia="en-GB"/>
        </w:rPr>
      </w:pPr>
      <w:r>
        <w:rPr>
          <w:lang w:eastAsia="en-GB"/>
        </w:rPr>
        <w:t>NOTE:</w:t>
      </w:r>
      <w:r>
        <w:rPr>
          <w:lang w:eastAsia="en-GB"/>
        </w:rPr>
        <w:tab/>
      </w:r>
      <w:r>
        <w:rPr>
          <w:lang w:eastAsia="en-GB"/>
        </w:rPr>
        <w:t>Δf</w:t>
      </w:r>
      <w:r>
        <w:rPr>
          <w:vertAlign w:val="subscript"/>
          <w:lang w:eastAsia="en-GB"/>
        </w:rPr>
        <w:t xml:space="preserve">OOB </w:t>
      </w:r>
      <w:r>
        <w:rPr>
          <w:lang w:eastAsia="en-GB"/>
        </w:rPr>
        <w:t>= 0.09 MHz</w:t>
      </w:r>
      <w:r>
        <w:rPr>
          <w:lang w:val="en-US" w:eastAsia="en-GB"/>
        </w:rPr>
        <w:t xml:space="preserve"> </w:t>
      </w:r>
      <w:r>
        <w:rPr>
          <w:lang w:val="en-US"/>
        </w:rPr>
        <w:t>co</w:t>
      </w:r>
      <w:r>
        <w:rPr>
          <w:lang w:val="en-US" w:eastAsia="en-GB"/>
        </w:rPr>
        <w:t>rresponds to an authorized bandwidth, as defined in C63.26-2015</w:t>
      </w:r>
      <w:r>
        <w:rPr>
          <w:rFonts w:hint="eastAsia"/>
          <w:lang w:val="en-US"/>
        </w:rPr>
        <w:t xml:space="preserve"> </w:t>
      </w:r>
      <w:r>
        <w:rPr>
          <w:lang w:val="en-US"/>
        </w:rPr>
        <w:t>[10]</w:t>
      </w:r>
      <w:r>
        <w:rPr>
          <w:lang w:val="en-US" w:eastAsia="en-GB"/>
        </w:rPr>
        <w:t xml:space="preserve">, of </w:t>
      </w:r>
      <w:r>
        <w:rPr>
          <w:rFonts w:hint="eastAsia"/>
          <w:lang w:val="en-US"/>
        </w:rPr>
        <w:t>0</w:t>
      </w:r>
      <w:r>
        <w:rPr>
          <w:lang w:val="en-US" w:eastAsia="en-GB"/>
        </w:rPr>
        <w:t>.38 MHz.</w:t>
      </w:r>
    </w:p>
    <w:p>
      <w:pPr>
        <w:keepNext/>
        <w:keepLines/>
        <w:spacing w:before="120"/>
        <w:ind w:left="1985" w:hanging="1985"/>
        <w:rPr>
          <w:rFonts w:ascii="Arial" w:hAnsi="Arial"/>
          <w:lang w:eastAsia="en-GB"/>
        </w:rPr>
      </w:pPr>
      <w:r>
        <w:rPr>
          <w:rFonts w:ascii="Arial" w:hAnsi="Arial"/>
          <w:lang w:eastAsia="en-GB"/>
        </w:rPr>
        <w:t>6.5B.4.4.5.2</w:t>
      </w:r>
      <w:r>
        <w:rPr>
          <w:rFonts w:ascii="Arial" w:hAnsi="Arial"/>
          <w:lang w:eastAsia="en-GB"/>
        </w:rPr>
        <w:tab/>
      </w:r>
      <w:r>
        <w:rPr>
          <w:rFonts w:ascii="Arial" w:hAnsi="Arial"/>
          <w:lang w:eastAsia="en-GB"/>
        </w:rPr>
        <w:t>Test requirement (network signalled value "NS_24")</w:t>
      </w:r>
    </w:p>
    <w:p>
      <w:pPr>
        <w:rPr>
          <w:lang w:eastAsia="en-GB"/>
        </w:rPr>
      </w:pPr>
      <w:r>
        <w:rPr>
          <w:lang w:eastAsia="en-GB"/>
        </w:rPr>
        <w:t>When "NS_24" is indicated in the cell, the power of any UE emission shall not exceed the levels specified in Table 6.5B.</w:t>
      </w:r>
      <w:r>
        <w:rPr>
          <w:lang w:val="en-US"/>
        </w:rPr>
        <w:t>4</w:t>
      </w:r>
      <w:r>
        <w:rPr>
          <w:lang w:eastAsia="en-GB"/>
        </w:rPr>
        <w:t>.</w:t>
      </w:r>
      <w:r>
        <w:rPr>
          <w:lang w:val="en-US"/>
        </w:rPr>
        <w:t>4.5.2</w:t>
      </w:r>
      <w:r>
        <w:rPr>
          <w:lang w:eastAsia="en-GB"/>
        </w:rPr>
        <w:t xml:space="preserve">-1. </w:t>
      </w:r>
    </w:p>
    <w:p>
      <w:pPr>
        <w:keepNext/>
        <w:keepLines/>
        <w:spacing w:before="60"/>
        <w:jc w:val="center"/>
        <w:rPr>
          <w:rFonts w:ascii="Arial" w:hAnsi="Arial"/>
          <w:b/>
          <w:lang w:eastAsia="en-GB"/>
        </w:rPr>
      </w:pPr>
      <w:r>
        <w:rPr>
          <w:rFonts w:ascii="Arial" w:hAnsi="Arial"/>
          <w:b/>
          <w:lang w:eastAsia="en-GB"/>
        </w:rPr>
        <w:t>Table 6.5B.</w:t>
      </w:r>
      <w:r>
        <w:rPr>
          <w:rFonts w:ascii="Arial" w:hAnsi="Arial"/>
          <w:b/>
          <w:lang w:val="en-US"/>
        </w:rPr>
        <w:t>4</w:t>
      </w:r>
      <w:r>
        <w:rPr>
          <w:rFonts w:ascii="Arial" w:hAnsi="Arial"/>
          <w:b/>
          <w:lang w:eastAsia="en-GB"/>
        </w:rPr>
        <w:t>.</w:t>
      </w:r>
      <w:r>
        <w:rPr>
          <w:rFonts w:ascii="Arial" w:hAnsi="Arial"/>
          <w:b/>
          <w:lang w:val="en-US"/>
        </w:rPr>
        <w:t>4</w:t>
      </w:r>
      <w:r>
        <w:rPr>
          <w:rFonts w:hint="eastAsia" w:ascii="Arial" w:hAnsi="Arial"/>
          <w:b/>
          <w:lang w:val="en-US"/>
        </w:rPr>
        <w:t>.</w:t>
      </w:r>
      <w:r>
        <w:rPr>
          <w:rFonts w:ascii="Arial" w:hAnsi="Arial"/>
          <w:b/>
          <w:lang w:val="en-US"/>
        </w:rPr>
        <w:t>5.2</w:t>
      </w:r>
      <w:r>
        <w:rPr>
          <w:rFonts w:ascii="Arial" w:hAnsi="Arial"/>
          <w:b/>
          <w:lang w:eastAsia="en-GB"/>
        </w:rPr>
        <w:t xml:space="preserve">-1: Additional requirements for </w:t>
      </w:r>
      <w:r>
        <w:rPr>
          <w:rFonts w:ascii="Arial" w:hAnsi="Arial" w:eastAsia="Yu Mincho"/>
          <w:b/>
          <w:lang w:eastAsia="en-GB"/>
        </w:rPr>
        <w:t>"</w:t>
      </w:r>
      <w:r>
        <w:rPr>
          <w:rFonts w:ascii="Arial" w:hAnsi="Arial"/>
          <w:b/>
          <w:lang w:eastAsia="en-GB"/>
        </w:rPr>
        <w:t>NS_</w:t>
      </w:r>
      <w:r>
        <w:rPr>
          <w:rFonts w:ascii="Arial" w:hAnsi="Arial"/>
          <w:b/>
          <w:lang w:val="en-US"/>
        </w:rPr>
        <w:t>24</w:t>
      </w:r>
      <w:r>
        <w:rPr>
          <w:rFonts w:ascii="Arial" w:hAnsi="Arial" w:eastAsia="Yu Mincho"/>
          <w:b/>
          <w:lang w:eastAsia="en-GB"/>
        </w:rPr>
        <w:t>"</w:t>
      </w:r>
    </w:p>
    <w:tbl>
      <w:tblPr>
        <w:tblStyle w:val="89"/>
        <w:tblW w:w="75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0"/>
        <w:gridCol w:w="3686"/>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restart"/>
          </w:tcPr>
          <w:p>
            <w:pPr>
              <w:keepNext/>
              <w:keepLines/>
              <w:spacing w:after="0"/>
              <w:jc w:val="center"/>
              <w:rPr>
                <w:rFonts w:ascii="Arial" w:hAnsi="Arial" w:cs="Arial"/>
                <w:b/>
                <w:sz w:val="18"/>
                <w:lang w:eastAsia="en-GB"/>
              </w:rPr>
            </w:pPr>
            <w:r>
              <w:rPr>
                <w:rFonts w:ascii="Arial" w:hAnsi="Arial" w:cs="Arial"/>
                <w:b/>
                <w:sz w:val="18"/>
                <w:lang w:eastAsia="en-GB"/>
              </w:rPr>
              <w:t>Frequency band</w:t>
            </w:r>
          </w:p>
          <w:p>
            <w:pPr>
              <w:keepNext/>
              <w:keepLines/>
              <w:spacing w:after="0"/>
              <w:jc w:val="center"/>
              <w:rPr>
                <w:rFonts w:ascii="Arial" w:hAnsi="Arial" w:cs="Arial"/>
                <w:b/>
                <w:sz w:val="18"/>
                <w:lang w:eastAsia="en-GB"/>
              </w:rPr>
            </w:pPr>
            <w:r>
              <w:rPr>
                <w:rFonts w:ascii="Arial" w:hAnsi="Arial" w:cs="Arial"/>
                <w:b/>
                <w:sz w:val="18"/>
                <w:lang w:eastAsia="en-GB"/>
              </w:rPr>
              <w:t>(MHz)</w:t>
            </w:r>
          </w:p>
        </w:tc>
        <w:tc>
          <w:tcPr>
            <w:tcW w:w="3686" w:type="dxa"/>
          </w:tcPr>
          <w:p>
            <w:pPr>
              <w:keepNext/>
              <w:keepLines/>
              <w:spacing w:after="0"/>
              <w:jc w:val="center"/>
              <w:rPr>
                <w:rFonts w:ascii="Arial" w:hAnsi="Arial" w:cs="Arial"/>
                <w:b/>
                <w:sz w:val="18"/>
                <w:lang w:eastAsia="en-GB"/>
              </w:rPr>
            </w:pPr>
            <w:r>
              <w:rPr>
                <w:rFonts w:ascii="Arial" w:hAnsi="Arial" w:cs="Arial"/>
                <w:b/>
                <w:sz w:val="18"/>
                <w:lang w:eastAsia="en-GB"/>
              </w:rPr>
              <w:t>Channel bandwidth /</w:t>
            </w:r>
          </w:p>
          <w:p>
            <w:pPr>
              <w:keepNext/>
              <w:keepLines/>
              <w:spacing w:after="0"/>
              <w:jc w:val="center"/>
              <w:rPr>
                <w:rFonts w:ascii="Arial" w:hAnsi="Arial" w:cs="Arial"/>
                <w:b/>
                <w:sz w:val="18"/>
                <w:lang w:eastAsia="en-GB"/>
              </w:rPr>
            </w:pPr>
            <w:r>
              <w:rPr>
                <w:rFonts w:ascii="Arial" w:hAnsi="Arial" w:cs="Arial"/>
                <w:b/>
                <w:sz w:val="18"/>
                <w:lang w:eastAsia="en-GB"/>
              </w:rPr>
              <w:t>Spectrum emission limit</w:t>
            </w:r>
          </w:p>
          <w:p>
            <w:pPr>
              <w:keepNext/>
              <w:keepLines/>
              <w:spacing w:after="0"/>
              <w:jc w:val="center"/>
              <w:rPr>
                <w:rFonts w:ascii="Arial" w:hAnsi="Arial" w:cs="Arial"/>
                <w:b/>
                <w:sz w:val="18"/>
                <w:lang w:eastAsia="en-GB"/>
              </w:rPr>
            </w:pPr>
            <w:r>
              <w:rPr>
                <w:rFonts w:ascii="Arial" w:hAnsi="Arial" w:cs="Arial"/>
                <w:b/>
                <w:sz w:val="18"/>
                <w:lang w:eastAsia="en-GB"/>
              </w:rPr>
              <w:t>(dBm)</w:t>
            </w:r>
          </w:p>
        </w:tc>
        <w:tc>
          <w:tcPr>
            <w:tcW w:w="1701" w:type="dxa"/>
            <w:vMerge w:val="restart"/>
          </w:tcPr>
          <w:p>
            <w:pPr>
              <w:keepNext/>
              <w:keepLines/>
              <w:spacing w:after="0"/>
              <w:jc w:val="center"/>
              <w:rPr>
                <w:rFonts w:ascii="Arial" w:hAnsi="Arial" w:cs="Arial"/>
                <w:b/>
                <w:sz w:val="18"/>
                <w:lang w:eastAsia="en-GB"/>
              </w:rPr>
            </w:pPr>
            <w:r>
              <w:rPr>
                <w:rFonts w:ascii="Arial" w:hAnsi="Arial" w:cs="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continue"/>
          </w:tcPr>
          <w:p>
            <w:pPr>
              <w:keepNext/>
              <w:keepLines/>
              <w:spacing w:after="0"/>
              <w:jc w:val="center"/>
              <w:rPr>
                <w:rFonts w:ascii="Arial" w:hAnsi="Arial" w:cs="Arial"/>
                <w:b/>
                <w:sz w:val="18"/>
                <w:lang w:eastAsia="en-GB"/>
              </w:rPr>
            </w:pPr>
          </w:p>
        </w:tc>
        <w:tc>
          <w:tcPr>
            <w:tcW w:w="3686" w:type="dxa"/>
          </w:tcPr>
          <w:p>
            <w:pPr>
              <w:keepNext/>
              <w:keepLines/>
              <w:spacing w:after="0"/>
              <w:jc w:val="center"/>
              <w:rPr>
                <w:rFonts w:ascii="Arial" w:hAnsi="Arial" w:cs="Arial"/>
                <w:b/>
                <w:sz w:val="18"/>
                <w:lang w:val="en-US"/>
              </w:rPr>
            </w:pPr>
            <w:r>
              <w:rPr>
                <w:rFonts w:hint="eastAsia" w:ascii="Arial" w:hAnsi="Arial" w:cs="Arial"/>
                <w:b/>
                <w:sz w:val="18"/>
                <w:lang w:val="en-US"/>
              </w:rPr>
              <w:t>200kHz</w:t>
            </w:r>
          </w:p>
        </w:tc>
        <w:tc>
          <w:tcPr>
            <w:tcW w:w="1701" w:type="dxa"/>
            <w:vMerge w:val="continue"/>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tcPr>
          <w:p>
            <w:pPr>
              <w:keepNext/>
              <w:keepLines/>
              <w:spacing w:after="0"/>
              <w:jc w:val="center"/>
              <w:rPr>
                <w:rFonts w:ascii="Arial" w:hAnsi="Arial" w:cs="Arial"/>
                <w:sz w:val="18"/>
                <w:lang w:eastAsia="en-GB"/>
              </w:rPr>
            </w:pPr>
            <w:r>
              <w:rPr>
                <w:rFonts w:ascii="Arial" w:hAnsi="Arial" w:cs="Arial"/>
                <w:sz w:val="18"/>
                <w:lang w:eastAsia="en-GB"/>
              </w:rPr>
              <w:t>Band 34</w:t>
            </w:r>
          </w:p>
        </w:tc>
        <w:tc>
          <w:tcPr>
            <w:tcW w:w="3686" w:type="dxa"/>
          </w:tcPr>
          <w:p>
            <w:pPr>
              <w:keepNext/>
              <w:keepLines/>
              <w:spacing w:after="0"/>
              <w:jc w:val="center"/>
              <w:rPr>
                <w:rFonts w:ascii="Arial" w:hAnsi="Arial" w:cs="Arial"/>
                <w:sz w:val="18"/>
                <w:lang w:eastAsia="en-GB"/>
              </w:rPr>
            </w:pPr>
            <w:r>
              <w:rPr>
                <w:rFonts w:ascii="Arial" w:hAnsi="Arial" w:cs="Arial"/>
                <w:sz w:val="18"/>
                <w:lang w:eastAsia="en-GB"/>
              </w:rPr>
              <w:t>-50</w:t>
            </w:r>
          </w:p>
        </w:tc>
        <w:tc>
          <w:tcPr>
            <w:tcW w:w="1701" w:type="dxa"/>
          </w:tcPr>
          <w:p>
            <w:pPr>
              <w:keepNext/>
              <w:keepLines/>
              <w:spacing w:after="0"/>
              <w:jc w:val="center"/>
              <w:rPr>
                <w:rFonts w:ascii="Arial" w:hAnsi="Arial" w:cs="Arial"/>
                <w:sz w:val="18"/>
                <w:lang w:eastAsia="en-GB"/>
              </w:rPr>
            </w:pPr>
            <w:r>
              <w:rPr>
                <w:rFonts w:ascii="Arial" w:hAnsi="Arial" w:cs="Arial"/>
                <w:sz w:val="18"/>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7" w:type="dxa"/>
            <w:gridSpan w:val="3"/>
          </w:tcPr>
          <w:p>
            <w:pPr>
              <w:pStyle w:val="118"/>
              <w:keepNext/>
              <w:keepLines/>
              <w:spacing w:after="0"/>
              <w:ind w:left="851"/>
              <w:rPr>
                <w:lang w:eastAsia="ja-JP"/>
              </w:rPr>
            </w:pPr>
            <w:r>
              <w:rPr>
                <w:lang w:eastAsia="en-GB"/>
              </w:rPr>
              <w:t>NOTE 1:</w:t>
            </w:r>
            <w:r>
              <w:rPr>
                <w:vertAlign w:val="superscript"/>
                <w:lang w:eastAsia="en-GB"/>
              </w:rPr>
              <w:tab/>
            </w:r>
            <w:r>
              <w:rPr>
                <w:lang w:eastAsia="ja-JP"/>
              </w:rPr>
              <w:t>This requirement</w:t>
            </w:r>
            <w:r>
              <w:rPr>
                <w:rFonts w:hint="eastAsia"/>
                <w:lang w:eastAsia="ja-JP"/>
              </w:rPr>
              <w:t xml:space="preserve"> appl</w:t>
            </w:r>
            <w:r>
              <w:rPr>
                <w:lang w:eastAsia="ja-JP"/>
              </w:rPr>
              <w:t>ies</w:t>
            </w:r>
            <w:r>
              <w:rPr>
                <w:rFonts w:hint="eastAsia"/>
                <w:lang w:eastAsia="ja-JP"/>
              </w:rPr>
              <w:t xml:space="preserve"> </w:t>
            </w:r>
            <w:r>
              <w:rPr>
                <w:lang w:eastAsia="ja-JP"/>
              </w:rPr>
              <w:t xml:space="preserve">at a </w:t>
            </w:r>
            <w:r>
              <w:rPr>
                <w:rFonts w:hint="eastAsia"/>
                <w:lang w:eastAsia="ja-JP"/>
              </w:rPr>
              <w:t xml:space="preserve">frequency </w:t>
            </w:r>
            <w:r>
              <w:rPr>
                <w:lang w:eastAsia="ja-JP"/>
              </w:rPr>
              <w:t xml:space="preserve">offset equal or larger than 5 MHz from the upper </w:t>
            </w:r>
            <w:r>
              <w:rPr>
                <w:rFonts w:hint="eastAsia"/>
                <w:lang w:eastAsia="ja-JP"/>
              </w:rPr>
              <w:t>edge of the channel bandwidth</w:t>
            </w:r>
            <w:r>
              <w:rPr>
                <w:lang w:eastAsia="ja-JP"/>
              </w:rPr>
              <w:t>, whenever these frequencies overlap with the specified frequency band.</w:t>
            </w:r>
          </w:p>
        </w:tc>
      </w:tr>
      <w:bookmarkEnd w:id="1080"/>
      <w:bookmarkEnd w:id="1081"/>
      <w:bookmarkEnd w:id="1082"/>
      <w:bookmarkEnd w:id="1083"/>
    </w:tbl>
    <w:p/>
    <w:p>
      <w:pPr>
        <w:pStyle w:val="4"/>
      </w:pPr>
      <w:bookmarkStart w:id="1094" w:name="_Toc14168"/>
      <w:bookmarkStart w:id="1095" w:name="_Toc121162877"/>
      <w:bookmarkStart w:id="1096" w:name="_Toc120570085"/>
      <w:bookmarkStart w:id="1097" w:name="_Toc111062072"/>
      <w:bookmarkStart w:id="1098" w:name="_Toc6197"/>
      <w:bookmarkStart w:id="1099" w:name="_Toc18811"/>
      <w:bookmarkStart w:id="1100" w:name="_Toc1051"/>
      <w:bookmarkStart w:id="1101" w:name="_Toc31379"/>
      <w:bookmarkStart w:id="1102" w:name="_Toc23419"/>
      <w:bookmarkStart w:id="1103" w:name="_Toc368026349"/>
      <w:bookmarkStart w:id="1104" w:name="_Toc5334"/>
      <w:r>
        <w:t>6.6</w:t>
      </w:r>
      <w:r>
        <w:tab/>
      </w:r>
      <w:r>
        <w:t>Transmit intermodulation</w:t>
      </w:r>
      <w:bookmarkEnd w:id="1094"/>
      <w:bookmarkEnd w:id="1095"/>
      <w:bookmarkEnd w:id="1096"/>
      <w:bookmarkEnd w:id="1097"/>
      <w:bookmarkEnd w:id="1098"/>
      <w:bookmarkEnd w:id="1099"/>
      <w:bookmarkEnd w:id="1100"/>
      <w:bookmarkEnd w:id="1101"/>
      <w:bookmarkEnd w:id="1102"/>
      <w:bookmarkEnd w:id="1103"/>
      <w:bookmarkEnd w:id="1104"/>
    </w:p>
    <w:p>
      <w:pPr>
        <w:rPr>
          <w:rFonts w:eastAsia="宋体"/>
          <w:color w:val="000000" w:themeColor="text1"/>
          <w14:textFill>
            <w14:solidFill>
              <w14:schemeClr w14:val="tx1"/>
            </w14:solidFill>
          </w14:textFill>
        </w:rPr>
      </w:pPr>
      <w:r>
        <w:rPr>
          <w:rFonts w:eastAsia="宋体"/>
          <w:color w:val="000000" w:themeColor="text1"/>
          <w14:textFill>
            <w14:solidFill>
              <w14:schemeClr w14:val="tx1"/>
            </w14:solidFill>
          </w14:textFill>
        </w:rPr>
        <w:t xml:space="preserve">This clause is </w:t>
      </w:r>
      <w:r>
        <w:rPr>
          <w:rFonts w:eastAsia="Times New Roman"/>
          <w:color w:val="auto"/>
          <w:lang w:eastAsia="en-GB"/>
        </w:rPr>
        <w:t>reserved</w:t>
      </w:r>
      <w:r>
        <w:rPr>
          <w:rFonts w:eastAsia="宋体"/>
          <w:color w:val="000000" w:themeColor="text1"/>
          <w14:textFill>
            <w14:solidFill>
              <w14:schemeClr w14:val="tx1"/>
            </w14:solidFill>
          </w14:textFill>
        </w:rPr>
        <w:t>.</w:t>
      </w:r>
    </w:p>
    <w:p>
      <w:pPr>
        <w:pStyle w:val="4"/>
      </w:pPr>
      <w:bookmarkStart w:id="1105" w:name="_Toc24207"/>
      <w:bookmarkStart w:id="1106" w:name="_Toc120570086"/>
      <w:bookmarkStart w:id="1107" w:name="_Toc32379"/>
      <w:bookmarkStart w:id="1108" w:name="_Toc102"/>
      <w:bookmarkStart w:id="1109" w:name="_Toc19811"/>
      <w:bookmarkStart w:id="1110" w:name="_Toc392"/>
      <w:bookmarkStart w:id="1111" w:name="_Toc16823"/>
      <w:bookmarkStart w:id="1112" w:name="_Toc27418"/>
      <w:bookmarkStart w:id="1113" w:name="_Toc121162878"/>
      <w:r>
        <w:t>6.6A</w:t>
      </w:r>
      <w:r>
        <w:tab/>
      </w:r>
      <w:r>
        <w:t xml:space="preserve">Transmit intermodulation </w:t>
      </w:r>
      <w:r>
        <w:rPr>
          <w:rFonts w:hint="eastAsia"/>
        </w:rPr>
        <w:t xml:space="preserve">for category </w:t>
      </w:r>
      <w:r>
        <w:t>M1</w:t>
      </w:r>
      <w:bookmarkEnd w:id="1105"/>
      <w:bookmarkEnd w:id="1106"/>
      <w:bookmarkEnd w:id="1107"/>
      <w:bookmarkEnd w:id="1108"/>
      <w:bookmarkEnd w:id="1109"/>
      <w:bookmarkEnd w:id="1110"/>
      <w:bookmarkEnd w:id="1111"/>
      <w:bookmarkEnd w:id="1112"/>
      <w:bookmarkEnd w:id="1113"/>
    </w:p>
    <w:p>
      <w:r>
        <w:t>For category M1 UE, Tx intermodulation requirements are not applicable.</w:t>
      </w:r>
    </w:p>
    <w:p>
      <w:pPr>
        <w:pStyle w:val="4"/>
      </w:pPr>
      <w:bookmarkStart w:id="1114" w:name="_Toc23659"/>
      <w:bookmarkStart w:id="1115" w:name="_Toc13095"/>
      <w:bookmarkStart w:id="1116" w:name="_Toc15334"/>
      <w:bookmarkStart w:id="1117" w:name="_Toc15646"/>
      <w:bookmarkStart w:id="1118" w:name="_Toc14634"/>
      <w:bookmarkStart w:id="1119" w:name="_Toc12072"/>
      <w:bookmarkStart w:id="1120" w:name="_Toc121162879"/>
      <w:bookmarkStart w:id="1121" w:name="_Toc120570087"/>
      <w:bookmarkStart w:id="1122" w:name="_Toc8447"/>
      <w:r>
        <w:t>6.6B</w:t>
      </w:r>
      <w:r>
        <w:tab/>
      </w:r>
      <w:r>
        <w:t xml:space="preserve">Transmit intermodulation </w:t>
      </w:r>
      <w:r>
        <w:rPr>
          <w:rFonts w:hint="eastAsia"/>
        </w:rPr>
        <w:t>for category NB1 and NB2</w:t>
      </w:r>
      <w:bookmarkEnd w:id="1114"/>
      <w:bookmarkEnd w:id="1115"/>
      <w:bookmarkEnd w:id="1116"/>
      <w:bookmarkEnd w:id="1117"/>
      <w:bookmarkEnd w:id="1118"/>
      <w:bookmarkEnd w:id="1119"/>
      <w:bookmarkEnd w:id="1120"/>
      <w:bookmarkEnd w:id="1121"/>
      <w:bookmarkEnd w:id="1122"/>
    </w:p>
    <w:p>
      <w:pPr>
        <w:pStyle w:val="112"/>
        <w:rPr>
          <w:i w:val="0"/>
          <w:iCs w:val="0"/>
          <w:lang w:val="en-GB"/>
        </w:rPr>
      </w:pPr>
      <w:r>
        <w:t>Editor’s Note: Addition to applicability spec is pending.</w:t>
      </w:r>
    </w:p>
    <w:p>
      <w:pPr>
        <w:keepNext/>
        <w:keepLines/>
        <w:spacing w:before="120"/>
        <w:ind w:left="1985" w:hanging="1985"/>
        <w:rPr>
          <w:rFonts w:ascii="Arial" w:hAnsi="Arial"/>
          <w:lang w:eastAsia="en-GB"/>
        </w:rPr>
      </w:pPr>
      <w:r>
        <w:rPr>
          <w:rFonts w:ascii="Arial" w:hAnsi="Arial"/>
          <w:lang w:eastAsia="en-GB"/>
        </w:rPr>
        <w:t>6.6B.1</w:t>
      </w:r>
      <w:r>
        <w:rPr>
          <w:rFonts w:ascii="Arial" w:hAnsi="Arial"/>
          <w:lang w:eastAsia="en-GB"/>
        </w:rPr>
        <w:tab/>
      </w:r>
      <w:r>
        <w:rPr>
          <w:rFonts w:ascii="Arial" w:hAnsi="Arial"/>
          <w:lang w:eastAsia="en-GB"/>
        </w:rPr>
        <w:t>Test purpose</w:t>
      </w:r>
    </w:p>
    <w:p>
      <w:pPr>
        <w:rPr>
          <w:rFonts w:cs="v5.0.0"/>
          <w:lang w:eastAsia="en-GB"/>
        </w:rPr>
      </w:pPr>
      <w:r>
        <w:rPr>
          <w:rFonts w:cs="v5.0.0"/>
          <w:lang w:eastAsia="en-GB"/>
        </w:rPr>
        <w:t>To verify that the UE transmit intermodulation does not exceed the described value in the test requirement.</w:t>
      </w:r>
    </w:p>
    <w:p>
      <w:pPr>
        <w:keepNext/>
        <w:keepLines/>
        <w:spacing w:before="120"/>
        <w:ind w:left="1985" w:hanging="1985"/>
        <w:rPr>
          <w:rFonts w:ascii="Arial" w:hAnsi="Arial"/>
          <w:lang w:eastAsia="en-GB"/>
        </w:rPr>
      </w:pPr>
      <w:r>
        <w:rPr>
          <w:rFonts w:ascii="Arial" w:hAnsi="Arial"/>
          <w:lang w:eastAsia="en-GB"/>
        </w:rPr>
        <w:t>6.6B.2</w:t>
      </w:r>
      <w:r>
        <w:rPr>
          <w:rFonts w:ascii="Arial" w:hAnsi="Arial"/>
          <w:lang w:eastAsia="en-GB"/>
        </w:rPr>
        <w:tab/>
      </w:r>
      <w:r>
        <w:rPr>
          <w:rFonts w:ascii="Arial" w:hAnsi="Arial"/>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lang w:eastAsia="en-GB"/>
        </w:rPr>
      </w:pPr>
      <w:r>
        <w:rPr>
          <w:rFonts w:ascii="Arial" w:hAnsi="Arial" w:cs="v5.0.0"/>
          <w:lang w:eastAsia="en-GB"/>
        </w:rPr>
        <w:t>6.6B.3</w:t>
      </w:r>
      <w:r>
        <w:rPr>
          <w:rFonts w:ascii="Arial" w:hAnsi="Arial" w:cs="v5.0.0"/>
          <w:lang w:eastAsia="en-GB"/>
        </w:rPr>
        <w:tab/>
      </w:r>
      <w:r>
        <w:rPr>
          <w:rFonts w:ascii="Arial" w:hAnsi="Arial"/>
          <w:lang w:eastAsia="en-GB"/>
        </w:rPr>
        <w:t>Minimum conformance requirements</w:t>
      </w:r>
    </w:p>
    <w:p>
      <w:pPr>
        <w:rPr>
          <w:rFonts w:cs="v5.0.0"/>
          <w:lang w:eastAsia="en-GB"/>
        </w:rPr>
      </w:pPr>
      <w:r>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pPr>
        <w:rPr>
          <w:rFonts w:cs="v5.0.0"/>
          <w:lang w:eastAsia="en-GB"/>
        </w:rPr>
      </w:pPr>
      <w:r>
        <w:rPr>
          <w:rFonts w:cs="v5.0.0"/>
          <w:lang w:eastAsia="en-GB"/>
        </w:rPr>
        <w:t xml:space="preserve">The UE category NB1 and NB2 transmitter intermodulation attenuation is defined by the ratio of the </w:t>
      </w:r>
      <w:r>
        <w:rPr>
          <w:lang w:eastAsia="en-GB"/>
        </w:rPr>
        <w:t>mean</w:t>
      </w:r>
      <w:r>
        <w:rPr>
          <w:rFonts w:cs="v5.0.0"/>
          <w:lang w:eastAsia="en-GB"/>
        </w:rPr>
        <w:t xml:space="preserve"> power of the wanted signal to the </w:t>
      </w:r>
      <w:r>
        <w:rPr>
          <w:lang w:eastAsia="en-GB"/>
        </w:rPr>
        <w:t>mean</w:t>
      </w:r>
      <w:r>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pPr>
        <w:keepNext/>
        <w:keepLines/>
        <w:spacing w:before="60"/>
        <w:jc w:val="center"/>
        <w:rPr>
          <w:rFonts w:ascii="Arial" w:hAnsi="Arial"/>
          <w:b/>
          <w:lang w:eastAsia="en-GB"/>
        </w:rPr>
      </w:pPr>
      <w:r>
        <w:rPr>
          <w:rFonts w:ascii="Arial" w:hAnsi="Arial"/>
          <w:b/>
          <w:lang w:eastAsia="en-GB"/>
        </w:rPr>
        <w:t xml:space="preserve">Table </w:t>
      </w:r>
      <w:r>
        <w:rPr>
          <w:rFonts w:ascii="Arial" w:hAnsi="Arial" w:cs="v5.0.0"/>
          <w:b/>
          <w:lang w:eastAsia="en-GB"/>
        </w:rPr>
        <w:t>6.6B.3-1</w:t>
      </w:r>
      <w:r>
        <w:rPr>
          <w:rFonts w:ascii="Arial" w:hAnsi="Arial"/>
          <w:b/>
          <w:lang w:eastAsia="en-GB"/>
        </w:rPr>
        <w:t>: UE category NB1 and NB2 transmitter IM requirement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58"/>
        <w:gridCol w:w="1534"/>
        <w:gridCol w:w="15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3"/>
            <w:shd w:val="clear" w:color="auto" w:fill="auto"/>
            <w:vAlign w:val="center"/>
          </w:tcPr>
          <w:p>
            <w:pPr>
              <w:keepNext/>
              <w:keepLines/>
              <w:spacing w:after="0"/>
              <w:jc w:val="center"/>
              <w:rPr>
                <w:rFonts w:ascii="Arial" w:hAnsi="Arial" w:cs="Arial"/>
                <w:b/>
                <w:sz w:val="18"/>
              </w:rPr>
            </w:pPr>
            <w:r>
              <w:rPr>
                <w:rFonts w:ascii="Arial" w:hAnsi="Arial"/>
                <w:b/>
                <w:sz w:val="18"/>
              </w:rPr>
              <w:t>Parameters for transmitter intermodulation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BW Channel (UL)</w:t>
            </w:r>
          </w:p>
        </w:tc>
        <w:tc>
          <w:tcPr>
            <w:tcW w:w="0" w:type="auto"/>
            <w:gridSpan w:val="2"/>
            <w:shd w:val="clear" w:color="auto" w:fill="auto"/>
            <w:vAlign w:val="center"/>
          </w:tcPr>
          <w:p>
            <w:pPr>
              <w:keepNext/>
              <w:keepLines/>
              <w:spacing w:after="0"/>
              <w:jc w:val="center"/>
              <w:rPr>
                <w:rFonts w:ascii="Arial" w:hAnsi="Arial"/>
                <w:sz w:val="18"/>
              </w:rPr>
            </w:pPr>
            <w:r>
              <w:rPr>
                <w:rFonts w:ascii="Arial" w:hAnsi="Arial"/>
                <w:sz w:val="18"/>
              </w:rPr>
              <w:t>15 kHz (1 tone</w:t>
            </w:r>
            <w:r>
              <w:rPr>
                <w:rFonts w:ascii="Arial" w:hAnsi="Arial" w:cs="Arial"/>
                <w:sz w:val="18"/>
                <w:lang w:eastAsia="en-GB"/>
              </w:rPr>
              <w:t xml:space="preserve"> at sub-carrier 5 or 6</w:t>
            </w:r>
            <w:r>
              <w:rPr>
                <w:rFonts w:ascii="Arial" w:hAnsi="Arial"/>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Interference Signal Frequency Offset</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180 kHz</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360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Interference CW Signal Level</w:t>
            </w:r>
          </w:p>
        </w:tc>
        <w:tc>
          <w:tcPr>
            <w:tcW w:w="0" w:type="auto"/>
            <w:gridSpan w:val="2"/>
            <w:shd w:val="clear" w:color="auto" w:fill="auto"/>
            <w:vAlign w:val="center"/>
          </w:tcPr>
          <w:p>
            <w:pPr>
              <w:keepNext/>
              <w:keepLines/>
              <w:spacing w:after="0"/>
              <w:jc w:val="center"/>
              <w:rPr>
                <w:rFonts w:ascii="Arial" w:hAnsi="Arial"/>
                <w:sz w:val="18"/>
              </w:rPr>
            </w:pPr>
            <w:r>
              <w:rPr>
                <w:rFonts w:ascii="Arial" w:hAnsi="Arial"/>
                <w:sz w:val="18"/>
              </w:rPr>
              <w:t>-40dBc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 xml:space="preserve">Intermodulation Product </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-20 dBc</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-39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Measurement bandwidth</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30 kHz</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30 kHz</w:t>
            </w:r>
          </w:p>
        </w:tc>
      </w:tr>
    </w:tbl>
    <w:p>
      <w:pPr>
        <w:rPr>
          <w:rFonts w:cs="v5.0.0"/>
          <w:lang w:eastAsia="en-GB"/>
        </w:rPr>
      </w:pPr>
    </w:p>
    <w:p>
      <w:pPr>
        <w:rPr>
          <w:lang w:eastAsia="en-GB"/>
        </w:rPr>
      </w:pPr>
      <w:r>
        <w:rPr>
          <w:lang w:eastAsia="en-GB"/>
        </w:rPr>
        <w:t>The normative reference for this requirement is TS 36.102 [11] clause 6.6B.</w:t>
      </w:r>
    </w:p>
    <w:p>
      <w:pPr>
        <w:keepNext/>
        <w:keepLines/>
        <w:spacing w:before="120"/>
        <w:ind w:left="1985" w:hanging="1985"/>
        <w:rPr>
          <w:rFonts w:ascii="Arial" w:hAnsi="Arial"/>
          <w:lang w:eastAsia="en-GB"/>
        </w:rPr>
      </w:pPr>
      <w:r>
        <w:rPr>
          <w:rFonts w:ascii="Arial" w:hAnsi="Arial"/>
          <w:lang w:eastAsia="en-GB"/>
        </w:rPr>
        <w:t>6.6B.4</w:t>
      </w:r>
      <w:r>
        <w:rPr>
          <w:rFonts w:ascii="Arial" w:hAnsi="Arial"/>
          <w:lang w:eastAsia="en-GB"/>
        </w:rPr>
        <w:tab/>
      </w:r>
      <w:r>
        <w:rPr>
          <w:rFonts w:ascii="Arial" w:hAnsi="Arial"/>
          <w:lang w:eastAsia="en-GB"/>
        </w:rPr>
        <w:t>Test description</w:t>
      </w:r>
    </w:p>
    <w:p>
      <w:pPr>
        <w:keepNext/>
        <w:keepLines/>
        <w:spacing w:before="120"/>
        <w:ind w:left="1985" w:hanging="1985"/>
        <w:rPr>
          <w:rFonts w:ascii="Arial" w:hAnsi="Arial"/>
          <w:lang w:eastAsia="en-GB"/>
        </w:rPr>
      </w:pPr>
      <w:r>
        <w:rPr>
          <w:rFonts w:ascii="Arial" w:hAnsi="Arial"/>
          <w:lang w:eastAsia="en-GB"/>
        </w:rPr>
        <w:t>6.6B.4.1</w:t>
      </w:r>
      <w:r>
        <w:rPr>
          <w:rFonts w:ascii="Arial" w:hAnsi="Arial"/>
          <w:lang w:eastAsia="en-GB"/>
        </w:rPr>
        <w:tab/>
      </w:r>
      <w:r>
        <w:rPr>
          <w:rFonts w:ascii="Arial" w:hAnsi="Arial"/>
          <w:lang w:eastAsia="en-GB"/>
        </w:rP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r>
        <w:rPr>
          <w:lang w:eastAsia="ko-KR"/>
        </w:rPr>
        <w:t xml:space="preserve"> </w:t>
      </w:r>
      <w:r>
        <w:t>Configurations of NPDSCH and NPDCCH before measurement are specified in Annex C.2.</w:t>
      </w:r>
    </w:p>
    <w:p>
      <w:pPr>
        <w:pStyle w:val="113"/>
      </w:pPr>
      <w:r>
        <w:t xml:space="preserve">Table 6.6B.4.1-1: Test Configuration Table for FDD </w:t>
      </w:r>
    </w:p>
    <w:tbl>
      <w:tblPr>
        <w:tblStyle w:val="89"/>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pStyle w:val="105"/>
              <w:jc w:val="left"/>
            </w:pPr>
            <w:r>
              <w:t>Test Environment as specified in</w:t>
            </w:r>
          </w:p>
          <w:p>
            <w:pPr>
              <w:pStyle w:val="105"/>
              <w:jc w:val="left"/>
            </w:pPr>
            <w:r>
              <w:t>TS 36.508[12] subclause 8.1.1</w:t>
            </w:r>
          </w:p>
        </w:tc>
        <w:tc>
          <w:tcPr>
            <w:tcW w:w="5202" w:type="dxa"/>
            <w:gridSpan w:val="3"/>
            <w:shd w:val="clear" w:color="auto" w:fill="FFFFFF"/>
            <w:tcMar>
              <w:top w:w="0" w:type="dxa"/>
              <w:left w:w="108" w:type="dxa"/>
              <w:bottom w:w="0" w:type="dxa"/>
              <w:right w:w="108" w:type="dxa"/>
            </w:tcMar>
          </w:tcPr>
          <w:p>
            <w:pPr>
              <w:pStyle w:val="105"/>
              <w:jc w:val="left"/>
            </w:pPr>
            <w:r>
              <w:rPr>
                <w:rFonts w:cs="v5.0.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4138" w:type="dxa"/>
            <w:gridSpan w:val="2"/>
            <w:shd w:val="clear" w:color="auto" w:fill="FFFFFF"/>
          </w:tcPr>
          <w:p>
            <w:pPr>
              <w:pStyle w:val="105"/>
              <w:jc w:val="left"/>
            </w:pPr>
            <w:r>
              <w:t>Test Frequencies as specified in</w:t>
            </w:r>
          </w:p>
          <w:p>
            <w:pPr>
              <w:pStyle w:val="105"/>
              <w:jc w:val="left"/>
            </w:pPr>
            <w:r>
              <w:t>TS 36.508 [12] subclause 8.1.3.1</w:t>
            </w:r>
          </w:p>
        </w:tc>
        <w:tc>
          <w:tcPr>
            <w:tcW w:w="5202" w:type="dxa"/>
            <w:gridSpan w:val="3"/>
            <w:shd w:val="clear" w:color="auto" w:fill="FFFFFF"/>
            <w:tcMar>
              <w:top w:w="0" w:type="dxa"/>
              <w:left w:w="108" w:type="dxa"/>
              <w:bottom w:w="0" w:type="dxa"/>
              <w:right w:w="108" w:type="dxa"/>
            </w:tcMar>
          </w:tcPr>
          <w:p>
            <w:pPr>
              <w:pStyle w:val="105"/>
              <w:jc w:val="left"/>
            </w:pPr>
            <w:r>
              <w:rPr>
                <w:rFonts w:eastAsia="微软雅黑" w:cs="Arial"/>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9340" w:type="dxa"/>
            <w:gridSpan w:val="5"/>
            <w:shd w:val="clear" w:color="auto" w:fill="FFFFFF"/>
          </w:tcPr>
          <w:p>
            <w:pPr>
              <w:pStyle w:val="104"/>
              <w:spacing w:line="252" w:lineRule="auto"/>
            </w:pPr>
            <w: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22" w:type="dxa"/>
            <w:shd w:val="clear" w:color="auto" w:fill="FFFFFF"/>
          </w:tcPr>
          <w:p>
            <w:pPr>
              <w:pStyle w:val="104"/>
              <w:spacing w:line="252" w:lineRule="auto"/>
            </w:pPr>
            <w:r>
              <w:t>Configuration ID</w:t>
            </w:r>
          </w:p>
        </w:tc>
        <w:tc>
          <w:tcPr>
            <w:tcW w:w="2616" w:type="dxa"/>
            <w:shd w:val="clear" w:color="auto" w:fill="FFFFFF"/>
            <w:tcMar>
              <w:top w:w="0" w:type="dxa"/>
              <w:left w:w="108" w:type="dxa"/>
              <w:bottom w:w="0" w:type="dxa"/>
              <w:right w:w="108" w:type="dxa"/>
            </w:tcMar>
          </w:tcPr>
          <w:p>
            <w:pPr>
              <w:pStyle w:val="104"/>
              <w:spacing w:line="252" w:lineRule="auto"/>
            </w:pPr>
            <w:r>
              <w:t>Downlink Configuration</w:t>
            </w:r>
          </w:p>
        </w:tc>
        <w:tc>
          <w:tcPr>
            <w:tcW w:w="5202" w:type="dxa"/>
            <w:gridSpan w:val="3"/>
            <w:shd w:val="clear" w:color="auto" w:fill="FFFFFF"/>
            <w:tcMar>
              <w:top w:w="0" w:type="dxa"/>
              <w:left w:w="108" w:type="dxa"/>
              <w:bottom w:w="0" w:type="dxa"/>
              <w:right w:w="108" w:type="dxa"/>
            </w:tcMar>
          </w:tcPr>
          <w:p>
            <w:pPr>
              <w:pStyle w:val="104"/>
              <w:spacing w:line="252" w:lineRule="auto"/>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pStyle w:val="105"/>
            </w:pPr>
          </w:p>
        </w:tc>
        <w:tc>
          <w:tcPr>
            <w:tcW w:w="2616" w:type="dxa"/>
            <w:vMerge w:val="restart"/>
            <w:shd w:val="clear" w:color="auto" w:fill="FFFFFF"/>
            <w:tcMar>
              <w:top w:w="0" w:type="dxa"/>
              <w:left w:w="108" w:type="dxa"/>
              <w:bottom w:w="0" w:type="dxa"/>
              <w:right w:w="108" w:type="dxa"/>
            </w:tcMar>
          </w:tcPr>
          <w:p>
            <w:pPr>
              <w:pStyle w:val="105"/>
            </w:pPr>
            <w:r>
              <w:t>N/A</w:t>
            </w:r>
          </w:p>
        </w:tc>
        <w:tc>
          <w:tcPr>
            <w:tcW w:w="1792" w:type="dxa"/>
            <w:shd w:val="clear" w:color="auto" w:fill="FFFFFF"/>
            <w:tcMar>
              <w:top w:w="0" w:type="dxa"/>
              <w:left w:w="108" w:type="dxa"/>
              <w:bottom w:w="0" w:type="dxa"/>
              <w:right w:w="108" w:type="dxa"/>
            </w:tcMar>
          </w:tcPr>
          <w:p>
            <w:pPr>
              <w:pStyle w:val="105"/>
            </w:pPr>
            <w:r>
              <w:t>Modulation</w:t>
            </w:r>
          </w:p>
        </w:tc>
        <w:tc>
          <w:tcPr>
            <w:tcW w:w="2058" w:type="dxa"/>
            <w:shd w:val="clear" w:color="auto" w:fill="FFFFFF"/>
            <w:tcMar>
              <w:top w:w="0" w:type="dxa"/>
              <w:left w:w="108" w:type="dxa"/>
              <w:bottom w:w="0" w:type="dxa"/>
              <w:right w:w="108" w:type="dxa"/>
            </w:tcMar>
          </w:tcPr>
          <w:p>
            <w:pPr>
              <w:pStyle w:val="105"/>
            </w:pPr>
            <w:r>
              <w:t>N</w:t>
            </w:r>
            <w:r>
              <w:rPr>
                <w:vertAlign w:val="subscript"/>
              </w:rPr>
              <w:t>tones</w:t>
            </w:r>
          </w:p>
        </w:tc>
        <w:tc>
          <w:tcPr>
            <w:tcW w:w="1352" w:type="dxa"/>
            <w:shd w:val="clear" w:color="auto" w:fill="FFFFFF"/>
            <w:tcMar>
              <w:top w:w="0" w:type="dxa"/>
              <w:left w:w="108" w:type="dxa"/>
              <w:bottom w:w="0" w:type="dxa"/>
              <w:right w:w="108" w:type="dxa"/>
            </w:tcMar>
          </w:tcPr>
          <w:p>
            <w:pPr>
              <w:pStyle w:val="105"/>
            </w:pPr>
            <w: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pStyle w:val="105"/>
            </w:pPr>
            <w:r>
              <w:rPr>
                <w:rFonts w:cs="Arial"/>
              </w:rPr>
              <w:t>1</w:t>
            </w:r>
          </w:p>
        </w:tc>
        <w:tc>
          <w:tcPr>
            <w:tcW w:w="0" w:type="auto"/>
            <w:vMerge w:val="continue"/>
            <w:shd w:val="clear" w:color="auto" w:fill="FFFFFF"/>
            <w:vAlign w:val="center"/>
          </w:tcPr>
          <w:p>
            <w:pPr>
              <w:pStyle w:val="48"/>
              <w:numPr>
                <w:ilvl w:val="0"/>
                <w:numId w:val="12"/>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pPr>
              <w:pStyle w:val="105"/>
            </w:pPr>
            <w:r>
              <w:t>QPSK</w:t>
            </w:r>
          </w:p>
        </w:tc>
        <w:tc>
          <w:tcPr>
            <w:tcW w:w="2058" w:type="dxa"/>
            <w:shd w:val="clear" w:color="auto" w:fill="FFFFFF"/>
            <w:tcMar>
              <w:top w:w="0" w:type="dxa"/>
              <w:left w:w="108" w:type="dxa"/>
              <w:bottom w:w="0" w:type="dxa"/>
              <w:right w:w="108" w:type="dxa"/>
            </w:tcMar>
          </w:tcPr>
          <w:p>
            <w:pPr>
              <w:pStyle w:val="105"/>
            </w:pPr>
            <w:r>
              <w:t>1@5</w:t>
            </w:r>
          </w:p>
        </w:tc>
        <w:tc>
          <w:tcPr>
            <w:tcW w:w="1352" w:type="dxa"/>
            <w:shd w:val="clear" w:color="auto" w:fill="FFFFFF"/>
            <w:tcMar>
              <w:top w:w="0" w:type="dxa"/>
              <w:left w:w="108" w:type="dxa"/>
              <w:bottom w:w="0" w:type="dxa"/>
              <w:right w:w="108" w:type="dxa"/>
            </w:tcMar>
          </w:tcPr>
          <w:p>
            <w:pPr>
              <w:pStyle w:val="105"/>
            </w:pPr>
            <w:r>
              <w:t>15kHz</w:t>
            </w:r>
          </w:p>
        </w:tc>
      </w:tr>
    </w:tbl>
    <w:p>
      <w:pPr>
        <w:ind w:left="568" w:hanging="284"/>
        <w:rPr>
          <w:lang w:eastAsia="en-GB"/>
        </w:rP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the SS to the UE antenna connectors as shown in TS 36.508 [12] Annex A, Figure A.2 using only main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H.1.1 and H.4.0.</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The UL Reference Measurement channels are set according to Table 6.6B.4.1-1.</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UE location according to TS 36.508 [12] clause 8.2.6.1 is provided to the UE through any preconfigured means.</w:t>
      </w:r>
    </w:p>
    <w:p>
      <w:pPr>
        <w:pStyle w:val="111"/>
        <w:overflowPunct w:val="0"/>
        <w:autoSpaceDE w:val="0"/>
        <w:autoSpaceDN w:val="0"/>
        <w:adjustRightInd w:val="0"/>
        <w:ind w:left="568"/>
        <w:contextualSpacing w:val="0"/>
        <w:textAlignment w:val="baseline"/>
        <w:rPr>
          <w:lang w:eastAsia="en-GB"/>
        </w:rPr>
      </w:pPr>
      <w:r>
        <w:rPr>
          <w:rFonts w:hint="eastAsia"/>
          <w:lang w:eastAsia="en-GB"/>
        </w:rPr>
        <w:t>7</w:t>
      </w:r>
      <w:r>
        <w:rPr>
          <w:lang w:eastAsia="en-GB"/>
        </w:rPr>
        <w:t>.</w:t>
      </w:r>
      <w:r>
        <w:rPr>
          <w:lang w:eastAsia="en-GB"/>
        </w:rPr>
        <w:tab/>
      </w:r>
      <w:r>
        <w:rPr>
          <w:lang w:eastAsia="en-GB"/>
        </w:rPr>
        <w:t xml:space="preserve">Test equipment shall emulate </w:t>
      </w:r>
      <w:r>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Pr>
          <w:lang w:eastAsia="en-GB"/>
        </w:rPr>
        <w:t>. Test system shall send same SIB31-NB information during the duration of the test as define in TS 36.508[12] clause 8.2.6.3.1</w:t>
      </w:r>
    </w:p>
    <w:p>
      <w:pPr>
        <w:pStyle w:val="111"/>
        <w:overflowPunct w:val="0"/>
        <w:autoSpaceDE w:val="0"/>
        <w:autoSpaceDN w:val="0"/>
        <w:adjustRightInd w:val="0"/>
        <w:ind w:left="568"/>
        <w:contextualSpacing w:val="0"/>
        <w:textAlignment w:val="baseline"/>
        <w:rPr>
          <w:lang w:eastAsia="en-GB"/>
        </w:rPr>
      </w:pPr>
      <w:r>
        <w:rPr>
          <w:rFonts w:hint="eastAsia"/>
          <w:lang w:eastAsia="en-GB"/>
        </w:rPr>
        <w:t>8</w:t>
      </w:r>
      <w:r>
        <w:rPr>
          <w:lang w:eastAsia="en-GB"/>
        </w:rPr>
        <w:t>.</w:t>
      </w:r>
      <w:r>
        <w:rPr>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9.</w:t>
      </w:r>
      <w:r>
        <w:rPr>
          <w:lang w:eastAsia="en-GB"/>
        </w:rPr>
        <w:tab/>
      </w:r>
      <w:r>
        <w:rPr>
          <w:lang w:eastAsia="en-GB"/>
        </w:rPr>
        <w:t>Ensure the UE is in State 2A-NB with CP CIoT Optimisation according to TS 36.508 [12] clause 8.1.5. Message contents are defined in clause 6.6B.4.3.</w:t>
      </w:r>
    </w:p>
    <w:p>
      <w:pPr>
        <w:keepNext/>
        <w:keepLines/>
        <w:spacing w:before="120"/>
        <w:ind w:left="1985" w:hanging="1985"/>
        <w:rPr>
          <w:rFonts w:ascii="Arial" w:hAnsi="Arial"/>
          <w:lang w:eastAsia="en-GB"/>
        </w:rPr>
      </w:pPr>
      <w:r>
        <w:rPr>
          <w:rFonts w:ascii="Arial" w:hAnsi="Arial"/>
          <w:lang w:eastAsia="en-GB"/>
        </w:rPr>
        <w:t>6.6B.4.2</w:t>
      </w:r>
      <w:r>
        <w:rPr>
          <w:rFonts w:ascii="Arial" w:hAnsi="Arial"/>
          <w:lang w:eastAsia="en-GB"/>
        </w:rPr>
        <w:tab/>
      </w:r>
      <w:r>
        <w:rPr>
          <w:rFonts w:ascii="Arial" w:hAnsi="Arial"/>
          <w:lang w:eastAsia="en-GB"/>
        </w:rP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SS sends uplink scheduling information for the UL HARQ process via NPDCCH DCI format N0 for C_RNTI to schedule the UL RMC according to Table 6.6B.4.1-1. Since the UE has no payload and no loopback data to send the UE sends uplink MAC padding bits on the UL RMC. (UE should be already transmitting PUMAX after Initial Conditions setting).</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Measure the mean power of the UE in the channel bandwidth of the radio access mode according to the test configuration, which shall meet the requirements described in Table 6.2B.2.4-1. The measurement period is at least one sub-frame (1ms) for 15 KHz channel spacing.</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Set the interference signal frequency below the UL carrier frequency using the first offset in table 6.6B.5-1.</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Set the interference CW signal level according to table 6.6B.5-1.</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pPr>
        <w:pStyle w:val="111"/>
        <w:overflowPunct w:val="0"/>
        <w:autoSpaceDE w:val="0"/>
        <w:autoSpaceDN w:val="0"/>
        <w:adjustRightInd w:val="0"/>
        <w:ind w:left="568"/>
        <w:contextualSpacing w:val="0"/>
        <w:textAlignment w:val="baseline"/>
        <w:rPr>
          <w:lang w:eastAsia="en-GB"/>
        </w:rPr>
      </w:pPr>
      <w:r>
        <w:rPr>
          <w:lang w:eastAsia="en-GB"/>
        </w:rPr>
        <w:t>6.</w:t>
      </w:r>
      <w:r>
        <w:rPr>
          <w:lang w:eastAsia="en-GB"/>
        </w:rPr>
        <w:tab/>
      </w:r>
      <w:r>
        <w:rPr>
          <w:lang w:eastAsia="en-GB"/>
        </w:rPr>
        <w:t>Set the interference signal frequency above the UL carrier frequency using the first offset in table 6.6B.5-1.</w:t>
      </w:r>
    </w:p>
    <w:p>
      <w:pPr>
        <w:pStyle w:val="111"/>
        <w:overflowPunct w:val="0"/>
        <w:autoSpaceDE w:val="0"/>
        <w:autoSpaceDN w:val="0"/>
        <w:adjustRightInd w:val="0"/>
        <w:ind w:left="568"/>
        <w:contextualSpacing w:val="0"/>
        <w:textAlignment w:val="baseline"/>
        <w:rPr>
          <w:lang w:eastAsia="en-GB"/>
        </w:rPr>
      </w:pPr>
      <w:r>
        <w:rPr>
          <w:lang w:eastAsia="en-GB"/>
        </w:rPr>
        <w:t>7.</w:t>
      </w:r>
      <w:r>
        <w:rPr>
          <w:lang w:eastAsia="en-GB"/>
        </w:rPr>
        <w:tab/>
      </w:r>
      <w:r>
        <w:rPr>
          <w:lang w:eastAsia="en-GB"/>
        </w:rPr>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pPr>
        <w:pStyle w:val="111"/>
        <w:overflowPunct w:val="0"/>
        <w:autoSpaceDE w:val="0"/>
        <w:autoSpaceDN w:val="0"/>
        <w:adjustRightInd w:val="0"/>
        <w:ind w:left="568"/>
        <w:contextualSpacing w:val="0"/>
        <w:textAlignment w:val="baseline"/>
        <w:rPr>
          <w:lang w:eastAsia="en-GB"/>
        </w:rPr>
      </w:pPr>
      <w:r>
        <w:rPr>
          <w:lang w:eastAsia="en-GB"/>
        </w:rPr>
        <w:t>Repeat the measurement using the second offset in table 6.6B.5-1.</w:t>
      </w:r>
    </w:p>
    <w:p>
      <w:pPr>
        <w:keepNext/>
        <w:keepLines/>
        <w:spacing w:before="120"/>
        <w:ind w:left="1985" w:hanging="1985"/>
        <w:rPr>
          <w:rFonts w:ascii="Arial" w:hAnsi="Arial"/>
          <w:lang w:eastAsia="en-GB"/>
        </w:rPr>
      </w:pPr>
      <w:r>
        <w:rPr>
          <w:rFonts w:ascii="Arial" w:hAnsi="Arial"/>
          <w:lang w:eastAsia="en-GB"/>
        </w:rPr>
        <w:t>6.6B.4.3</w:t>
      </w:r>
      <w:r>
        <w:rPr>
          <w:rFonts w:ascii="Arial" w:hAnsi="Arial"/>
          <w:lang w:eastAsia="en-GB"/>
        </w:rPr>
        <w:tab/>
      </w:r>
      <w:r>
        <w:rPr>
          <w:rFonts w:ascii="Arial" w:hAnsi="Arial"/>
          <w:lang w:eastAsia="en-GB"/>
        </w:rPr>
        <w:t>Message contents</w:t>
      </w:r>
    </w:p>
    <w:p>
      <w:r>
        <w:t>Message contents are according to TS 36.508 [12] subclause 8.1.6.</w:t>
      </w:r>
    </w:p>
    <w:p>
      <w:pPr>
        <w:keepNext/>
        <w:keepLines/>
        <w:spacing w:before="120"/>
        <w:ind w:left="1985" w:hanging="1985"/>
        <w:rPr>
          <w:rFonts w:ascii="Arial" w:hAnsi="Arial"/>
          <w:lang w:eastAsia="en-GB"/>
        </w:rPr>
      </w:pPr>
      <w:r>
        <w:rPr>
          <w:rFonts w:ascii="Arial" w:hAnsi="Arial"/>
          <w:lang w:eastAsia="en-GB"/>
        </w:rPr>
        <w:t>6.6B.5</w:t>
      </w:r>
      <w:r>
        <w:rPr>
          <w:rFonts w:ascii="Arial" w:hAnsi="Arial"/>
          <w:lang w:eastAsia="en-GB"/>
        </w:rPr>
        <w:tab/>
      </w:r>
      <w:r>
        <w:rPr>
          <w:rFonts w:ascii="Arial" w:hAnsi="Arial"/>
          <w:lang w:eastAsia="en-GB"/>
        </w:rPr>
        <w:t>Test requirement</w:t>
      </w:r>
    </w:p>
    <w:p>
      <w:r>
        <w:t>The ratio derived in step 5 and 7, shall not exceed the described value in table 6.6B.5-1</w:t>
      </w:r>
    </w:p>
    <w:p>
      <w:pPr>
        <w:pStyle w:val="113"/>
      </w:pPr>
      <w:r>
        <w:t>Table 6.6B.5-1: Transmit Intermodulation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58"/>
        <w:gridCol w:w="877"/>
        <w:gridCol w:w="8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shd w:val="clear" w:color="auto" w:fill="auto"/>
            <w:vAlign w:val="center"/>
          </w:tcPr>
          <w:p>
            <w:pPr>
              <w:pStyle w:val="105"/>
            </w:pPr>
            <w:r>
              <w:t>BW Channel (UL)</w:t>
            </w:r>
          </w:p>
        </w:tc>
        <w:tc>
          <w:tcPr>
            <w:tcW w:w="0" w:type="auto"/>
            <w:gridSpan w:val="2"/>
            <w:shd w:val="clear" w:color="auto" w:fill="auto"/>
            <w:vAlign w:val="center"/>
          </w:tcPr>
          <w:p>
            <w:pPr>
              <w:pStyle w:val="105"/>
            </w:pPr>
            <w:r>
              <w:t>15 kHz (1 tone)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pStyle w:val="105"/>
            </w:pPr>
            <w:r>
              <w:t>Interference Signal Frequency Offset</w:t>
            </w:r>
          </w:p>
        </w:tc>
        <w:tc>
          <w:tcPr>
            <w:tcW w:w="0" w:type="auto"/>
            <w:shd w:val="clear" w:color="auto" w:fill="auto"/>
            <w:vAlign w:val="center"/>
          </w:tcPr>
          <w:p>
            <w:pPr>
              <w:pStyle w:val="105"/>
            </w:pPr>
            <w:r>
              <w:t>180 kHz</w:t>
            </w:r>
          </w:p>
        </w:tc>
        <w:tc>
          <w:tcPr>
            <w:tcW w:w="0" w:type="auto"/>
            <w:shd w:val="clear" w:color="auto" w:fill="auto"/>
            <w:vAlign w:val="center"/>
          </w:tcPr>
          <w:p>
            <w:pPr>
              <w:pStyle w:val="105"/>
            </w:pPr>
            <w:r>
              <w:t>360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pStyle w:val="105"/>
            </w:pPr>
            <w:r>
              <w:t>Interference CW Signal Level</w:t>
            </w:r>
          </w:p>
        </w:tc>
        <w:tc>
          <w:tcPr>
            <w:tcW w:w="0" w:type="auto"/>
            <w:gridSpan w:val="2"/>
            <w:shd w:val="clear" w:color="auto" w:fill="auto"/>
            <w:vAlign w:val="center"/>
          </w:tcPr>
          <w:p>
            <w:pPr>
              <w:pStyle w:val="105"/>
            </w:pPr>
            <w:r>
              <w:t>-40dBc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pStyle w:val="105"/>
            </w:pPr>
            <w:r>
              <w:t>Intermodulation Product</w:t>
            </w:r>
          </w:p>
        </w:tc>
        <w:tc>
          <w:tcPr>
            <w:tcW w:w="0" w:type="auto"/>
            <w:shd w:val="clear" w:color="auto" w:fill="auto"/>
            <w:vAlign w:val="center"/>
          </w:tcPr>
          <w:p>
            <w:pPr>
              <w:pStyle w:val="105"/>
            </w:pPr>
            <w:r>
              <w:t>-20 dBc</w:t>
            </w:r>
          </w:p>
        </w:tc>
        <w:tc>
          <w:tcPr>
            <w:tcW w:w="0" w:type="auto"/>
            <w:shd w:val="clear" w:color="auto" w:fill="auto"/>
            <w:vAlign w:val="center"/>
          </w:tcPr>
          <w:p>
            <w:pPr>
              <w:pStyle w:val="105"/>
            </w:pPr>
            <w:r>
              <w:t>-39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pStyle w:val="105"/>
            </w:pPr>
            <w:r>
              <w:t>Measurement bandwidth</w:t>
            </w:r>
          </w:p>
        </w:tc>
        <w:tc>
          <w:tcPr>
            <w:tcW w:w="0" w:type="auto"/>
            <w:shd w:val="clear" w:color="auto" w:fill="auto"/>
            <w:vAlign w:val="center"/>
          </w:tcPr>
          <w:p>
            <w:pPr>
              <w:pStyle w:val="105"/>
            </w:pPr>
            <w:r>
              <w:t>30 kHz</w:t>
            </w:r>
          </w:p>
        </w:tc>
        <w:tc>
          <w:tcPr>
            <w:tcW w:w="0" w:type="auto"/>
            <w:shd w:val="clear" w:color="auto" w:fill="auto"/>
            <w:vAlign w:val="center"/>
          </w:tcPr>
          <w:p>
            <w:pPr>
              <w:pStyle w:val="105"/>
            </w:pPr>
            <w:r>
              <w:t>30 kHz</w:t>
            </w:r>
          </w:p>
        </w:tc>
      </w:tr>
    </w:tbl>
    <w:p/>
    <w:p>
      <w:pPr>
        <w:pStyle w:val="3"/>
      </w:pPr>
      <w:bookmarkStart w:id="1123" w:name="_Toc368026358"/>
      <w:bookmarkStart w:id="1124" w:name="_Toc121162880"/>
      <w:bookmarkStart w:id="1125" w:name="_Toc754"/>
      <w:bookmarkStart w:id="1126" w:name="_Toc20369"/>
      <w:bookmarkStart w:id="1127" w:name="_Toc11747"/>
      <w:bookmarkStart w:id="1128" w:name="_Toc32631"/>
      <w:bookmarkStart w:id="1129" w:name="_Toc23794"/>
      <w:bookmarkStart w:id="1130" w:name="_Toc1688"/>
      <w:bookmarkStart w:id="1131" w:name="_Toc111062075"/>
      <w:bookmarkStart w:id="1132" w:name="_Toc18159"/>
      <w:bookmarkStart w:id="1133" w:name="_Toc120570088"/>
      <w:r>
        <w:t>7</w:t>
      </w:r>
      <w:r>
        <w:tab/>
      </w:r>
      <w:r>
        <w:t>Receiver characteristics</w:t>
      </w:r>
      <w:bookmarkEnd w:id="1123"/>
      <w:bookmarkEnd w:id="1124"/>
      <w:bookmarkEnd w:id="1125"/>
      <w:bookmarkEnd w:id="1126"/>
      <w:bookmarkEnd w:id="1127"/>
      <w:bookmarkEnd w:id="1128"/>
      <w:bookmarkEnd w:id="1129"/>
      <w:bookmarkEnd w:id="1130"/>
      <w:bookmarkEnd w:id="1131"/>
      <w:bookmarkEnd w:id="1132"/>
      <w:bookmarkEnd w:id="1133"/>
    </w:p>
    <w:p>
      <w:pPr>
        <w:pStyle w:val="4"/>
      </w:pPr>
      <w:bookmarkStart w:id="1134" w:name="_Toc2954"/>
      <w:bookmarkStart w:id="1135" w:name="_Toc32063"/>
      <w:bookmarkStart w:id="1136" w:name="_Toc21839"/>
      <w:bookmarkStart w:id="1137" w:name="_Toc19989"/>
      <w:bookmarkStart w:id="1138" w:name="_Toc120570089"/>
      <w:bookmarkStart w:id="1139" w:name="_Toc17751"/>
      <w:bookmarkStart w:id="1140" w:name="_Toc111062076"/>
      <w:bookmarkStart w:id="1141" w:name="_Toc121162881"/>
      <w:bookmarkStart w:id="1142" w:name="_Toc11768"/>
      <w:bookmarkStart w:id="1143" w:name="_Toc368026359"/>
      <w:bookmarkStart w:id="1144" w:name="_Toc25736"/>
      <w:r>
        <w:t>7.1</w:t>
      </w:r>
      <w:r>
        <w:tab/>
      </w:r>
      <w:r>
        <w:t>General</w:t>
      </w:r>
      <w:bookmarkEnd w:id="1134"/>
      <w:bookmarkEnd w:id="1135"/>
      <w:bookmarkEnd w:id="1136"/>
      <w:bookmarkEnd w:id="1137"/>
      <w:bookmarkEnd w:id="1138"/>
      <w:bookmarkEnd w:id="1139"/>
      <w:bookmarkEnd w:id="1140"/>
      <w:bookmarkEnd w:id="1141"/>
      <w:bookmarkEnd w:id="1142"/>
      <w:bookmarkEnd w:id="1143"/>
      <w:bookmarkEnd w:id="1144"/>
    </w:p>
    <w:p>
      <w:r>
        <w:t>The requirements in clause 7.1 of TS 36.101 [7] shall apply.</w:t>
      </w:r>
    </w:p>
    <w:p>
      <w:pPr>
        <w:rPr>
          <w:rFonts w:eastAsia="Times New Roman" w:cs="Times New Roman"/>
        </w:rPr>
      </w:pPr>
      <w:r>
        <w:rPr>
          <w:rFonts w:eastAsia="Times New Roman" w:cs="Times New Roman"/>
        </w:rPr>
        <w:t>All requirements in this section are applicable to devices supporting GSO and/or NGSO satellites.</w:t>
      </w:r>
    </w:p>
    <w:p>
      <w:pPr>
        <w:pStyle w:val="4"/>
      </w:pPr>
      <w:bookmarkStart w:id="1145" w:name="_Toc368026360"/>
      <w:bookmarkStart w:id="1146" w:name="_Toc25696"/>
      <w:bookmarkStart w:id="1147" w:name="_Toc121162882"/>
      <w:bookmarkStart w:id="1148" w:name="_Toc16853"/>
      <w:bookmarkStart w:id="1149" w:name="_Toc120570090"/>
      <w:bookmarkStart w:id="1150" w:name="_Toc111062077"/>
      <w:bookmarkStart w:id="1151" w:name="_Toc29131"/>
      <w:bookmarkStart w:id="1152" w:name="_Toc12711"/>
      <w:bookmarkStart w:id="1153" w:name="_Toc19074"/>
      <w:bookmarkStart w:id="1154" w:name="_Toc9401"/>
      <w:bookmarkStart w:id="1155" w:name="_Toc5555"/>
      <w:r>
        <w:t>7.2</w:t>
      </w:r>
      <w:r>
        <w:tab/>
      </w:r>
      <w:r>
        <w:t>Diversity characteristics</w:t>
      </w:r>
      <w:bookmarkEnd w:id="1145"/>
      <w:bookmarkEnd w:id="1146"/>
      <w:bookmarkEnd w:id="1147"/>
      <w:bookmarkEnd w:id="1148"/>
      <w:bookmarkEnd w:id="1149"/>
      <w:bookmarkEnd w:id="1150"/>
      <w:bookmarkEnd w:id="1151"/>
      <w:bookmarkEnd w:id="1152"/>
      <w:bookmarkEnd w:id="1153"/>
      <w:bookmarkEnd w:id="1154"/>
      <w:bookmarkEnd w:id="1155"/>
    </w:p>
    <w:p>
      <w:r>
        <w:rPr>
          <w:rFonts w:hint="eastAsia"/>
        </w:rPr>
        <w:t>The requirements in clause 7 assume that the receiver is equipped with single Rx port.</w:t>
      </w:r>
    </w:p>
    <w:p>
      <w:pPr>
        <w:pStyle w:val="4"/>
      </w:pPr>
      <w:bookmarkStart w:id="1156" w:name="_Toc368026361"/>
      <w:bookmarkStart w:id="1157" w:name="_Toc680"/>
      <w:bookmarkStart w:id="1158" w:name="_Toc10108"/>
      <w:bookmarkStart w:id="1159" w:name="_Toc19045"/>
      <w:bookmarkStart w:id="1160" w:name="_Toc121162883"/>
      <w:bookmarkStart w:id="1161" w:name="_Toc8782"/>
      <w:bookmarkStart w:id="1162" w:name="_Toc28165"/>
      <w:bookmarkStart w:id="1163" w:name="_Toc111062078"/>
      <w:bookmarkStart w:id="1164" w:name="_Toc120570091"/>
      <w:bookmarkStart w:id="1165" w:name="_Toc21439"/>
      <w:bookmarkStart w:id="1166" w:name="_Toc29847"/>
      <w:r>
        <w:t>7.3</w:t>
      </w:r>
      <w:r>
        <w:tab/>
      </w:r>
      <w:r>
        <w:t>Reference sensitivity power level</w:t>
      </w:r>
      <w:bookmarkEnd w:id="1156"/>
      <w:bookmarkEnd w:id="1157"/>
      <w:bookmarkEnd w:id="1158"/>
      <w:bookmarkEnd w:id="1159"/>
      <w:bookmarkEnd w:id="1160"/>
      <w:bookmarkEnd w:id="1161"/>
      <w:bookmarkEnd w:id="1162"/>
      <w:bookmarkEnd w:id="1163"/>
      <w:bookmarkEnd w:id="1164"/>
      <w:bookmarkEnd w:id="1165"/>
      <w:bookmarkEnd w:id="1166"/>
    </w:p>
    <w:p>
      <w:pPr>
        <w:rPr>
          <w:rFonts w:eastAsiaTheme="minorEastAsia"/>
          <w:color w:val="000000" w:themeColor="text1"/>
          <w:lang w:eastAsia="zh-TW"/>
          <w14:textFill>
            <w14:solidFill>
              <w14:schemeClr w14:val="tx1"/>
            </w14:solidFill>
          </w14:textFill>
        </w:rPr>
      </w:pPr>
      <w:r>
        <w:rPr>
          <w:rFonts w:eastAsia="宋体"/>
          <w:color w:val="000000" w:themeColor="text1"/>
          <w14:textFill>
            <w14:solidFill>
              <w14:schemeClr w14:val="tx1"/>
            </w14:solidFill>
          </w14:textFill>
        </w:rPr>
        <w:t>This clause is reserved</w:t>
      </w:r>
      <w:r>
        <w:rPr>
          <w:rFonts w:hint="eastAsia" w:eastAsiaTheme="minorEastAsia"/>
          <w:color w:val="000000" w:themeColor="text1"/>
          <w:lang w:eastAsia="zh-TW"/>
          <w14:textFill>
            <w14:solidFill>
              <w14:schemeClr w14:val="tx1"/>
            </w14:solidFill>
          </w14:textFill>
        </w:rPr>
        <w:t>.</w:t>
      </w:r>
      <w:bookmarkStart w:id="1167" w:name="_Toc121162884"/>
      <w:bookmarkStart w:id="1168" w:name="_Toc15635"/>
      <w:bookmarkStart w:id="1169" w:name="_Toc120570092"/>
    </w:p>
    <w:p>
      <w:pPr>
        <w:pStyle w:val="4"/>
      </w:pPr>
      <w:bookmarkStart w:id="1170" w:name="_Toc26670"/>
      <w:bookmarkStart w:id="1171" w:name="_Toc5125"/>
      <w:bookmarkStart w:id="1172" w:name="_Toc32084"/>
      <w:bookmarkStart w:id="1173" w:name="_Toc11371"/>
      <w:bookmarkStart w:id="1174" w:name="_Toc17741"/>
      <w:bookmarkStart w:id="1175" w:name="_Toc18186"/>
      <w:r>
        <w:t>7.3A</w:t>
      </w:r>
      <w:r>
        <w:tab/>
      </w:r>
      <w:r>
        <w:t>Reference sensitivity power level for UE category M1</w:t>
      </w:r>
      <w:bookmarkEnd w:id="1167"/>
      <w:bookmarkEnd w:id="1168"/>
      <w:bookmarkEnd w:id="1169"/>
      <w:bookmarkEnd w:id="1170"/>
      <w:bookmarkEnd w:id="1171"/>
      <w:bookmarkEnd w:id="1172"/>
      <w:bookmarkEnd w:id="1173"/>
      <w:bookmarkEnd w:id="1174"/>
      <w:bookmarkEnd w:id="1175"/>
    </w:p>
    <w:p>
      <w:pPr>
        <w:pStyle w:val="112"/>
        <w:rPr>
          <w:i w:val="0"/>
          <w:iCs w:val="0"/>
          <w:lang w:val="en-GB"/>
        </w:rPr>
      </w:pPr>
      <w:r>
        <w:t>Editor’s Note: Addition to applicability spec is pending.</w:t>
      </w:r>
    </w:p>
    <w:p>
      <w:pPr>
        <w:pStyle w:val="9"/>
      </w:pPr>
      <w:r>
        <w:t>7.3A.1</w:t>
      </w:r>
      <w:r>
        <w:tab/>
      </w:r>
      <w:r>
        <w:t>Test purpose</w:t>
      </w:r>
    </w:p>
    <w:p>
      <w:r>
        <w:t>To verify the category M1 UE's ability to receive data with a given average throughput for a specified reference measurement channel, under conditions of low signal level, ideal propagation and no added noise.</w:t>
      </w:r>
    </w:p>
    <w:p>
      <w:r>
        <w:t>A UE unable to meet the throughput requirement under these conditions will decrease the effective coverage area of an e-NodeB.</w:t>
      </w:r>
    </w:p>
    <w:p>
      <w:pPr>
        <w:pStyle w:val="9"/>
      </w:pPr>
      <w:r>
        <w:t>7.3A.2</w:t>
      </w:r>
      <w:r>
        <w:tab/>
      </w:r>
      <w: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pPr>
      <w:r>
        <w:t>7.3A.3</w:t>
      </w:r>
      <w:r>
        <w:tab/>
      </w:r>
      <w:r>
        <w:t>Minimum conformance requirements</w:t>
      </w:r>
    </w:p>
    <w:p>
      <w:pPr>
        <w:rPr>
          <w:color w:val="000000" w:themeColor="text1"/>
          <w14:textFill>
            <w14:solidFill>
              <w14:schemeClr w14:val="tx1"/>
            </w14:solidFill>
          </w14:textFill>
        </w:rPr>
      </w:pPr>
      <w:r>
        <w:rPr>
          <w:color w:val="000000" w:themeColor="text1"/>
          <w14:textFill>
            <w14:solidFill>
              <w14:schemeClr w14:val="tx1"/>
            </w14:solidFill>
          </w14:textFill>
        </w:rPr>
        <w:t>The reference sensitivity power level REFSENS is the minimum mean power applied to the single antenna port for UE category M1, at which the throughput shall meet or exceed the requirements for the specified reference measurement channel.</w:t>
      </w:r>
    </w:p>
    <w:p>
      <w:pPr>
        <w:rPr>
          <w:color w:val="000000" w:themeColor="text1"/>
          <w14:textFill>
            <w14:solidFill>
              <w14:schemeClr w14:val="tx1"/>
            </w14:solidFill>
          </w14:textFill>
        </w:rPr>
      </w:pPr>
      <w:r>
        <w:rPr>
          <w:color w:val="000000" w:themeColor="text1"/>
          <w14:textFill>
            <w14:solidFill>
              <w14:schemeClr w14:val="tx1"/>
            </w14:solidFill>
          </w14:textFill>
        </w:rPr>
        <w:t>The throughput for the REFSENS test is measured based on the Transmission Mode 1 unless specified otherwise.</w:t>
      </w:r>
    </w:p>
    <w:p>
      <w:r>
        <w:t>The throughput shall be ≥ 95% of the maximum throughput of the reference measurement channels as specified in Annexes [A.2.2 and A.3.2] (with one sided dynamic OCNG Pattern OP.1 FDD/TDD for the DL-signal as described in Annex [A.5.1.1]) with parameters specified in Table 7.3A-1 and Table 7.3A-2 for category M1.</w:t>
      </w:r>
    </w:p>
    <w:p>
      <w:pPr>
        <w:pStyle w:val="113"/>
      </w:pPr>
      <w:r>
        <w:t>Table 7.3A.3-1: Reference sensitivity for FDD UE category M1 QPSK P</w:t>
      </w:r>
      <w:r>
        <w:rPr>
          <w:vertAlign w:val="subscript"/>
        </w:rPr>
        <w:t>REFSENS</w:t>
      </w:r>
    </w:p>
    <w:tbl>
      <w:tblPr>
        <w:tblStyle w:val="89"/>
        <w:tblW w:w="8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3827"/>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701" w:type="dxa"/>
            <w:shd w:val="clear" w:color="auto" w:fill="auto"/>
            <w:vAlign w:val="center"/>
          </w:tcPr>
          <w:p>
            <w:pPr>
              <w:pStyle w:val="104"/>
              <w:rPr>
                <w:rFonts w:eastAsia="MS Mincho"/>
              </w:rPr>
            </w:pPr>
            <w:r>
              <w:t>NTN Band</w:t>
            </w:r>
          </w:p>
        </w:tc>
        <w:tc>
          <w:tcPr>
            <w:tcW w:w="3827" w:type="dxa"/>
            <w:shd w:val="clear" w:color="auto" w:fill="auto"/>
            <w:vAlign w:val="center"/>
          </w:tcPr>
          <w:p>
            <w:pPr>
              <w:pStyle w:val="104"/>
              <w:rPr>
                <w:rFonts w:eastAsia="MS Mincho"/>
              </w:rPr>
            </w:pPr>
            <w:r>
              <w:t>REFSENS (dBm)</w:t>
            </w:r>
          </w:p>
        </w:tc>
        <w:tc>
          <w:tcPr>
            <w:tcW w:w="2835" w:type="dxa"/>
            <w:shd w:val="clear" w:color="auto" w:fill="auto"/>
            <w:vAlign w:val="center"/>
          </w:tcPr>
          <w:p>
            <w:pPr>
              <w:pStyle w:val="104"/>
              <w:rPr>
                <w:rFonts w:eastAsia="MS Mincho"/>
              </w:rPr>
            </w:pPr>
            <w: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rPr>
            </w:pPr>
            <w:r>
              <w:rPr>
                <w:rFonts w:eastAsia="MS Mincho"/>
              </w:rPr>
              <w:t>255</w:t>
            </w:r>
          </w:p>
        </w:tc>
        <w:tc>
          <w:tcPr>
            <w:tcW w:w="3827" w:type="dxa"/>
            <w:shd w:val="clear" w:color="auto" w:fill="auto"/>
            <w:vAlign w:val="center"/>
          </w:tcPr>
          <w:p>
            <w:pPr>
              <w:pStyle w:val="105"/>
              <w:rPr>
                <w:rFonts w:eastAsia="MS Mincho"/>
              </w:rPr>
            </w:pPr>
            <w:r>
              <w:rPr>
                <w:rFonts w:eastAsia="MS Mincho"/>
              </w:rPr>
              <w:t>-102.7</w:t>
            </w:r>
          </w:p>
        </w:tc>
        <w:tc>
          <w:tcPr>
            <w:tcW w:w="2835" w:type="dxa"/>
            <w:shd w:val="clear" w:color="auto" w:fill="auto"/>
            <w:vAlign w:val="center"/>
          </w:tcPr>
          <w:p>
            <w:pPr>
              <w:pStyle w:val="105"/>
              <w:rPr>
                <w:rFonts w:eastAsia="MS Mincho"/>
              </w:rPr>
            </w:pPr>
            <w:r>
              <w:rPr>
                <w:rFonts w:eastAsia="MS Mincho"/>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rPr>
            </w:pPr>
            <w:r>
              <w:rPr>
                <w:rFonts w:eastAsia="MS Mincho"/>
              </w:rPr>
              <w:t>256</w:t>
            </w:r>
          </w:p>
        </w:tc>
        <w:tc>
          <w:tcPr>
            <w:tcW w:w="3827" w:type="dxa"/>
            <w:shd w:val="clear" w:color="auto" w:fill="auto"/>
            <w:vAlign w:val="center"/>
          </w:tcPr>
          <w:p>
            <w:pPr>
              <w:pStyle w:val="105"/>
              <w:rPr>
                <w:rFonts w:eastAsia="MS Mincho"/>
              </w:rPr>
            </w:pPr>
            <w:r>
              <w:rPr>
                <w:rFonts w:eastAsia="MS Mincho"/>
              </w:rPr>
              <w:t>-102.2</w:t>
            </w:r>
          </w:p>
        </w:tc>
        <w:tc>
          <w:tcPr>
            <w:tcW w:w="2835" w:type="dxa"/>
            <w:shd w:val="clear" w:color="auto" w:fill="auto"/>
            <w:vAlign w:val="center"/>
          </w:tcPr>
          <w:p>
            <w:pPr>
              <w:pStyle w:val="105"/>
              <w:rPr>
                <w:rFonts w:eastAsia="MS Mincho"/>
              </w:rPr>
            </w:pPr>
            <w:r>
              <w:rPr>
                <w:rFonts w:eastAsia="MS Mincho"/>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8363" w:type="dxa"/>
            <w:gridSpan w:val="3"/>
            <w:shd w:val="clear" w:color="auto" w:fill="auto"/>
            <w:vAlign w:val="center"/>
          </w:tcPr>
          <w:p>
            <w:pPr>
              <w:pStyle w:val="118"/>
              <w:rPr>
                <w:rFonts w:eastAsia="MS Mincho"/>
              </w:rPr>
            </w:pPr>
            <w:r>
              <w:rPr>
                <w:lang w:val="en-US"/>
              </w:rPr>
              <w:t>NOTE 1:</w:t>
            </w:r>
            <w:r>
              <w:rPr>
                <w:lang w:val="en-US"/>
              </w:rPr>
              <w:tab/>
            </w:r>
            <w:r>
              <w:rPr>
                <w:lang w:val="en-US"/>
              </w:rPr>
              <w:t>The transmitter shall be set to P</w:t>
            </w:r>
            <w:r>
              <w:rPr>
                <w:vertAlign w:val="subscript"/>
                <w:lang w:val="en-US"/>
              </w:rPr>
              <w:t>UMAX</w:t>
            </w:r>
            <w:r>
              <w:rPr>
                <w:lang w:val="en-US"/>
              </w:rPr>
              <w:t xml:space="preserve"> as defined in subclause 6.2.5</w:t>
            </w:r>
            <w:r>
              <w:t>- in TS 36.101 [7].</w:t>
            </w:r>
          </w:p>
        </w:tc>
      </w:tr>
    </w:tbl>
    <w:p/>
    <w:p>
      <w:pPr>
        <w:pStyle w:val="113"/>
      </w:pPr>
      <w:r>
        <w:t xml:space="preserve">Table 7.3A.3-2: Reference sensitivity for </w:t>
      </w:r>
      <w:r>
        <w:rPr>
          <w:rFonts w:hint="eastAsia"/>
        </w:rPr>
        <w:t xml:space="preserve">HD-FDD </w:t>
      </w:r>
      <w:r>
        <w:t>UE category M1 QPSK P</w:t>
      </w:r>
      <w:r>
        <w:rPr>
          <w:vertAlign w:val="subscript"/>
        </w:rPr>
        <w:t>REFSENS</w:t>
      </w:r>
    </w:p>
    <w:tbl>
      <w:tblPr>
        <w:tblStyle w:val="89"/>
        <w:tblW w:w="8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3827"/>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701" w:type="dxa"/>
            <w:shd w:val="clear" w:color="auto" w:fill="auto"/>
            <w:vAlign w:val="center"/>
          </w:tcPr>
          <w:p>
            <w:pPr>
              <w:pStyle w:val="104"/>
              <w:rPr>
                <w:rFonts w:eastAsia="MS Mincho"/>
              </w:rPr>
            </w:pPr>
            <w:r>
              <w:t>NTN Band</w:t>
            </w:r>
          </w:p>
        </w:tc>
        <w:tc>
          <w:tcPr>
            <w:tcW w:w="3827" w:type="dxa"/>
            <w:shd w:val="clear" w:color="auto" w:fill="auto"/>
            <w:vAlign w:val="center"/>
          </w:tcPr>
          <w:p>
            <w:pPr>
              <w:pStyle w:val="104"/>
              <w:rPr>
                <w:rFonts w:eastAsia="MS Mincho"/>
              </w:rPr>
            </w:pPr>
            <w:r>
              <w:t>REFSENS (dBm)</w:t>
            </w:r>
          </w:p>
        </w:tc>
        <w:tc>
          <w:tcPr>
            <w:tcW w:w="2835" w:type="dxa"/>
            <w:shd w:val="clear" w:color="auto" w:fill="auto"/>
            <w:vAlign w:val="center"/>
          </w:tcPr>
          <w:p>
            <w:pPr>
              <w:pStyle w:val="104"/>
              <w:rPr>
                <w:rFonts w:eastAsia="MS Mincho"/>
              </w:rPr>
            </w:pPr>
            <w: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rPr>
            </w:pPr>
            <w:r>
              <w:rPr>
                <w:rFonts w:eastAsia="MS Mincho"/>
              </w:rPr>
              <w:t>255</w:t>
            </w:r>
          </w:p>
        </w:tc>
        <w:tc>
          <w:tcPr>
            <w:tcW w:w="3827" w:type="dxa"/>
            <w:shd w:val="clear" w:color="auto" w:fill="auto"/>
            <w:vAlign w:val="center"/>
          </w:tcPr>
          <w:p>
            <w:pPr>
              <w:pStyle w:val="105"/>
              <w:rPr>
                <w:rFonts w:eastAsia="MS Mincho"/>
              </w:rPr>
            </w:pPr>
            <w:r>
              <w:rPr>
                <w:rFonts w:eastAsia="MS Mincho"/>
              </w:rPr>
              <w:t>-103.5</w:t>
            </w:r>
          </w:p>
        </w:tc>
        <w:tc>
          <w:tcPr>
            <w:tcW w:w="2835" w:type="dxa"/>
            <w:shd w:val="clear" w:color="auto" w:fill="auto"/>
            <w:vAlign w:val="center"/>
          </w:tcPr>
          <w:p>
            <w:pPr>
              <w:pStyle w:val="105"/>
              <w:rPr>
                <w:rFonts w:eastAsia="MS Mincho"/>
              </w:rPr>
            </w:pPr>
            <w:r>
              <w:rPr>
                <w:rFonts w:eastAsia="MS Mincho"/>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rPr>
            </w:pPr>
            <w:r>
              <w:rPr>
                <w:rFonts w:eastAsia="MS Mincho"/>
              </w:rPr>
              <w:t>256</w:t>
            </w:r>
          </w:p>
        </w:tc>
        <w:tc>
          <w:tcPr>
            <w:tcW w:w="3827" w:type="dxa"/>
            <w:shd w:val="clear" w:color="auto" w:fill="auto"/>
            <w:vAlign w:val="center"/>
          </w:tcPr>
          <w:p>
            <w:pPr>
              <w:pStyle w:val="105"/>
              <w:rPr>
                <w:rFonts w:eastAsia="MS Mincho"/>
              </w:rPr>
            </w:pPr>
            <w:r>
              <w:rPr>
                <w:rFonts w:eastAsia="MS Mincho"/>
              </w:rPr>
              <w:t>-103</w:t>
            </w:r>
          </w:p>
        </w:tc>
        <w:tc>
          <w:tcPr>
            <w:tcW w:w="2835" w:type="dxa"/>
            <w:shd w:val="clear" w:color="auto" w:fill="auto"/>
            <w:vAlign w:val="center"/>
          </w:tcPr>
          <w:p>
            <w:pPr>
              <w:pStyle w:val="105"/>
              <w:rPr>
                <w:rFonts w:eastAsia="MS Mincho"/>
              </w:rPr>
            </w:pPr>
            <w:r>
              <w:rPr>
                <w:rFonts w:eastAsia="MS Mincho"/>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8363" w:type="dxa"/>
            <w:gridSpan w:val="3"/>
            <w:shd w:val="clear" w:color="auto" w:fill="auto"/>
            <w:vAlign w:val="center"/>
          </w:tcPr>
          <w:p>
            <w:pPr>
              <w:pStyle w:val="118"/>
              <w:rPr>
                <w:rFonts w:eastAsia="MS Mincho"/>
              </w:rPr>
            </w:pPr>
            <w:r>
              <w:rPr>
                <w:lang w:val="en-US"/>
              </w:rPr>
              <w:t>NOTE 1:</w:t>
            </w:r>
            <w:r>
              <w:rPr>
                <w:lang w:val="en-US"/>
              </w:rPr>
              <w:tab/>
            </w:r>
            <w:r>
              <w:rPr>
                <w:lang w:val="en-US"/>
              </w:rPr>
              <w:t>The transmitter shall be set to P</w:t>
            </w:r>
            <w:r>
              <w:rPr>
                <w:vertAlign w:val="subscript"/>
                <w:lang w:val="en-US"/>
              </w:rPr>
              <w:t>UMAX</w:t>
            </w:r>
            <w:r>
              <w:rPr>
                <w:lang w:val="en-US"/>
              </w:rPr>
              <w:t xml:space="preserve"> as defined in subclause 6.2.5</w:t>
            </w:r>
            <w:r>
              <w:t xml:space="preserve"> in TS 36.101 [7].</w:t>
            </w:r>
          </w:p>
        </w:tc>
      </w:tr>
    </w:tbl>
    <w:p>
      <w:pPr>
        <w:rPr>
          <w:lang w:val="en-CA"/>
        </w:rPr>
      </w:pPr>
    </w:p>
    <w:p>
      <w:r>
        <w:t>The reference receive sensitivity (REFSENS) requirement specified in Table 7.3A.3-1/Table 7.3A.3-2 shall be met for an uplink transmission bandwidth less than or equal to that specified in Table 7.3A.3-3.</w:t>
      </w:r>
    </w:p>
    <w:p>
      <w:pPr>
        <w:pStyle w:val="100"/>
      </w:pPr>
      <w:r>
        <w:t>NOTE:</w:t>
      </w:r>
      <w:r>
        <w:tab/>
      </w:r>
      <w:r>
        <w:t>Table 7.3A.3-3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w:t>
      </w:r>
      <w:r>
        <w:rPr>
          <w:rFonts w:hint="eastAsia"/>
        </w:rPr>
        <w:t>G</w:t>
      </w:r>
      <w:r>
        <w:t>] (informative).</w:t>
      </w:r>
    </w:p>
    <w:p>
      <w:pPr>
        <w:pStyle w:val="113"/>
      </w:pPr>
      <w:r>
        <w:t xml:space="preserve">Table 7.3A.3-3: </w:t>
      </w:r>
      <w:r>
        <w:rPr>
          <w:rFonts w:hint="eastAsia"/>
        </w:rPr>
        <w:t xml:space="preserve">FDD </w:t>
      </w:r>
      <w:r>
        <w:rPr>
          <w:snapToGrid w:val="0"/>
        </w:rPr>
        <w:t xml:space="preserve">UE category </w:t>
      </w:r>
      <w:r>
        <w:rPr>
          <w:rFonts w:hint="eastAsia"/>
          <w:snapToGrid w:val="0"/>
        </w:rPr>
        <w:t xml:space="preserve">M1 </w:t>
      </w:r>
      <w:r>
        <w:t>Uplink configuration for reference sensitivity</w:t>
      </w:r>
    </w:p>
    <w:tbl>
      <w:tblPr>
        <w:tblStyle w:val="89"/>
        <w:tblW w:w="58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1842"/>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701" w:type="dxa"/>
            <w:shd w:val="clear" w:color="auto" w:fill="auto"/>
            <w:vAlign w:val="center"/>
          </w:tcPr>
          <w:p>
            <w:pPr>
              <w:pStyle w:val="104"/>
              <w:rPr>
                <w:rFonts w:eastAsia="MS Mincho"/>
                <w:lang w:eastAsia="ja-JP"/>
              </w:rPr>
            </w:pPr>
            <w:r>
              <w:rPr>
                <w:lang w:eastAsia="ja-JP"/>
              </w:rPr>
              <w:t>E-UTRA Band</w:t>
            </w:r>
          </w:p>
        </w:tc>
        <w:tc>
          <w:tcPr>
            <w:tcW w:w="1842" w:type="dxa"/>
            <w:shd w:val="clear" w:color="auto" w:fill="auto"/>
            <w:vAlign w:val="center"/>
          </w:tcPr>
          <w:p>
            <w:pPr>
              <w:pStyle w:val="104"/>
              <w:rPr>
                <w:rFonts w:eastAsia="MS Mincho"/>
              </w:rPr>
            </w:pPr>
            <w:r>
              <w:rPr>
                <w:lang w:eastAsia="ja-JP"/>
              </w:rPr>
              <w:t>N</w:t>
            </w:r>
            <w:r>
              <w:rPr>
                <w:vertAlign w:val="subscript"/>
                <w:lang w:eastAsia="ja-JP"/>
              </w:rPr>
              <w:t>RB</w:t>
            </w:r>
          </w:p>
        </w:tc>
        <w:tc>
          <w:tcPr>
            <w:tcW w:w="2268" w:type="dxa"/>
            <w:shd w:val="clear" w:color="auto" w:fill="auto"/>
            <w:vAlign w:val="center"/>
          </w:tcPr>
          <w:p>
            <w:pPr>
              <w:pStyle w:val="104"/>
              <w:rPr>
                <w:rFonts w:eastAsia="MS Mincho"/>
                <w:lang w:eastAsia="ja-JP"/>
              </w:rPr>
            </w:pPr>
            <w:r>
              <w:rPr>
                <w:lang w:eastAsia="ja-JP"/>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lang w:eastAsia="ja-JP"/>
              </w:rPr>
            </w:pPr>
            <w:r>
              <w:rPr>
                <w:rFonts w:eastAsia="MS Mincho"/>
                <w:lang w:eastAsia="ja-JP"/>
              </w:rPr>
              <w:t>255</w:t>
            </w:r>
          </w:p>
        </w:tc>
        <w:tc>
          <w:tcPr>
            <w:tcW w:w="1842" w:type="dxa"/>
            <w:shd w:val="clear" w:color="auto" w:fill="auto"/>
            <w:vAlign w:val="center"/>
          </w:tcPr>
          <w:p>
            <w:pPr>
              <w:pStyle w:val="105"/>
            </w:pPr>
            <w:r>
              <w:rPr>
                <w:rFonts w:hint="eastAsia"/>
              </w:rPr>
              <w:t>6</w:t>
            </w:r>
            <w:r>
              <w:rPr>
                <w:rFonts w:hint="eastAsia"/>
                <w:vertAlign w:val="superscript"/>
              </w:rPr>
              <w:t>1</w:t>
            </w:r>
          </w:p>
        </w:tc>
        <w:tc>
          <w:tcPr>
            <w:tcW w:w="2268" w:type="dxa"/>
            <w:shd w:val="clear" w:color="auto" w:fill="auto"/>
            <w:vAlign w:val="center"/>
          </w:tcPr>
          <w:p>
            <w:pPr>
              <w:pStyle w:val="105"/>
              <w:rPr>
                <w:rFonts w:eastAsia="MS Mincho"/>
                <w:lang w:eastAsia="ja-JP"/>
              </w:rPr>
            </w:pPr>
            <w:r>
              <w:rPr>
                <w:rFonts w:eastAsia="MS Mincho"/>
                <w:lang w:eastAsia="ja-JP"/>
              </w:rPr>
              <w:t>FDD</w:t>
            </w:r>
            <w:r>
              <w:rPr>
                <w:rFonts w:hint="eastAsia"/>
                <w:lang w:eastAsia="ja-JP"/>
              </w:rPr>
              <w:t xml:space="preserve"> and </w:t>
            </w:r>
            <w:r>
              <w:rPr>
                <w:lang w:eastAsia="ja-JP"/>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lang w:eastAsia="ja-JP"/>
              </w:rPr>
            </w:pPr>
            <w:r>
              <w:rPr>
                <w:rFonts w:eastAsia="MS Mincho"/>
                <w:lang w:eastAsia="ja-JP"/>
              </w:rPr>
              <w:t>256</w:t>
            </w:r>
          </w:p>
        </w:tc>
        <w:tc>
          <w:tcPr>
            <w:tcW w:w="1842" w:type="dxa"/>
            <w:shd w:val="clear" w:color="auto" w:fill="auto"/>
            <w:vAlign w:val="center"/>
          </w:tcPr>
          <w:p>
            <w:pPr>
              <w:pStyle w:val="105"/>
            </w:pPr>
            <w:r>
              <w:rPr>
                <w:rFonts w:hint="eastAsia"/>
              </w:rPr>
              <w:t>6</w:t>
            </w:r>
            <w:r>
              <w:rPr>
                <w:rFonts w:hint="eastAsia"/>
                <w:vertAlign w:val="superscript"/>
              </w:rPr>
              <w:t>1</w:t>
            </w:r>
          </w:p>
        </w:tc>
        <w:tc>
          <w:tcPr>
            <w:tcW w:w="2268" w:type="dxa"/>
            <w:shd w:val="clear" w:color="auto" w:fill="auto"/>
            <w:vAlign w:val="center"/>
          </w:tcPr>
          <w:p>
            <w:pPr>
              <w:pStyle w:val="105"/>
              <w:rPr>
                <w:rFonts w:eastAsia="MS Mincho"/>
                <w:lang w:eastAsia="ja-JP"/>
              </w:rPr>
            </w:pPr>
            <w:r>
              <w:rPr>
                <w:rFonts w:eastAsia="MS Mincho"/>
                <w:lang w:eastAsia="ja-JP"/>
              </w:rPr>
              <w:t>FDD</w:t>
            </w:r>
            <w:r>
              <w:rPr>
                <w:rFonts w:hint="eastAsia"/>
                <w:lang w:eastAsia="ja-JP"/>
              </w:rPr>
              <w:t xml:space="preserve"> and </w:t>
            </w:r>
            <w:r>
              <w:rPr>
                <w:lang w:eastAsia="ja-JP"/>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5811" w:type="dxa"/>
            <w:gridSpan w:val="3"/>
            <w:shd w:val="clear" w:color="auto" w:fill="auto"/>
            <w:vAlign w:val="center"/>
          </w:tcPr>
          <w:p>
            <w:pPr>
              <w:pStyle w:val="118"/>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(Table 5.3A-1). </w:t>
            </w:r>
          </w:p>
        </w:tc>
      </w:tr>
    </w:tbl>
    <w:p>
      <w:pPr>
        <w:rPr>
          <w:rFonts w:eastAsiaTheme="minorEastAsia"/>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7.3A.1.</w:t>
      </w:r>
    </w:p>
    <w:p>
      <w:pPr>
        <w:pStyle w:val="9"/>
      </w:pPr>
      <w:r>
        <w:t>7.3A.4</w:t>
      </w:r>
      <w:r>
        <w:tab/>
      </w:r>
      <w:r>
        <w:t>Test description</w:t>
      </w:r>
    </w:p>
    <w:p>
      <w:pPr>
        <w:pStyle w:val="9"/>
      </w:pPr>
      <w:r>
        <w:t>7.3A.4.1</w:t>
      </w:r>
      <w:r>
        <w:tab/>
      </w:r>
      <w:r>
        <w:t xml:space="preserve">Initial conditions  </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and test frequencies based on the subset of E-UTRA operating bands defined for CAT M1 in clause 5.2A. All of these configurations shall be tested with applicable test parameters for each channel bandwidth, and are shown in table 7.3A.4.1-1. The details of the downlink and uplink reference measurement channels (RMCs) are specified in Annexes A.2 and A.3. The details of the OCNG patterns used are specified in Annex A.5. </w:t>
      </w:r>
      <w:r>
        <w:rPr>
          <w:rFonts w:cs="v5.0.0"/>
        </w:rPr>
        <w:t>Configurations of PDSCH and MPDCCH before measurement are specified in Annex C.2.</w:t>
      </w:r>
    </w:p>
    <w:p>
      <w:pPr>
        <w:pStyle w:val="113"/>
      </w:pPr>
      <w:r>
        <w:t>Table 7.3A.4.1-1: Test Configuration Table</w:t>
      </w:r>
    </w:p>
    <w:tbl>
      <w:tblPr>
        <w:tblStyle w:val="89"/>
        <w:tblW w:w="81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6"/>
        <w:gridCol w:w="1166"/>
        <w:gridCol w:w="23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8160" w:type="dxa"/>
            <w:gridSpan w:val="6"/>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pStyle w:val="103"/>
            </w:pPr>
            <w:r>
              <w:t>Test Environment as specified in</w:t>
            </w:r>
          </w:p>
          <w:p>
            <w:pPr>
              <w:pStyle w:val="103"/>
            </w:pPr>
            <w:r>
              <w:t>TS 36.508[12] subclause 4.1</w:t>
            </w:r>
          </w:p>
        </w:tc>
        <w:tc>
          <w:tcPr>
            <w:tcW w:w="4664" w:type="dxa"/>
            <w:gridSpan w:val="3"/>
            <w:tcBorders>
              <w:top w:val="single" w:color="auto" w:sz="4" w:space="0"/>
              <w:left w:val="single" w:color="auto" w:sz="4" w:space="0"/>
              <w:bottom w:val="single" w:color="auto" w:sz="4" w:space="0"/>
              <w:right w:val="single" w:color="auto" w:sz="4" w:space="0"/>
            </w:tcBorders>
          </w:tcPr>
          <w:p>
            <w:pPr>
              <w:pStyle w:val="103"/>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pStyle w:val="103"/>
            </w:pPr>
            <w:r>
              <w:t>Test Frequencies as specified in</w:t>
            </w:r>
          </w:p>
          <w:p>
            <w:pPr>
              <w:pStyle w:val="103"/>
            </w:pPr>
            <w:r>
              <w:t>TS36.508 [12] subclause 4.3.1</w:t>
            </w:r>
          </w:p>
        </w:tc>
        <w:tc>
          <w:tcPr>
            <w:tcW w:w="4664" w:type="dxa"/>
            <w:gridSpan w:val="3"/>
            <w:tcBorders>
              <w:top w:val="single" w:color="auto" w:sz="4" w:space="0"/>
              <w:left w:val="single" w:color="auto" w:sz="4" w:space="0"/>
              <w:bottom w:val="single" w:color="auto" w:sz="4" w:space="0"/>
              <w:right w:val="single" w:color="auto" w:sz="4" w:space="0"/>
            </w:tcBorders>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pStyle w:val="103"/>
            </w:pPr>
            <w:r>
              <w:t>Test Channel Bandwidths as specified in TS 36.508 [12] subclause 4.3.1</w:t>
            </w:r>
          </w:p>
        </w:tc>
        <w:tc>
          <w:tcPr>
            <w:tcW w:w="4664" w:type="dxa"/>
            <w:gridSpan w:val="3"/>
            <w:tcBorders>
              <w:top w:val="single" w:color="auto" w:sz="4" w:space="0"/>
              <w:left w:val="single" w:color="auto" w:sz="4" w:space="0"/>
              <w:bottom w:val="single" w:color="auto" w:sz="4" w:space="0"/>
              <w:right w:val="single" w:color="auto" w:sz="4" w:space="0"/>
            </w:tcBorders>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60" w:type="dxa"/>
            <w:gridSpan w:val="6"/>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6" w:type="dxa"/>
            <w:gridSpan w:val="3"/>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3498"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pStyle w:val="104"/>
            </w:pPr>
            <w:r>
              <w:t>Ch BW</w:t>
            </w:r>
          </w:p>
        </w:tc>
        <w:tc>
          <w:tcPr>
            <w:tcW w:w="1165" w:type="dxa"/>
            <w:tcBorders>
              <w:top w:val="single" w:color="auto" w:sz="4" w:space="0"/>
              <w:left w:val="single" w:color="auto" w:sz="4" w:space="0"/>
              <w:bottom w:val="single" w:color="auto" w:sz="4" w:space="0"/>
              <w:right w:val="single" w:color="auto" w:sz="4" w:space="0"/>
            </w:tcBorders>
          </w:tcPr>
          <w:p>
            <w:pPr>
              <w:pStyle w:val="104"/>
            </w:pPr>
            <w:r>
              <w:t>Mod'n</w:t>
            </w:r>
          </w:p>
        </w:tc>
        <w:tc>
          <w:tcPr>
            <w:tcW w:w="2331" w:type="dxa"/>
            <w:gridSpan w:val="2"/>
            <w:tcBorders>
              <w:top w:val="single" w:color="auto" w:sz="4" w:space="0"/>
              <w:left w:val="single" w:color="auto" w:sz="4" w:space="0"/>
              <w:bottom w:val="single" w:color="auto" w:sz="4" w:space="0"/>
              <w:right w:val="single" w:color="auto" w:sz="4" w:space="0"/>
            </w:tcBorders>
          </w:tcPr>
          <w:p>
            <w:pPr>
              <w:pStyle w:val="104"/>
            </w:pPr>
            <w:r>
              <w:t>RB allocation</w:t>
            </w:r>
          </w:p>
        </w:tc>
        <w:tc>
          <w:tcPr>
            <w:tcW w:w="1166" w:type="dxa"/>
            <w:tcBorders>
              <w:top w:val="single" w:color="auto" w:sz="4" w:space="0"/>
              <w:left w:val="single" w:color="auto" w:sz="4" w:space="0"/>
              <w:bottom w:val="single" w:color="auto" w:sz="4" w:space="0"/>
              <w:right w:val="single" w:color="auto" w:sz="4" w:space="0"/>
            </w:tcBorders>
          </w:tcPr>
          <w:p>
            <w:pPr>
              <w:pStyle w:val="104"/>
            </w:pPr>
            <w:r>
              <w:t>Mod'n</w:t>
            </w:r>
          </w:p>
        </w:tc>
        <w:tc>
          <w:tcPr>
            <w:tcW w:w="2332" w:type="dxa"/>
            <w:tcBorders>
              <w:top w:val="single" w:color="auto" w:sz="4" w:space="0"/>
              <w:left w:val="single" w:color="auto" w:sz="4" w:space="0"/>
              <w:bottom w:val="single" w:color="auto" w:sz="4" w:space="0"/>
              <w:right w:val="single" w:color="auto" w:sz="4" w:space="0"/>
            </w:tcBorders>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p>
        </w:tc>
        <w:tc>
          <w:tcPr>
            <w:tcW w:w="1165" w:type="dxa"/>
            <w:tcBorders>
              <w:top w:val="single" w:color="auto" w:sz="4" w:space="0"/>
              <w:left w:val="single" w:color="auto" w:sz="4" w:space="0"/>
              <w:bottom w:val="single" w:color="auto" w:sz="4" w:space="0"/>
              <w:right w:val="single" w:color="auto" w:sz="4" w:space="0"/>
            </w:tcBorders>
          </w:tcPr>
          <w:p>
            <w:pPr>
              <w:pStyle w:val="105"/>
            </w:pPr>
          </w:p>
        </w:tc>
        <w:tc>
          <w:tcPr>
            <w:tcW w:w="2331" w:type="dxa"/>
            <w:gridSpan w:val="2"/>
            <w:tcBorders>
              <w:top w:val="single" w:color="auto" w:sz="4" w:space="0"/>
              <w:left w:val="single" w:color="auto" w:sz="4" w:space="0"/>
              <w:bottom w:val="single" w:color="auto" w:sz="4" w:space="0"/>
              <w:right w:val="single" w:color="auto" w:sz="4" w:space="0"/>
            </w:tcBorders>
          </w:tcPr>
          <w:p>
            <w:pPr>
              <w:pStyle w:val="105"/>
            </w:pPr>
            <w:r>
              <w:t>FDD</w:t>
            </w:r>
          </w:p>
        </w:tc>
        <w:tc>
          <w:tcPr>
            <w:tcW w:w="1166" w:type="dxa"/>
            <w:tcBorders>
              <w:top w:val="single" w:color="auto" w:sz="4" w:space="0"/>
              <w:left w:val="single" w:color="auto" w:sz="4" w:space="0"/>
              <w:bottom w:val="single" w:color="auto" w:sz="4" w:space="0"/>
              <w:right w:val="single" w:color="auto" w:sz="4" w:space="0"/>
            </w:tcBorders>
          </w:tcPr>
          <w:p>
            <w:pPr>
              <w:pStyle w:val="105"/>
            </w:pPr>
          </w:p>
        </w:tc>
        <w:tc>
          <w:tcPr>
            <w:tcW w:w="2332"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1165" w:type="dxa"/>
            <w:tcBorders>
              <w:top w:val="single" w:color="auto" w:sz="4" w:space="0"/>
              <w:left w:val="single" w:color="auto" w:sz="4" w:space="0"/>
              <w:bottom w:val="single" w:color="auto" w:sz="4" w:space="0"/>
              <w:right w:val="single" w:color="auto" w:sz="4" w:space="0"/>
            </w:tcBorders>
          </w:tcPr>
          <w:p>
            <w:pPr>
              <w:pStyle w:val="105"/>
            </w:pPr>
            <w:r>
              <w:t>QPSK</w:t>
            </w:r>
          </w:p>
        </w:tc>
        <w:tc>
          <w:tcPr>
            <w:tcW w:w="2331" w:type="dxa"/>
            <w:gridSpan w:val="2"/>
            <w:tcBorders>
              <w:top w:val="single" w:color="auto" w:sz="4" w:space="0"/>
              <w:left w:val="single" w:color="auto" w:sz="4" w:space="0"/>
              <w:bottom w:val="single" w:color="auto" w:sz="4" w:space="0"/>
              <w:right w:val="single" w:color="auto" w:sz="4" w:space="0"/>
            </w:tcBorders>
          </w:tcPr>
          <w:p>
            <w:pPr>
              <w:pStyle w:val="105"/>
            </w:pPr>
            <w:r>
              <w:t>4</w:t>
            </w:r>
          </w:p>
        </w:tc>
        <w:tc>
          <w:tcPr>
            <w:tcW w:w="1166" w:type="dxa"/>
            <w:tcBorders>
              <w:top w:val="single" w:color="auto" w:sz="4" w:space="0"/>
              <w:left w:val="single" w:color="auto" w:sz="4" w:space="0"/>
              <w:bottom w:val="single" w:color="auto" w:sz="4" w:space="0"/>
              <w:right w:val="single" w:color="auto" w:sz="4" w:space="0"/>
            </w:tcBorders>
          </w:tcPr>
          <w:p>
            <w:pPr>
              <w:pStyle w:val="105"/>
            </w:pPr>
            <w:r>
              <w:t>QPSK</w:t>
            </w:r>
          </w:p>
        </w:tc>
        <w:tc>
          <w:tcPr>
            <w:tcW w:w="2332" w:type="dxa"/>
            <w:tcBorders>
              <w:top w:val="single" w:color="auto" w:sz="4" w:space="0"/>
              <w:left w:val="single" w:color="auto" w:sz="4" w:space="0"/>
              <w:bottom w:val="single" w:color="auto" w:sz="4" w:space="0"/>
              <w:right w:val="single" w:color="auto" w:sz="4" w:space="0"/>
            </w:tcBorders>
          </w:tcPr>
          <w:p>
            <w:pPr>
              <w:pStyle w:val="105"/>
            </w:pPr>
            <w:r>
              <w:t>6</w:t>
            </w:r>
          </w:p>
        </w:tc>
      </w:tr>
    </w:tbl>
    <w:p/>
    <w:p>
      <w:pPr>
        <w:pStyle w:val="111"/>
        <w:overflowPunct w:val="0"/>
        <w:autoSpaceDE w:val="0"/>
        <w:autoSpaceDN w:val="0"/>
        <w:adjustRightInd w:val="0"/>
        <w:contextualSpacing w:val="0"/>
        <w:textAlignment w:val="baseline"/>
        <w:rPr>
          <w:lang w:eastAsia="en-GB"/>
        </w:rPr>
      </w:pPr>
      <w:r>
        <w:rPr>
          <w:lang w:eastAsia="en-GB"/>
        </w:rPr>
        <w:t>1.</w:t>
      </w:r>
      <w:r>
        <w:rPr>
          <w:lang w:eastAsia="en-GB"/>
        </w:rPr>
        <w:tab/>
      </w:r>
      <w:r>
        <w:rPr>
          <w:lang w:eastAsia="en-GB"/>
        </w:rPr>
        <w:t>Connect the SS to the UE antenna connectors as shown in TS 36.508[12] Annex A Figure A.3 using only main UE Tx/Rx antenna.</w:t>
      </w:r>
    </w:p>
    <w:p>
      <w:pPr>
        <w:pStyle w:val="111"/>
        <w:overflowPunct w:val="0"/>
        <w:autoSpaceDE w:val="0"/>
        <w:autoSpaceDN w:val="0"/>
        <w:adjustRightInd w:val="0"/>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lang w:eastAsia="en-GB"/>
        </w:rPr>
        <w:t>3.</w:t>
      </w:r>
      <w:r>
        <w:rPr>
          <w:lang w:eastAsia="en-GB"/>
        </w:rPr>
        <w:tab/>
      </w:r>
      <w:r>
        <w:rPr>
          <w:lang w:eastAsia="en-GB"/>
        </w:rPr>
        <w:t>Downlink signals are initially set up according to Annex C0, C.1 and C.3.1, and uplink signals according to Annex H.1 and H.3.1.</w:t>
      </w:r>
    </w:p>
    <w:p>
      <w:pPr>
        <w:pStyle w:val="111"/>
        <w:overflowPunct w:val="0"/>
        <w:autoSpaceDE w:val="0"/>
        <w:autoSpaceDN w:val="0"/>
        <w:adjustRightInd w:val="0"/>
        <w:contextualSpacing w:val="0"/>
        <w:textAlignment w:val="baseline"/>
        <w:rPr>
          <w:lang w:eastAsia="en-GB"/>
        </w:rPr>
      </w:pPr>
      <w:r>
        <w:rPr>
          <w:lang w:eastAsia="en-GB"/>
        </w:rPr>
        <w:t>4.</w:t>
      </w:r>
      <w:r>
        <w:rPr>
          <w:lang w:eastAsia="en-GB"/>
        </w:rPr>
        <w:tab/>
      </w:r>
      <w:r>
        <w:rPr>
          <w:lang w:eastAsia="en-GB"/>
        </w:rPr>
        <w:t>The UL and DL Reference Measurement channels are set according to Table 7.3A.4.1-1.</w:t>
      </w:r>
    </w:p>
    <w:p>
      <w:pPr>
        <w:pStyle w:val="111"/>
        <w:overflowPunct w:val="0"/>
        <w:autoSpaceDE w:val="0"/>
        <w:autoSpaceDN w:val="0"/>
        <w:adjustRightInd w:val="0"/>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contextualSpacing w:val="0"/>
        <w:textAlignment w:val="baseline"/>
        <w:rPr>
          <w:rFonts w:eastAsia="Times New Roman"/>
          <w:lang w:eastAsia="en-GB"/>
        </w:rPr>
      </w:pPr>
      <w:r>
        <w:rPr>
          <w:rFonts w:hint="eastAsia" w:eastAsia="Times New Roman"/>
          <w:lang w:eastAsia="en-GB"/>
        </w:rPr>
        <w:t>6.</w:t>
      </w:r>
      <w:r>
        <w:rPr>
          <w:rFonts w:hint="eastAsia" w:eastAsia="Times New Roman"/>
          <w:lang w:eastAsia="en-GB"/>
        </w:rPr>
        <w:tab/>
      </w:r>
      <w:r>
        <w:rPr>
          <w:rFonts w:hint="eastAsia" w:eastAsia="Times New Roman"/>
          <w:lang w:eastAsia="en-GB"/>
        </w:rPr>
        <w:t xml:space="preserve">UE location according to TS 36.508 [12] clause </w:t>
      </w:r>
      <w:r>
        <w:rPr>
          <w:rFonts w:eastAsia="Times New Roman"/>
          <w:lang w:eastAsia="en-GB"/>
        </w:rPr>
        <w:t>5</w:t>
      </w:r>
      <w:r>
        <w:rPr>
          <w:rFonts w:hint="eastAsia" w:eastAsia="Times New Roman"/>
          <w:lang w:eastAsia="en-GB"/>
        </w:rPr>
        <w:t>.</w:t>
      </w:r>
      <w:r>
        <w:rPr>
          <w:rFonts w:eastAsia="Times New Roman"/>
          <w:lang w:eastAsia="en-GB"/>
        </w:rPr>
        <w:t>6.1</w:t>
      </w:r>
      <w:r>
        <w:rPr>
          <w:rFonts w:hint="eastAsia" w:eastAsia="Times New Roman"/>
          <w:lang w:eastAsia="en-GB"/>
        </w:rPr>
        <w:t xml:space="preserve"> is provided to the UE through any preconfigured means.</w:t>
      </w:r>
    </w:p>
    <w:p>
      <w:pPr>
        <w:pStyle w:val="111"/>
        <w:overflowPunct w:val="0"/>
        <w:autoSpaceDE w:val="0"/>
        <w:autoSpaceDN w:val="0"/>
        <w:adjustRightInd w:val="0"/>
        <w:contextualSpacing w:val="0"/>
        <w:textAlignment w:val="baseline"/>
        <w:rPr>
          <w:lang w:eastAsia="en-GB"/>
        </w:rPr>
      </w:pPr>
      <w:r>
        <w:rPr>
          <w:rFonts w:hint="eastAsia" w:eastAsia="Times New Roman"/>
          <w:lang w:eastAsia="en-GB"/>
        </w:rPr>
        <w:t>7.</w:t>
      </w:r>
      <w:r>
        <w:rPr>
          <w:rFonts w:hint="eastAsia" w:eastAsia="Times New Roman"/>
          <w:lang w:eastAsia="en-GB"/>
        </w:rPr>
        <w:tab/>
      </w:r>
      <w:r>
        <w:rPr>
          <w:lang w:eastAsia="en-GB"/>
        </w:rPr>
        <w:t xml:space="preserve">Test equipment shall emulate </w:t>
      </w:r>
      <w:r>
        <w:rPr>
          <w:rFonts w:hint="eastAsia"/>
          <w:color w:val="auto"/>
          <w:lang w:eastAsia="en-GB"/>
        </w:rPr>
        <w:t xml:space="preserve">the signal with doppler and delay according to ephemeris defined in TS 36.508 [12] table </w:t>
      </w:r>
      <w:r>
        <w:rPr>
          <w:color w:val="auto"/>
          <w:lang w:eastAsia="en-GB"/>
        </w:rPr>
        <w:t>5</w:t>
      </w:r>
      <w:r>
        <w:rPr>
          <w:rFonts w:hint="eastAsia"/>
          <w:color w:val="auto"/>
          <w:lang w:eastAsia="en-GB"/>
        </w:rPr>
        <w:t xml:space="preserve">.6.2.1-1 for GSO if UE supports only GSO or both GSO and NGSO satellites and table </w:t>
      </w:r>
      <w:r>
        <w:rPr>
          <w:color w:val="auto"/>
          <w:lang w:eastAsia="en-GB"/>
        </w:rPr>
        <w:t>5</w:t>
      </w:r>
      <w:r>
        <w:rPr>
          <w:rFonts w:hint="eastAsia"/>
          <w:color w:val="auto"/>
          <w:lang w:eastAsia="en-GB"/>
        </w:rPr>
        <w:t>.6.2.1-3 for NGSO (LEO-1200) if UE supports only NGSO satellites</w:t>
      </w:r>
      <w:r>
        <w:rPr>
          <w:lang w:eastAsia="en-GB"/>
        </w:rPr>
        <w:t>. Test system shall send same SIB31 information during the duration of the test as define in TS 36.508[12] clause 5</w:t>
      </w:r>
      <w:r>
        <w:rPr>
          <w:rFonts w:hint="eastAsia"/>
          <w:lang w:eastAsia="en-GB"/>
        </w:rPr>
        <w:t>.6.</w:t>
      </w:r>
      <w:r>
        <w:rPr>
          <w:lang w:eastAsia="en-GB"/>
        </w:rPr>
        <w:t>3</w:t>
      </w:r>
      <w:r>
        <w:rPr>
          <w:rFonts w:hint="eastAsia"/>
          <w:lang w:eastAsia="en-GB"/>
        </w:rPr>
        <w:t>.1</w:t>
      </w:r>
    </w:p>
    <w:p>
      <w:pPr>
        <w:pStyle w:val="11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r>
      <w:r>
        <w:rPr>
          <w:lang w:eastAsia="en-GB"/>
        </w:rPr>
        <w:t xml:space="preserve">Deactivate UE prediction of satellite trajectory by any preconfigured means  </w:t>
      </w:r>
    </w:p>
    <w:p>
      <w:pPr>
        <w:pStyle w:val="111"/>
        <w:overflowPunct w:val="0"/>
        <w:autoSpaceDE w:val="0"/>
        <w:autoSpaceDN w:val="0"/>
        <w:adjustRightInd w:val="0"/>
        <w:contextualSpacing w:val="0"/>
        <w:textAlignment w:val="baseline"/>
        <w:rPr>
          <w:lang w:eastAsia="en-GB"/>
        </w:rPr>
      </w:pPr>
      <w:r>
        <w:rPr>
          <w:lang w:eastAsia="en-GB"/>
        </w:rPr>
        <w:t>9.</w:t>
      </w:r>
      <w:r>
        <w:rPr>
          <w:lang w:eastAsia="en-GB"/>
        </w:rPr>
        <w:tab/>
      </w:r>
      <w:r>
        <w:rPr>
          <w:lang w:eastAsia="en-GB"/>
        </w:rPr>
        <w:t>Ensure the UE is in State 3A-RF-CE according to TS 36.508 [12] clause 5.2A.2AA. Message contents are defined in clause 7.3A.4.3.</w:t>
      </w:r>
    </w:p>
    <w:p>
      <w:pPr>
        <w:pStyle w:val="9"/>
      </w:pPr>
      <w:r>
        <w:t>7.3A.4.2</w:t>
      </w:r>
      <w:r>
        <w:tab/>
      </w:r>
      <w:r>
        <w:t>Test procedure</w:t>
      </w:r>
    </w:p>
    <w:p>
      <w:pPr>
        <w:pStyle w:val="111"/>
        <w:overflowPunct w:val="0"/>
        <w:autoSpaceDE w:val="0"/>
        <w:autoSpaceDN w:val="0"/>
        <w:adjustRightInd w:val="0"/>
        <w:contextualSpacing w:val="0"/>
        <w:textAlignment w:val="baseline"/>
        <w:rPr>
          <w:lang w:eastAsia="en-GB"/>
        </w:rPr>
      </w:pPr>
      <w:r>
        <w:rPr>
          <w:lang w:eastAsia="en-GB"/>
        </w:rPr>
        <w:t>1.</w:t>
      </w:r>
      <w:r>
        <w:rPr>
          <w:lang w:eastAsia="en-GB"/>
        </w:rPr>
        <w:tab/>
      </w:r>
      <w:r>
        <w:rPr>
          <w:lang w:eastAsia="en-GB"/>
        </w:rPr>
        <w:t>SS transmits PDSCH via M-PDCCH DCI format 6-1A for C_RNTI to transmit the DL RMC according to Table</w:t>
      </w:r>
      <w:r>
        <w:rPr>
          <w:rFonts w:eastAsia="Times New Roman"/>
          <w:lang w:eastAsia="en-GB"/>
        </w:rPr>
        <w:t xml:space="preserve"> </w:t>
      </w:r>
      <w:r>
        <w:rPr>
          <w:lang w:eastAsia="en-GB"/>
        </w:rPr>
        <w:t xml:space="preserve">7.3A.4.1-1. The SS sends downlink MAC padding bits on the DL RMC. The SS sends one sided dynamic OCNG Pattern OP.1 FDD for the DL-signal as described in Annex A.5.1.1/A.5.2.1. </w:t>
      </w:r>
    </w:p>
    <w:p>
      <w:pPr>
        <w:pStyle w:val="111"/>
        <w:overflowPunct w:val="0"/>
        <w:autoSpaceDE w:val="0"/>
        <w:autoSpaceDN w:val="0"/>
        <w:adjustRightInd w:val="0"/>
        <w:contextualSpacing w:val="0"/>
        <w:textAlignment w:val="baseline"/>
        <w:rPr>
          <w:lang w:eastAsia="en-GB"/>
        </w:rPr>
      </w:pPr>
      <w:r>
        <w:rPr>
          <w:lang w:eastAsia="en-GB"/>
        </w:rPr>
        <w:t>2.</w:t>
      </w:r>
      <w:r>
        <w:rPr>
          <w:lang w:eastAsia="en-GB"/>
        </w:rPr>
        <w:tab/>
      </w:r>
      <w:r>
        <w:rPr>
          <w:lang w:eastAsia="en-GB"/>
        </w:rPr>
        <w:t>SS sends uplink scheduling information for each UL HARQ process via MPDCCH DCI format 6-0A for C_RNTI to schedule the UL RMC according to Table</w:t>
      </w:r>
      <w:r>
        <w:rPr>
          <w:rFonts w:eastAsia="Times New Roman"/>
          <w:lang w:eastAsia="en-GB"/>
        </w:rPr>
        <w:t xml:space="preserve"> 7.3A.4.1-1</w:t>
      </w:r>
      <w:r>
        <w:rPr>
          <w:lang w:eastAsia="en-GB"/>
        </w:rPr>
        <w:t>.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lang w:eastAsia="en-GB"/>
        </w:rPr>
        <w:t>3.</w:t>
      </w:r>
      <w:r>
        <w:rPr>
          <w:lang w:eastAsia="en-GB"/>
        </w:rPr>
        <w:tab/>
      </w:r>
      <w:r>
        <w:rPr>
          <w:lang w:eastAsia="en-GB"/>
        </w:rPr>
        <w:t>Set the Downlink signal level to the appropriate REFSENS value defined in Table 7.3A.5-1 for FDD and in Table 7.3A.5-2 for HD-FDD. Send continuously uplink power control "up" commands in the uplink scheduling information to the UE to ensure the UE transmits P</w:t>
      </w:r>
      <w:r>
        <w:rPr>
          <w:vertAlign w:val="baseline"/>
          <w:lang w:eastAsia="en-GB"/>
        </w:rPr>
        <w:t>UMAX</w:t>
      </w:r>
      <w:r>
        <w:rPr>
          <w:lang w:eastAsia="en-GB"/>
        </w:rPr>
        <w:t xml:space="preserve"> level for at least the duration of the Throughput measurement</w:t>
      </w:r>
      <w:r>
        <w:rPr>
          <w:rFonts w:eastAsia="Times New Roman"/>
          <w:lang w:eastAsia="en-GB"/>
        </w:rPr>
        <w:t>.</w:t>
      </w:r>
    </w:p>
    <w:p>
      <w:pPr>
        <w:pStyle w:val="111"/>
        <w:overflowPunct w:val="0"/>
        <w:autoSpaceDE w:val="0"/>
        <w:autoSpaceDN w:val="0"/>
        <w:adjustRightInd w:val="0"/>
        <w:contextualSpacing w:val="0"/>
        <w:textAlignment w:val="baseline"/>
        <w:rPr>
          <w:lang w:eastAsia="en-GB"/>
        </w:rPr>
      </w:pPr>
      <w:r>
        <w:rPr>
          <w:lang w:eastAsia="en-GB"/>
        </w:rPr>
        <w:t>4.</w:t>
      </w:r>
      <w:r>
        <w:rPr>
          <w:lang w:eastAsia="en-GB"/>
        </w:rPr>
        <w:tab/>
      </w:r>
      <w:r>
        <w:rPr>
          <w:lang w:eastAsia="en-GB"/>
        </w:rPr>
        <w:t>Measure the average throughput for duration sufficient to achieve statistical significance according to Annex G.2.</w:t>
      </w:r>
    </w:p>
    <w:p>
      <w:pPr>
        <w:pStyle w:val="9"/>
      </w:pPr>
      <w:r>
        <w:t>7.3A.4.3</w:t>
      </w:r>
      <w:r>
        <w:tab/>
      </w:r>
      <w:r>
        <w:t>Message contents</w:t>
      </w:r>
    </w:p>
    <w:p>
      <w:r>
        <w:t>Message contents are according to TS 36.508 [12] subclause 4.6 with the following exceptions.</w:t>
      </w:r>
    </w:p>
    <w:p>
      <w:pPr>
        <w:pStyle w:val="113"/>
      </w:pPr>
      <w:r>
        <w:t xml:space="preserve">Table </w:t>
      </w:r>
      <w:r>
        <w:rPr>
          <w:snapToGrid w:val="0"/>
        </w:rPr>
        <w:t>7.3A.4.3-1</w:t>
      </w:r>
      <w:r>
        <w:t>: EPDCCH-Config-r11-DEFAULT</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4535"/>
        <w:gridCol w:w="2267"/>
        <w:gridCol w:w="1700"/>
        <w:gridCol w:w="11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9635" w:type="dxa"/>
            <w:gridSpan w:val="4"/>
          </w:tcPr>
          <w:p>
            <w:pPr>
              <w:pStyle w:val="103"/>
            </w:pPr>
            <w:r>
              <w:t>Derivation Path: 36.508 Table 4.6.3-2B</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Pr>
          <w:p>
            <w:pPr>
              <w:pStyle w:val="103"/>
            </w:pPr>
            <w:r>
              <w:t xml:space="preserve">          mpdcch-NumRepetition-r13</w:t>
            </w:r>
          </w:p>
        </w:tc>
        <w:tc>
          <w:tcPr>
            <w:tcW w:w="2267" w:type="dxa"/>
          </w:tcPr>
          <w:p>
            <w:pPr>
              <w:pStyle w:val="103"/>
            </w:pPr>
            <w:r>
              <w:t>r1</w:t>
            </w:r>
          </w:p>
        </w:tc>
        <w:tc>
          <w:tcPr>
            <w:tcW w:w="1700" w:type="dxa"/>
          </w:tcPr>
          <w:p>
            <w:pPr>
              <w:pStyle w:val="103"/>
            </w:pPr>
          </w:p>
        </w:tc>
        <w:tc>
          <w:tcPr>
            <w:tcW w:w="1133" w:type="dxa"/>
          </w:tcPr>
          <w:p>
            <w:pPr>
              <w:pStyle w:val="103"/>
            </w:pPr>
          </w:p>
        </w:tc>
      </w:tr>
    </w:tbl>
    <w:p/>
    <w:p>
      <w:pPr>
        <w:pStyle w:val="9"/>
      </w:pPr>
      <w:r>
        <w:rPr>
          <w:snapToGrid w:val="0"/>
        </w:rPr>
        <w:t>7.3A.4.3.1</w:t>
      </w:r>
      <w:r>
        <w:rPr>
          <w:snapToGrid w:val="0"/>
        </w:rPr>
        <w:tab/>
      </w:r>
      <w:r>
        <w:rPr>
          <w:snapToGrid w:val="0"/>
        </w:rPr>
        <w:t xml:space="preserve">Message contents exceptions </w:t>
      </w:r>
      <w:r>
        <w:t>(network signalled value "NS_01")</w:t>
      </w:r>
    </w:p>
    <w:p>
      <w:pPr>
        <w:rPr>
          <w:snapToGrid w:val="0"/>
        </w:rPr>
      </w:pPr>
      <w:r>
        <w:t>Message contents according to TS 36.508 [12] subclause 4.6 can be used without exceptions.</w:t>
      </w:r>
    </w:p>
    <w:p>
      <w:pPr>
        <w:pStyle w:val="9"/>
      </w:pPr>
      <w:r>
        <w:rPr>
          <w:snapToGrid w:val="0"/>
        </w:rPr>
        <w:t>7.3A.4.3.2</w:t>
      </w:r>
      <w:r>
        <w:rPr>
          <w:snapToGrid w:val="0"/>
        </w:rPr>
        <w:tab/>
      </w:r>
      <w:r>
        <w:rPr>
          <w:snapToGrid w:val="0"/>
        </w:rPr>
        <w:t xml:space="preserve">Message contents exceptions </w:t>
      </w:r>
      <w:r>
        <w:t>(network signalled value "NS_02N")</w:t>
      </w:r>
    </w:p>
    <w:p>
      <w:r>
        <w:t xml:space="preserve">Information element additionalSpectrumEmission is set to NS_02N. This can be set in the </w:t>
      </w:r>
      <w:r>
        <w:rPr>
          <w:i w:val="0"/>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7.3A.4.3.2-1</w:t>
      </w:r>
      <w:r>
        <w:t xml:space="preserve">: </w:t>
      </w:r>
      <w:r>
        <w:rPr>
          <w:i/>
        </w:rPr>
        <w:t>SystemInformationBlockType2</w:t>
      </w:r>
      <w:r>
        <w:t>: Additional spurious emissions test requirement for "NS_02N"</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7" w:type="dxa"/>
            <w:gridSpan w:val="4"/>
          </w:tcPr>
          <w:p>
            <w:pPr>
              <w:pStyle w:val="103"/>
            </w:pPr>
            <w:r>
              <w:t>Derivation Path: TS 36.508 [12] clause 4.4.3.3, Table 4.4.3.3-1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3"/>
            </w:pPr>
            <w:r>
              <w:t xml:space="preserve">    additionalSpectrumEmission</w:t>
            </w:r>
          </w:p>
        </w:tc>
        <w:tc>
          <w:tcPr>
            <w:tcW w:w="2267" w:type="dxa"/>
          </w:tcPr>
          <w:p>
            <w:pPr>
              <w:pStyle w:val="103"/>
            </w:pPr>
            <w:r>
              <w:t>2 (NS_02N)</w:t>
            </w:r>
          </w:p>
        </w:tc>
        <w:tc>
          <w:tcPr>
            <w:tcW w:w="1700" w:type="dxa"/>
          </w:tcPr>
          <w:p>
            <w:pPr>
              <w:pStyle w:val="103"/>
            </w:pPr>
          </w:p>
        </w:tc>
        <w:tc>
          <w:tcPr>
            <w:tcW w:w="1133" w:type="dxa"/>
          </w:tcPr>
          <w:p>
            <w:pPr>
              <w:pStyle w:val="103"/>
            </w:pPr>
          </w:p>
        </w:tc>
      </w:tr>
    </w:tbl>
    <w:p>
      <w:pPr>
        <w:rPr>
          <w:snapToGrid w:val="0"/>
        </w:rPr>
      </w:pPr>
    </w:p>
    <w:p>
      <w:pPr>
        <w:pStyle w:val="9"/>
      </w:pPr>
      <w:r>
        <w:rPr>
          <w:snapToGrid w:val="0"/>
        </w:rPr>
        <w:t>7.3A.4.3.3</w:t>
      </w:r>
      <w:r>
        <w:rPr>
          <w:snapToGrid w:val="0"/>
        </w:rPr>
        <w:tab/>
      </w:r>
      <w:r>
        <w:rPr>
          <w:snapToGrid w:val="0"/>
        </w:rPr>
        <w:t xml:space="preserve">Message contents exceptions </w:t>
      </w:r>
      <w:r>
        <w:t>(network signalled value "NS_24")</w:t>
      </w:r>
    </w:p>
    <w:p>
      <w:r>
        <w:t xml:space="preserve">Information element additionalSpectrumEmission is set to NS_24. This can be set in the </w:t>
      </w:r>
      <w:r>
        <w:rPr>
          <w:i w:val="0"/>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7.3EA.4.3.3-1</w:t>
      </w:r>
      <w:r>
        <w:t xml:space="preserve">: </w:t>
      </w:r>
      <w:r>
        <w:rPr>
          <w:i/>
        </w:rPr>
        <w:t>SystemInformationBlockType2</w:t>
      </w:r>
      <w:r>
        <w:t>: Additional spurious emissions test requirement for "NS_24"</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7" w:type="dxa"/>
            <w:gridSpan w:val="4"/>
          </w:tcPr>
          <w:p>
            <w:pPr>
              <w:pStyle w:val="103"/>
            </w:pPr>
            <w:r>
              <w:t>Derivation Path: TS 36.508 [12] clause 4.4.3.3, Table 4.4.3.3-1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3"/>
            </w:pPr>
            <w:r>
              <w:t xml:space="preserve">    additionalSpectrumEmission</w:t>
            </w:r>
          </w:p>
        </w:tc>
        <w:tc>
          <w:tcPr>
            <w:tcW w:w="2267" w:type="dxa"/>
          </w:tcPr>
          <w:p>
            <w:pPr>
              <w:pStyle w:val="103"/>
            </w:pPr>
            <w:r>
              <w:t>24 (NS_24)</w:t>
            </w:r>
          </w:p>
        </w:tc>
        <w:tc>
          <w:tcPr>
            <w:tcW w:w="1700" w:type="dxa"/>
          </w:tcPr>
          <w:p>
            <w:pPr>
              <w:pStyle w:val="103"/>
            </w:pPr>
          </w:p>
        </w:tc>
        <w:tc>
          <w:tcPr>
            <w:tcW w:w="1133" w:type="dxa"/>
          </w:tcPr>
          <w:p>
            <w:pPr>
              <w:pStyle w:val="103"/>
            </w:pPr>
          </w:p>
        </w:tc>
      </w:tr>
    </w:tbl>
    <w:p/>
    <w:p>
      <w:pPr>
        <w:pStyle w:val="9"/>
      </w:pPr>
      <w:r>
        <w:t>7.3A.5</w:t>
      </w:r>
      <w:r>
        <w:tab/>
      </w:r>
      <w:r>
        <w:t>Test requirement</w:t>
      </w:r>
    </w:p>
    <w:p>
      <w:r>
        <w:t>The throughput shall be ≥ 95% of the maximum throughput of the reference measurement channels as specified in Annexes A.2.2, A.2.3 and A.3.2 with parameters specified in Table 7.3A.5-1 and Table 7.3A.5-2.</w:t>
      </w:r>
    </w:p>
    <w:p>
      <w:pPr>
        <w:pStyle w:val="113"/>
      </w:pPr>
      <w:r>
        <w:t>Table 7.3A.5-1: Reference sensitivity for FDD UE category M1 QPSK P</w:t>
      </w:r>
      <w:r>
        <w:rPr>
          <w:vertAlign w:val="subscript"/>
        </w:rPr>
        <w:t>REFSENS</w:t>
      </w:r>
    </w:p>
    <w:tbl>
      <w:tblPr>
        <w:tblStyle w:val="89"/>
        <w:tblW w:w="8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3827"/>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701" w:type="dxa"/>
            <w:shd w:val="clear" w:color="auto" w:fill="auto"/>
            <w:vAlign w:val="center"/>
          </w:tcPr>
          <w:p>
            <w:pPr>
              <w:pStyle w:val="104"/>
              <w:rPr>
                <w:rFonts w:eastAsia="MS Mincho"/>
              </w:rPr>
            </w:pPr>
            <w:r>
              <w:t>NTN Band</w:t>
            </w:r>
          </w:p>
        </w:tc>
        <w:tc>
          <w:tcPr>
            <w:tcW w:w="3827" w:type="dxa"/>
            <w:shd w:val="clear" w:color="auto" w:fill="auto"/>
            <w:vAlign w:val="center"/>
          </w:tcPr>
          <w:p>
            <w:pPr>
              <w:pStyle w:val="104"/>
              <w:rPr>
                <w:rFonts w:eastAsia="MS Mincho"/>
              </w:rPr>
            </w:pPr>
            <w:r>
              <w:t>REFSENS (dBm)</w:t>
            </w:r>
          </w:p>
        </w:tc>
        <w:tc>
          <w:tcPr>
            <w:tcW w:w="2835" w:type="dxa"/>
            <w:shd w:val="clear" w:color="auto" w:fill="auto"/>
            <w:vAlign w:val="center"/>
          </w:tcPr>
          <w:p>
            <w:pPr>
              <w:pStyle w:val="104"/>
              <w:rPr>
                <w:rFonts w:eastAsia="MS Mincho"/>
              </w:rPr>
            </w:pPr>
            <w: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rPr>
            </w:pPr>
            <w:r>
              <w:rPr>
                <w:rFonts w:eastAsia="MS Mincho"/>
              </w:rPr>
              <w:t>255</w:t>
            </w:r>
          </w:p>
        </w:tc>
        <w:tc>
          <w:tcPr>
            <w:tcW w:w="3827" w:type="dxa"/>
            <w:shd w:val="clear" w:color="auto" w:fill="auto"/>
            <w:vAlign w:val="center"/>
          </w:tcPr>
          <w:p>
            <w:pPr>
              <w:pStyle w:val="105"/>
              <w:rPr>
                <w:rFonts w:eastAsia="MS Mincho"/>
              </w:rPr>
            </w:pPr>
            <w:r>
              <w:rPr>
                <w:rFonts w:eastAsia="MS Mincho"/>
              </w:rPr>
              <w:t>-102.7</w:t>
            </w:r>
          </w:p>
        </w:tc>
        <w:tc>
          <w:tcPr>
            <w:tcW w:w="2835" w:type="dxa"/>
            <w:shd w:val="clear" w:color="auto" w:fill="auto"/>
            <w:vAlign w:val="center"/>
          </w:tcPr>
          <w:p>
            <w:pPr>
              <w:pStyle w:val="105"/>
              <w:rPr>
                <w:rFonts w:eastAsia="MS Mincho"/>
              </w:rPr>
            </w:pPr>
            <w:r>
              <w:rPr>
                <w:rFonts w:eastAsia="MS Mincho"/>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rPr>
            </w:pPr>
            <w:r>
              <w:rPr>
                <w:rFonts w:eastAsia="MS Mincho"/>
              </w:rPr>
              <w:t>256</w:t>
            </w:r>
          </w:p>
        </w:tc>
        <w:tc>
          <w:tcPr>
            <w:tcW w:w="3827" w:type="dxa"/>
            <w:shd w:val="clear" w:color="auto" w:fill="auto"/>
            <w:vAlign w:val="center"/>
          </w:tcPr>
          <w:p>
            <w:pPr>
              <w:pStyle w:val="105"/>
              <w:rPr>
                <w:rFonts w:eastAsia="MS Mincho"/>
              </w:rPr>
            </w:pPr>
            <w:r>
              <w:rPr>
                <w:rFonts w:eastAsia="MS Mincho"/>
              </w:rPr>
              <w:t>-102.2</w:t>
            </w:r>
          </w:p>
        </w:tc>
        <w:tc>
          <w:tcPr>
            <w:tcW w:w="2835" w:type="dxa"/>
            <w:shd w:val="clear" w:color="auto" w:fill="auto"/>
            <w:vAlign w:val="center"/>
          </w:tcPr>
          <w:p>
            <w:pPr>
              <w:pStyle w:val="105"/>
              <w:rPr>
                <w:rFonts w:eastAsia="MS Mincho"/>
              </w:rPr>
            </w:pPr>
            <w:r>
              <w:rPr>
                <w:rFonts w:eastAsia="MS Mincho"/>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8363" w:type="dxa"/>
            <w:gridSpan w:val="3"/>
            <w:shd w:val="clear" w:color="auto" w:fill="auto"/>
            <w:vAlign w:val="center"/>
          </w:tcPr>
          <w:p>
            <w:pPr>
              <w:pStyle w:val="118"/>
              <w:rPr>
                <w:rFonts w:eastAsia="MS Mincho"/>
              </w:rPr>
            </w:pPr>
            <w:r>
              <w:rPr>
                <w:lang w:val="en-US"/>
              </w:rPr>
              <w:t>NOTE 1:</w:t>
            </w:r>
            <w:r>
              <w:rPr>
                <w:lang w:val="en-US"/>
              </w:rPr>
              <w:tab/>
            </w:r>
            <w:r>
              <w:rPr>
                <w:lang w:val="en-US"/>
              </w:rPr>
              <w:t>The transmitter shall be set to P</w:t>
            </w:r>
            <w:r>
              <w:rPr>
                <w:vertAlign w:val="subscript"/>
                <w:lang w:val="en-US"/>
              </w:rPr>
              <w:t>UMAX</w:t>
            </w:r>
            <w:r>
              <w:rPr>
                <w:lang w:val="en-US"/>
              </w:rPr>
              <w:t xml:space="preserve"> as defined in subclause 6.2.5</w:t>
            </w:r>
            <w:r>
              <w:t>- in TS 36.101 [7].</w:t>
            </w:r>
          </w:p>
        </w:tc>
      </w:tr>
    </w:tbl>
    <w:p/>
    <w:p>
      <w:pPr>
        <w:pStyle w:val="113"/>
      </w:pPr>
      <w:r>
        <w:t xml:space="preserve">Table 7.3A.5-2: Reference sensitivity for </w:t>
      </w:r>
      <w:r>
        <w:rPr>
          <w:rFonts w:hint="eastAsia"/>
        </w:rPr>
        <w:t xml:space="preserve">HD-FDD </w:t>
      </w:r>
      <w:r>
        <w:t>UE category M1 QPSK P</w:t>
      </w:r>
      <w:r>
        <w:rPr>
          <w:vertAlign w:val="subscript"/>
        </w:rPr>
        <w:t>REFSENS</w:t>
      </w:r>
    </w:p>
    <w:tbl>
      <w:tblPr>
        <w:tblStyle w:val="89"/>
        <w:tblW w:w="8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3827"/>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701" w:type="dxa"/>
            <w:shd w:val="clear" w:color="auto" w:fill="auto"/>
            <w:vAlign w:val="center"/>
          </w:tcPr>
          <w:p>
            <w:pPr>
              <w:pStyle w:val="104"/>
              <w:rPr>
                <w:rFonts w:eastAsia="MS Mincho"/>
              </w:rPr>
            </w:pPr>
            <w:r>
              <w:t>NTN Band</w:t>
            </w:r>
          </w:p>
        </w:tc>
        <w:tc>
          <w:tcPr>
            <w:tcW w:w="3827" w:type="dxa"/>
            <w:shd w:val="clear" w:color="auto" w:fill="auto"/>
            <w:vAlign w:val="center"/>
          </w:tcPr>
          <w:p>
            <w:pPr>
              <w:pStyle w:val="104"/>
              <w:rPr>
                <w:rFonts w:eastAsia="MS Mincho"/>
              </w:rPr>
            </w:pPr>
            <w:r>
              <w:t>REFSENS (dBm)</w:t>
            </w:r>
          </w:p>
        </w:tc>
        <w:tc>
          <w:tcPr>
            <w:tcW w:w="2835" w:type="dxa"/>
            <w:shd w:val="clear" w:color="auto" w:fill="auto"/>
            <w:vAlign w:val="center"/>
          </w:tcPr>
          <w:p>
            <w:pPr>
              <w:pStyle w:val="104"/>
              <w:rPr>
                <w:rFonts w:eastAsia="MS Mincho"/>
              </w:rPr>
            </w:pPr>
            <w: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rPr>
            </w:pPr>
            <w:r>
              <w:rPr>
                <w:rFonts w:eastAsia="MS Mincho"/>
              </w:rPr>
              <w:t>255</w:t>
            </w:r>
          </w:p>
        </w:tc>
        <w:tc>
          <w:tcPr>
            <w:tcW w:w="3827" w:type="dxa"/>
            <w:shd w:val="clear" w:color="auto" w:fill="auto"/>
            <w:vAlign w:val="center"/>
          </w:tcPr>
          <w:p>
            <w:pPr>
              <w:pStyle w:val="105"/>
              <w:rPr>
                <w:rFonts w:eastAsia="MS Mincho"/>
              </w:rPr>
            </w:pPr>
            <w:r>
              <w:rPr>
                <w:rFonts w:eastAsia="MS Mincho"/>
              </w:rPr>
              <w:t>-103.5</w:t>
            </w:r>
          </w:p>
        </w:tc>
        <w:tc>
          <w:tcPr>
            <w:tcW w:w="2835" w:type="dxa"/>
            <w:shd w:val="clear" w:color="auto" w:fill="auto"/>
            <w:vAlign w:val="center"/>
          </w:tcPr>
          <w:p>
            <w:pPr>
              <w:pStyle w:val="105"/>
              <w:rPr>
                <w:rFonts w:eastAsia="MS Mincho"/>
              </w:rPr>
            </w:pPr>
            <w:r>
              <w:rPr>
                <w:rFonts w:eastAsia="MS Mincho"/>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rPr>
            </w:pPr>
            <w:r>
              <w:rPr>
                <w:rFonts w:eastAsia="MS Mincho"/>
              </w:rPr>
              <w:t>256</w:t>
            </w:r>
          </w:p>
        </w:tc>
        <w:tc>
          <w:tcPr>
            <w:tcW w:w="3827" w:type="dxa"/>
            <w:shd w:val="clear" w:color="auto" w:fill="auto"/>
            <w:vAlign w:val="center"/>
          </w:tcPr>
          <w:p>
            <w:pPr>
              <w:pStyle w:val="105"/>
              <w:rPr>
                <w:rFonts w:eastAsia="MS Mincho"/>
              </w:rPr>
            </w:pPr>
            <w:r>
              <w:rPr>
                <w:rFonts w:eastAsia="MS Mincho"/>
              </w:rPr>
              <w:t>-103</w:t>
            </w:r>
          </w:p>
        </w:tc>
        <w:tc>
          <w:tcPr>
            <w:tcW w:w="2835" w:type="dxa"/>
            <w:shd w:val="clear" w:color="auto" w:fill="auto"/>
            <w:vAlign w:val="center"/>
          </w:tcPr>
          <w:p>
            <w:pPr>
              <w:pStyle w:val="105"/>
              <w:rPr>
                <w:rFonts w:eastAsia="MS Mincho"/>
              </w:rPr>
            </w:pPr>
            <w:r>
              <w:rPr>
                <w:rFonts w:eastAsia="MS Mincho"/>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8363" w:type="dxa"/>
            <w:gridSpan w:val="3"/>
            <w:shd w:val="clear" w:color="auto" w:fill="auto"/>
            <w:vAlign w:val="center"/>
          </w:tcPr>
          <w:p>
            <w:pPr>
              <w:pStyle w:val="118"/>
              <w:rPr>
                <w:rFonts w:eastAsia="MS Mincho"/>
              </w:rPr>
            </w:pPr>
            <w:r>
              <w:rPr>
                <w:lang w:val="en-US"/>
              </w:rPr>
              <w:t>NOTE 1:</w:t>
            </w:r>
            <w:r>
              <w:rPr>
                <w:lang w:val="en-US"/>
              </w:rPr>
              <w:tab/>
            </w:r>
            <w:r>
              <w:rPr>
                <w:lang w:val="en-US"/>
              </w:rPr>
              <w:t>The transmitter shall be set to P</w:t>
            </w:r>
            <w:r>
              <w:rPr>
                <w:vertAlign w:val="subscript"/>
                <w:lang w:val="en-US"/>
              </w:rPr>
              <w:t>UMAX</w:t>
            </w:r>
            <w:r>
              <w:rPr>
                <w:lang w:val="en-US"/>
              </w:rPr>
              <w:t xml:space="preserve"> as defined in subclause 6.2.5</w:t>
            </w:r>
            <w:r>
              <w:t xml:space="preserve"> in TS 36.101 [7].</w:t>
            </w:r>
          </w:p>
        </w:tc>
      </w:tr>
    </w:tbl>
    <w:p>
      <w:pPr>
        <w:rPr>
          <w:lang w:eastAsia="zh-TW"/>
        </w:rPr>
      </w:pPr>
    </w:p>
    <w:p>
      <w:pPr>
        <w:pStyle w:val="4"/>
      </w:pPr>
      <w:bookmarkStart w:id="1176" w:name="_Toc2898"/>
      <w:bookmarkStart w:id="1177" w:name="_Toc23694"/>
      <w:bookmarkStart w:id="1178" w:name="_Toc121162885"/>
      <w:bookmarkStart w:id="1179" w:name="_Toc9092"/>
      <w:bookmarkStart w:id="1180" w:name="_Toc21047"/>
      <w:bookmarkStart w:id="1181" w:name="_Toc7376"/>
      <w:bookmarkStart w:id="1182" w:name="_Toc23852"/>
      <w:bookmarkStart w:id="1183" w:name="_Toc23644"/>
      <w:bookmarkStart w:id="1184" w:name="_Toc120570093"/>
      <w:r>
        <w:t>7.3B</w:t>
      </w:r>
      <w:r>
        <w:tab/>
      </w:r>
      <w:r>
        <w:t>Reference sensitivity power level for UE category NB1 and NB2</w:t>
      </w:r>
      <w:bookmarkEnd w:id="1176"/>
      <w:bookmarkEnd w:id="1177"/>
      <w:bookmarkEnd w:id="1178"/>
      <w:bookmarkEnd w:id="1179"/>
      <w:bookmarkEnd w:id="1180"/>
      <w:bookmarkEnd w:id="1181"/>
      <w:bookmarkEnd w:id="1182"/>
      <w:bookmarkEnd w:id="1183"/>
      <w:bookmarkEnd w:id="1184"/>
    </w:p>
    <w:p>
      <w:pPr>
        <w:pStyle w:val="112"/>
        <w:rPr>
          <w:i w:val="0"/>
          <w:iCs w:val="0"/>
          <w:lang w:val="en-GB"/>
        </w:rPr>
      </w:pPr>
      <w:r>
        <w:t>Editor’s Note: Addition to applicability spec is pending.</w:t>
      </w:r>
    </w:p>
    <w:p>
      <w:pPr>
        <w:pStyle w:val="9"/>
      </w:pPr>
      <w:r>
        <w:t>7.3B.1</w:t>
      </w:r>
      <w:r>
        <w:tab/>
      </w:r>
      <w:r>
        <w:t>Test purpose</w:t>
      </w:r>
    </w:p>
    <w:p>
      <w:r>
        <w:t>To verify the UE's ability to receive data with a given average throughput for a specified reference measurement channel, under conditions of low signal level, ideal propagation and no added noise.</w:t>
      </w:r>
    </w:p>
    <w:p>
      <w:r>
        <w:t>A UE unable to meet the throughput requirement under these conditions will decrease the effective coverage area.</w:t>
      </w:r>
    </w:p>
    <w:p>
      <w:pPr>
        <w:pStyle w:val="9"/>
      </w:pPr>
      <w:r>
        <w:t>7.3B.2</w:t>
      </w:r>
      <w:r>
        <w:tab/>
      </w:r>
      <w:r>
        <w:t>Test applicability</w:t>
      </w:r>
    </w:p>
    <w:p>
      <w:r>
        <w:t>This test case applies to all types of NB-IoT</w:t>
      </w:r>
      <w:r>
        <w:rPr>
          <w:lang w:eastAsia="zh-TW"/>
        </w:rPr>
        <w:t xml:space="preserve"> </w:t>
      </w:r>
      <w:r>
        <w:t xml:space="preserve">UE release 17 and forward of category NB1 and NB2 </w:t>
      </w:r>
      <w:r>
        <w:rPr>
          <w:lang w:eastAsia="zh-TW"/>
        </w:rPr>
        <w:t>that support satellite access operation</w:t>
      </w:r>
      <w:r>
        <w:t>.</w:t>
      </w:r>
    </w:p>
    <w:p>
      <w:pPr>
        <w:pStyle w:val="9"/>
      </w:pPr>
      <w:r>
        <w:t>7.3B.3</w:t>
      </w:r>
      <w:r>
        <w:tab/>
      </w:r>
      <w:r>
        <w:t>Minimum conformance requirements</w:t>
      </w:r>
    </w:p>
    <w:p>
      <w:pPr>
        <w:rPr>
          <w:color w:val="auto"/>
        </w:rPr>
      </w:pPr>
      <w:r>
        <w:rPr>
          <w:color w:val="auto"/>
        </w:rPr>
        <w:t>The reference sensitivity power level REFSENS is the minimum mean power applied to the single antenna port for UE category NB1 and category NB2, at which the throughput shall meet or exceed the requirements for the specified reference measurement channel.</w:t>
      </w:r>
    </w:p>
    <w:p>
      <w:pPr>
        <w:rPr>
          <w:color w:val="auto"/>
        </w:rPr>
      </w:pPr>
      <w:r>
        <w:rPr>
          <w:color w:val="auto"/>
        </w:rPr>
        <w:t>The throughput for the REFSENS test is measured based on the Transmission Mode 1 unless specified otherwise.</w:t>
      </w:r>
    </w:p>
    <w:p>
      <w:pPr>
        <w:rPr>
          <w:sz w:val="18"/>
          <w:szCs w:val="18"/>
        </w:rPr>
      </w:pPr>
      <w:r>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p>
    <w:p>
      <w:pPr>
        <w:pStyle w:val="113"/>
      </w:pPr>
      <w:r>
        <w:t>Table 7.3B.3-1: Reference sensitivity for category NB1 and NB2</w:t>
      </w:r>
    </w:p>
    <w:tbl>
      <w:tblPr>
        <w:tblStyle w:val="89"/>
        <w:tblW w:w="4100" w:type="dxa"/>
        <w:jc w:val="center"/>
        <w:tblLayout w:type="autofit"/>
        <w:tblCellMar>
          <w:top w:w="0" w:type="dxa"/>
          <w:left w:w="108" w:type="dxa"/>
          <w:bottom w:w="0" w:type="dxa"/>
          <w:right w:w="108" w:type="dxa"/>
        </w:tblCellMar>
      </w:tblPr>
      <w:tblGrid>
        <w:gridCol w:w="2520"/>
        <w:gridCol w:w="1580"/>
      </w:tblGrid>
      <w:tr>
        <w:tblPrEx>
          <w:tblCellMar>
            <w:top w:w="0" w:type="dxa"/>
            <w:left w:w="108" w:type="dxa"/>
            <w:bottom w:w="0" w:type="dxa"/>
            <w:right w:w="108" w:type="dxa"/>
          </w:tblCellMar>
        </w:tblPrEx>
        <w:trPr>
          <w:trHeight w:val="288" w:hRule="atLeast"/>
          <w:jc w:val="center"/>
        </w:trPr>
        <w:tc>
          <w:tcPr>
            <w:tcW w:w="2520" w:type="dxa"/>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pPr>
            <w:r>
              <w:t>Operating band</w:t>
            </w:r>
          </w:p>
        </w:tc>
        <w:tc>
          <w:tcPr>
            <w:tcW w:w="1580" w:type="dxa"/>
            <w:tcBorders>
              <w:top w:val="single" w:color="auto" w:sz="4" w:space="0"/>
              <w:left w:val="nil"/>
              <w:bottom w:val="single" w:color="auto" w:sz="4" w:space="0"/>
              <w:right w:val="single" w:color="auto" w:sz="4" w:space="0"/>
            </w:tcBorders>
            <w:shd w:val="clear" w:color="auto" w:fill="auto"/>
            <w:noWrap/>
            <w:vAlign w:val="center"/>
          </w:tcPr>
          <w:p>
            <w:pPr>
              <w:pStyle w:val="104"/>
            </w:pPr>
            <w:r>
              <w:t>REFSENS [dBm]</w:t>
            </w:r>
          </w:p>
        </w:tc>
      </w:tr>
      <w:tr>
        <w:trPr>
          <w:trHeight w:val="600" w:hRule="atLeast"/>
          <w:jc w:val="center"/>
        </w:trPr>
        <w:tc>
          <w:tcPr>
            <w:tcW w:w="2520" w:type="dxa"/>
            <w:tcBorders>
              <w:top w:val="nil"/>
              <w:left w:val="single" w:color="auto" w:sz="4" w:space="0"/>
              <w:bottom w:val="single" w:color="auto" w:sz="4" w:space="0"/>
              <w:right w:val="single" w:color="auto" w:sz="4" w:space="0"/>
            </w:tcBorders>
            <w:shd w:val="clear" w:color="auto" w:fill="auto"/>
            <w:vAlign w:val="center"/>
          </w:tcPr>
          <w:p>
            <w:pPr>
              <w:pStyle w:val="105"/>
            </w:pPr>
            <w:r>
              <w:rPr>
                <w:rFonts w:eastAsia="Courier New"/>
              </w:rPr>
              <w:t>According to subclause 5.2B</w:t>
            </w:r>
          </w:p>
        </w:tc>
        <w:tc>
          <w:tcPr>
            <w:tcW w:w="1580" w:type="dxa"/>
            <w:tcBorders>
              <w:top w:val="nil"/>
              <w:left w:val="nil"/>
              <w:bottom w:val="single" w:color="auto" w:sz="4" w:space="0"/>
              <w:right w:val="single" w:color="auto" w:sz="4" w:space="0"/>
            </w:tcBorders>
            <w:shd w:val="clear" w:color="auto" w:fill="auto"/>
            <w:noWrap/>
            <w:vAlign w:val="center"/>
          </w:tcPr>
          <w:p>
            <w:pPr>
              <w:pStyle w:val="105"/>
            </w:pPr>
            <w:r>
              <w:t xml:space="preserve">- 108.2 </w:t>
            </w:r>
          </w:p>
        </w:tc>
      </w:tr>
    </w:tbl>
    <w:p/>
    <w:p>
      <w:r>
        <w:t>The normative reference for this requirement is TS 36.102 [11] clause 7.3B.</w:t>
      </w:r>
    </w:p>
    <w:p>
      <w:pPr>
        <w:pStyle w:val="9"/>
      </w:pPr>
      <w:r>
        <w:t>7.3B.4</w:t>
      </w:r>
      <w:r>
        <w:tab/>
      </w:r>
      <w:r>
        <w:t>Test description</w:t>
      </w:r>
    </w:p>
    <w:p>
      <w:pPr>
        <w:pStyle w:val="9"/>
      </w:pPr>
      <w:r>
        <w:t>7.3B.4.1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Annexes A.2 and A.3 respectively. Configurations of NPDSCH and NPDCCH before measurement are specified in Annex C.2.</w:t>
      </w:r>
    </w:p>
    <w:p>
      <w:pPr>
        <w:pStyle w:val="113"/>
      </w:pPr>
      <w:r>
        <w:t>Table 7.3B.4.1-1: Test Configuration 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164"/>
        <w:gridCol w:w="135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tcPr>
          <w:p>
            <w:pPr>
              <w:pStyle w:val="103"/>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164" w:type="dxa"/>
          </w:tcPr>
          <w:p>
            <w:pPr>
              <w:pStyle w:val="105"/>
            </w:pPr>
            <w:r>
              <w:t>Modulation</w:t>
            </w:r>
          </w:p>
        </w:tc>
        <w:tc>
          <w:tcPr>
            <w:tcW w:w="1354" w:type="dxa"/>
          </w:tcPr>
          <w:p>
            <w:pPr>
              <w:pStyle w:val="105"/>
            </w:pPr>
            <w:r>
              <w:t>Subcarriers</w:t>
            </w:r>
          </w:p>
        </w:tc>
        <w:tc>
          <w:tcPr>
            <w:tcW w:w="2139" w:type="dxa"/>
          </w:tcPr>
          <w:p>
            <w:pPr>
              <w:pStyle w:val="105"/>
            </w:pPr>
            <w:r>
              <w:t>Modulation</w:t>
            </w:r>
          </w:p>
        </w:tc>
        <w:tc>
          <w:tcPr>
            <w:tcW w:w="1164" w:type="dxa"/>
          </w:tcPr>
          <w:p>
            <w:pPr>
              <w:pStyle w:val="105"/>
            </w:pPr>
            <w:r>
              <w:t>N</w:t>
            </w:r>
            <w:r>
              <w:rPr>
                <w:vertAlign w:val="subscript"/>
              </w:rPr>
              <w:t>tones</w:t>
            </w:r>
          </w:p>
        </w:tc>
        <w:tc>
          <w:tcPr>
            <w:tcW w:w="1194" w:type="dxa"/>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1164" w:type="dxa"/>
          </w:tcPr>
          <w:p>
            <w:pPr>
              <w:pStyle w:val="105"/>
            </w:pPr>
            <w:r>
              <w:t>QPSK</w:t>
            </w:r>
          </w:p>
        </w:tc>
        <w:tc>
          <w:tcPr>
            <w:tcW w:w="1354" w:type="dxa"/>
          </w:tcPr>
          <w:p>
            <w:pPr>
              <w:pStyle w:val="105"/>
            </w:pPr>
            <w:r>
              <w:t>12</w:t>
            </w:r>
          </w:p>
        </w:tc>
        <w:tc>
          <w:tcPr>
            <w:tcW w:w="2139" w:type="dxa"/>
          </w:tcPr>
          <w:p>
            <w:pPr>
              <w:pStyle w:val="105"/>
            </w:pPr>
            <w:r>
              <w:t>BPSK</w:t>
            </w:r>
          </w:p>
        </w:tc>
        <w:tc>
          <w:tcPr>
            <w:tcW w:w="1164" w:type="dxa"/>
          </w:tcPr>
          <w:p>
            <w:pPr>
              <w:pStyle w:val="105"/>
            </w:pPr>
            <w:r>
              <w:t>1@0</w:t>
            </w:r>
          </w:p>
        </w:tc>
        <w:tc>
          <w:tcPr>
            <w:tcW w:w="1194" w:type="dxa"/>
          </w:tcPr>
          <w:p>
            <w:pPr>
              <w:pStyle w:val="105"/>
            </w:pPr>
            <w:r>
              <w:t>15kHz</w:t>
            </w:r>
          </w:p>
        </w:tc>
      </w:tr>
    </w:tbl>
    <w:p>
      <w:pPr>
        <w:jc w:val="cente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the SS to the UE antenna connectors as shown in TS 36.508[12] Annex A Figure A.3 using only the main UE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NPUSCH Format 2 is used to carry ACK/NACK on the uplink.</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The DL Reference Measurement channels are set according to Table 7.3B.4.1-1.</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lang w:eastAsia="en-GB"/>
        </w:rPr>
      </w:pPr>
      <w:r>
        <w:rPr>
          <w:rFonts w:hint="eastAsia"/>
          <w:lang w:eastAsia="en-GB"/>
        </w:rPr>
        <w:t>6</w:t>
      </w:r>
      <w:r>
        <w:rPr>
          <w:lang w:eastAsia="en-GB"/>
        </w:rPr>
        <w:t>.</w:t>
      </w:r>
      <w:bookmarkStart w:id="1185" w:name="_Hlk148972312"/>
      <w:r>
        <w:rPr>
          <w:lang w:eastAsia="en-GB"/>
        </w:rPr>
        <w:tab/>
      </w:r>
      <w:r>
        <w:rPr>
          <w:rFonts w:hint="eastAsia"/>
          <w:lang w:eastAsia="en-GB"/>
        </w:rPr>
        <w:t>UE location according to TS 36.508 [12] clause 8.2.6.1 is provided to the UE through any preconfigured means.</w:t>
      </w:r>
      <w:bookmarkEnd w:id="1185"/>
    </w:p>
    <w:p>
      <w:pPr>
        <w:pStyle w:val="111"/>
        <w:overflowPunct w:val="0"/>
        <w:autoSpaceDE w:val="0"/>
        <w:autoSpaceDN w:val="0"/>
        <w:adjustRightInd w:val="0"/>
        <w:ind w:left="568"/>
        <w:contextualSpacing w:val="0"/>
        <w:textAlignment w:val="baseline"/>
        <w:rPr>
          <w:color w:val="FF0000"/>
          <w:lang w:eastAsia="en-GB"/>
        </w:rPr>
      </w:pPr>
      <w:r>
        <w:rPr>
          <w:rFonts w:hint="eastAsia"/>
          <w:lang w:eastAsia="en-GB"/>
        </w:rPr>
        <w:t>7</w:t>
      </w:r>
      <w:r>
        <w:rPr>
          <w:lang w:eastAsia="en-GB"/>
        </w:rPr>
        <w:t>.</w:t>
      </w:r>
      <w:r>
        <w:rPr>
          <w:lang w:eastAsia="en-GB"/>
        </w:rPr>
        <w:tab/>
      </w:r>
      <w:r>
        <w:rPr>
          <w:rFonts w:ascii="微软雅黑" w:hAnsi="微软雅黑" w:eastAsia="微软雅黑" w:cs="Calibri"/>
          <w:sz w:val="22"/>
          <w:szCs w:val="22"/>
          <w:lang w:eastAsia="en-GB"/>
        </w:rPr>
        <w:t>Test equipment shall emulate</w:t>
      </w:r>
      <w:r>
        <w:rPr>
          <w:lang w:eastAsia="en-GB"/>
        </w:rPr>
        <w:t xml:space="preserve"> </w:t>
      </w:r>
      <w:r>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Pr>
          <w:rFonts w:ascii="微软雅黑" w:hAnsi="微软雅黑" w:eastAsia="微软雅黑" w:cs="Calibri"/>
          <w:sz w:val="22"/>
          <w:szCs w:val="22"/>
          <w:lang w:eastAsia="en-GB"/>
        </w:rPr>
        <w:t xml:space="preserve">. Test system shall send same SIB31-NB </w:t>
      </w:r>
      <w:r>
        <w:rPr>
          <w:lang w:eastAsia="en-GB"/>
        </w:rPr>
        <w:t xml:space="preserve">information during the </w:t>
      </w:r>
      <w:r>
        <w:rPr>
          <w:rFonts w:hint="eastAsia"/>
          <w:color w:val="FF0000"/>
          <w:lang w:eastAsia="en-GB"/>
        </w:rPr>
        <w:t xml:space="preserve">duration of the </w:t>
      </w:r>
      <w:r>
        <w:rPr>
          <w:rFonts w:hint="eastAsia"/>
          <w:lang w:eastAsia="en-GB"/>
        </w:rPr>
        <w:t>test</w:t>
      </w:r>
      <w:r>
        <w:rPr>
          <w:rFonts w:hint="eastAsia"/>
          <w:color w:val="FF0000"/>
          <w:lang w:eastAsia="en-GB"/>
        </w:rPr>
        <w:t xml:space="preserve"> as defined in TS 36.508 [12] clause 8.2.6.</w:t>
      </w:r>
      <w:r>
        <w:rPr>
          <w:color w:val="FF0000"/>
          <w:lang w:eastAsia="en-GB"/>
        </w:rPr>
        <w:t>3</w:t>
      </w:r>
      <w:r>
        <w:rPr>
          <w:rFonts w:hint="eastAsia"/>
          <w:color w:val="FF0000"/>
          <w:lang w:eastAsia="en-GB"/>
        </w:rPr>
        <w:t>.1.</w:t>
      </w:r>
    </w:p>
    <w:p>
      <w:pPr>
        <w:pStyle w:val="111"/>
        <w:overflowPunct w:val="0"/>
        <w:autoSpaceDE w:val="0"/>
        <w:autoSpaceDN w:val="0"/>
        <w:adjustRightInd w:val="0"/>
        <w:ind w:left="568"/>
        <w:contextualSpacing w:val="0"/>
        <w:textAlignment w:val="baseline"/>
        <w:rPr>
          <w:lang w:eastAsia="en-GB"/>
        </w:rPr>
      </w:pPr>
      <w:r>
        <w:rPr>
          <w:rFonts w:hint="eastAsia"/>
          <w:color w:val="FF0000"/>
          <w:lang w:eastAsia="en-GB"/>
        </w:rPr>
        <w:t>8</w:t>
      </w:r>
      <w:r>
        <w:rPr>
          <w:color w:val="FF0000"/>
          <w:lang w:eastAsia="en-GB"/>
        </w:rPr>
        <w:t>.</w:t>
      </w:r>
      <w:r>
        <w:rPr>
          <w:color w:val="FF0000"/>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9.</w:t>
      </w:r>
      <w:r>
        <w:rPr>
          <w:lang w:eastAsia="en-GB"/>
        </w:rPr>
        <w:tab/>
      </w:r>
      <w:r>
        <w:rPr>
          <w:lang w:eastAsia="en-GB"/>
        </w:rPr>
        <w:t>Ensure the UE is in State 2A-NB with CP CIoT Optimisation according to TS 36.508 [12] clause 8.1.5. Message contents are defined in clause 7.3B.4.3.</w:t>
      </w:r>
    </w:p>
    <w:p>
      <w:pPr>
        <w:pStyle w:val="9"/>
        <w:ind w:left="0" w:firstLine="0"/>
      </w:pPr>
      <w:r>
        <w:t>7.3B.4.2</w:t>
      </w:r>
      <w:r>
        <w:tab/>
      </w:r>
      <w: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SS transmits NPDSCH via NPDCCH DCI format N1 for C_RNTI to transmit the DL RMC according to Table 7.3B.4.1-1. The SS sends downlink MAC padding bits on the DL RMC. The UE will send the HARQ feedback based on information contain in DCI format N1.</w:t>
      </w:r>
    </w:p>
    <w:p>
      <w:pPr>
        <w:pStyle w:val="111"/>
        <w:overflowPunct w:val="0"/>
        <w:autoSpaceDE w:val="0"/>
        <w:autoSpaceDN w:val="0"/>
        <w:adjustRightInd w:val="0"/>
        <w:ind w:left="568"/>
        <w:contextualSpacing w:val="0"/>
        <w:textAlignment w:val="baseline"/>
        <w:rPr>
          <w:lang w:eastAsia="en-GB"/>
        </w:rPr>
      </w:pPr>
      <w:r>
        <w:rPr>
          <w:lang w:val="en-US" w:eastAsia="en-GB"/>
        </w:rPr>
        <w:t>2</w:t>
      </w:r>
      <w:r>
        <w:rPr>
          <w:lang w:eastAsia="en-GB"/>
        </w:rPr>
        <w:t>.</w:t>
      </w:r>
      <w:r>
        <w:rPr>
          <w:lang w:eastAsia="en-GB"/>
        </w:rPr>
        <w:tab/>
      </w:r>
      <w:r>
        <w:rPr>
          <w:lang w:eastAsia="en-GB"/>
        </w:rPr>
        <w:t>Set the Downlink signal level to the value defined in Table 7.3B.5-1.</w:t>
      </w:r>
    </w:p>
    <w:p>
      <w:pPr>
        <w:pStyle w:val="111"/>
        <w:overflowPunct w:val="0"/>
        <w:autoSpaceDE w:val="0"/>
        <w:autoSpaceDN w:val="0"/>
        <w:adjustRightInd w:val="0"/>
        <w:ind w:left="568"/>
        <w:contextualSpacing w:val="0"/>
        <w:textAlignment w:val="baseline"/>
        <w:rPr>
          <w:lang w:eastAsia="en-GB"/>
        </w:rPr>
      </w:pPr>
      <w:r>
        <w:rPr>
          <w:lang w:val="en-US" w:eastAsia="en-GB"/>
        </w:rPr>
        <w:t>3</w:t>
      </w:r>
      <w:r>
        <w:rPr>
          <w:lang w:eastAsia="en-GB"/>
        </w:rPr>
        <w:t>.</w:t>
      </w:r>
      <w:r>
        <w:rPr>
          <w:lang w:eastAsia="en-GB"/>
        </w:rPr>
        <w:tab/>
      </w:r>
      <w:r>
        <w:rPr>
          <w:lang w:eastAsia="en-GB"/>
        </w:rPr>
        <w:t>Measure the average throughput for a duration sufficient to achieve statistical significance according to Annex G.2.</w:t>
      </w:r>
    </w:p>
    <w:p>
      <w:pPr>
        <w:pStyle w:val="9"/>
        <w:ind w:left="0" w:firstLine="0"/>
      </w:pPr>
      <w:r>
        <w:t>7.3B.4.3</w:t>
      </w:r>
      <w:r>
        <w:tab/>
      </w:r>
      <w:r>
        <w:t>Message contents</w:t>
      </w:r>
    </w:p>
    <w:p>
      <w:r>
        <w:t>Message contents are according to TS 36.508 [12] clause 8.1.6.</w:t>
      </w:r>
    </w:p>
    <w:p>
      <w:pPr>
        <w:pStyle w:val="9"/>
      </w:pPr>
      <w:r>
        <w:t>7.3B.5</w:t>
      </w:r>
      <w:r>
        <w:tab/>
      </w:r>
      <w:r>
        <w:t>Test requirement</w:t>
      </w:r>
    </w:p>
    <w:p>
      <w:r>
        <w:t xml:space="preserve">The throughput shall be ≥ 95% of the maximum throughput of the reference measurement channels as specified in Annex A.3.2 with parameters specified in Table </w:t>
      </w:r>
      <w:r>
        <w:rPr>
          <w:rFonts w:eastAsia="MS Mincho"/>
        </w:rPr>
        <w:t>7.3B.5-1</w:t>
      </w:r>
      <w:r>
        <w:t>.</w:t>
      </w:r>
    </w:p>
    <w:p>
      <w:pPr>
        <w:pStyle w:val="113"/>
      </w:pPr>
      <w:r>
        <w:t xml:space="preserve">Table </w:t>
      </w:r>
      <w:r>
        <w:rPr>
          <w:rFonts w:eastAsia="MS Mincho"/>
        </w:rPr>
        <w:t>7.3B.5-1</w:t>
      </w:r>
      <w:r>
        <w:t>: Maximum input level for category NB1 and NB2</w:t>
      </w:r>
    </w:p>
    <w:tbl>
      <w:tblPr>
        <w:tblStyle w:val="89"/>
        <w:tblW w:w="4100" w:type="dxa"/>
        <w:jc w:val="center"/>
        <w:tblLayout w:type="autofit"/>
        <w:tblCellMar>
          <w:top w:w="0" w:type="dxa"/>
          <w:left w:w="108" w:type="dxa"/>
          <w:bottom w:w="0" w:type="dxa"/>
          <w:right w:w="108" w:type="dxa"/>
        </w:tblCellMar>
      </w:tblPr>
      <w:tblGrid>
        <w:gridCol w:w="2520"/>
        <w:gridCol w:w="1580"/>
      </w:tblGrid>
      <w:tr>
        <w:tblPrEx>
          <w:tblCellMar>
            <w:top w:w="0" w:type="dxa"/>
            <w:left w:w="108" w:type="dxa"/>
            <w:bottom w:w="0" w:type="dxa"/>
            <w:right w:w="108" w:type="dxa"/>
          </w:tblCellMar>
        </w:tblPrEx>
        <w:trPr>
          <w:trHeight w:val="288" w:hRule="atLeast"/>
          <w:jc w:val="center"/>
        </w:trPr>
        <w:tc>
          <w:tcPr>
            <w:tcW w:w="2520" w:type="dxa"/>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pPr>
            <w:r>
              <w:t>Operating band</w:t>
            </w:r>
          </w:p>
        </w:tc>
        <w:tc>
          <w:tcPr>
            <w:tcW w:w="1580" w:type="dxa"/>
            <w:tcBorders>
              <w:top w:val="single" w:color="auto" w:sz="4" w:space="0"/>
              <w:left w:val="nil"/>
              <w:bottom w:val="single" w:color="auto" w:sz="4" w:space="0"/>
              <w:right w:val="single" w:color="auto" w:sz="4" w:space="0"/>
            </w:tcBorders>
            <w:shd w:val="clear" w:color="auto" w:fill="auto"/>
            <w:noWrap/>
            <w:vAlign w:val="center"/>
          </w:tcPr>
          <w:p>
            <w:pPr>
              <w:pStyle w:val="104"/>
            </w:pPr>
            <w:r>
              <w:t>REFSENS [dBm]</w:t>
            </w:r>
          </w:p>
        </w:tc>
      </w:tr>
      <w:tr>
        <w:tblPrEx>
          <w:tblCellMar>
            <w:top w:w="0" w:type="dxa"/>
            <w:left w:w="108" w:type="dxa"/>
            <w:bottom w:w="0" w:type="dxa"/>
            <w:right w:w="108" w:type="dxa"/>
          </w:tblCellMar>
        </w:tblPrEx>
        <w:trPr>
          <w:trHeight w:val="600" w:hRule="atLeast"/>
          <w:jc w:val="center"/>
        </w:trPr>
        <w:tc>
          <w:tcPr>
            <w:tcW w:w="2520" w:type="dxa"/>
            <w:tcBorders>
              <w:top w:val="nil"/>
              <w:left w:val="single" w:color="auto" w:sz="4" w:space="0"/>
              <w:bottom w:val="single" w:color="auto" w:sz="4" w:space="0"/>
              <w:right w:val="single" w:color="auto" w:sz="4" w:space="0"/>
            </w:tcBorders>
            <w:shd w:val="clear" w:color="auto" w:fill="auto"/>
            <w:vAlign w:val="center"/>
          </w:tcPr>
          <w:p>
            <w:pPr>
              <w:pStyle w:val="105"/>
              <w:rPr>
                <w:rFonts w:eastAsia="Courier New"/>
              </w:rPr>
            </w:pPr>
            <w:r>
              <w:rPr>
                <w:rFonts w:eastAsia="Courier New"/>
              </w:rPr>
              <w:t>According to subclause 5.2B</w:t>
            </w:r>
          </w:p>
        </w:tc>
        <w:tc>
          <w:tcPr>
            <w:tcW w:w="1580" w:type="dxa"/>
            <w:tcBorders>
              <w:top w:val="nil"/>
              <w:left w:val="nil"/>
              <w:bottom w:val="single" w:color="auto" w:sz="4" w:space="0"/>
              <w:right w:val="single" w:color="auto" w:sz="4" w:space="0"/>
            </w:tcBorders>
            <w:shd w:val="clear" w:color="auto" w:fill="auto"/>
            <w:noWrap/>
            <w:vAlign w:val="center"/>
          </w:tcPr>
          <w:p>
            <w:pPr>
              <w:pStyle w:val="105"/>
            </w:pPr>
            <w:r>
              <w:t>- 108.2 + TT</w:t>
            </w:r>
          </w:p>
        </w:tc>
      </w:tr>
    </w:tbl>
    <w:p/>
    <w:p>
      <w:pPr>
        <w:pStyle w:val="4"/>
      </w:pPr>
      <w:bookmarkStart w:id="1186" w:name="_Toc111062082"/>
      <w:bookmarkStart w:id="1187" w:name="_Toc4253"/>
      <w:bookmarkStart w:id="1188" w:name="_Toc19536"/>
      <w:bookmarkStart w:id="1189" w:name="_Toc26376"/>
      <w:bookmarkStart w:id="1190" w:name="_Toc7205"/>
      <w:bookmarkStart w:id="1191" w:name="_Toc23408"/>
      <w:bookmarkStart w:id="1192" w:name="_Toc16033"/>
      <w:bookmarkStart w:id="1193" w:name="_Toc368026366"/>
      <w:bookmarkStart w:id="1194" w:name="_Toc121162886"/>
      <w:bookmarkStart w:id="1195" w:name="_Toc7060"/>
      <w:bookmarkStart w:id="1196" w:name="_Toc120570094"/>
      <w:r>
        <w:t>7.4</w:t>
      </w:r>
      <w:r>
        <w:tab/>
      </w:r>
      <w:r>
        <w:t>Maximum input level</w:t>
      </w:r>
      <w:bookmarkEnd w:id="1186"/>
      <w:bookmarkEnd w:id="1187"/>
      <w:bookmarkEnd w:id="1188"/>
      <w:bookmarkEnd w:id="1189"/>
      <w:bookmarkEnd w:id="1190"/>
      <w:bookmarkEnd w:id="1191"/>
      <w:bookmarkEnd w:id="1192"/>
      <w:bookmarkEnd w:id="1193"/>
      <w:bookmarkEnd w:id="1194"/>
      <w:bookmarkEnd w:id="1195"/>
      <w:bookmarkEnd w:id="1196"/>
    </w:p>
    <w:p>
      <w:pPr>
        <w:pStyle w:val="4"/>
      </w:pPr>
      <w:bookmarkStart w:id="1197" w:name="_Toc17005"/>
      <w:bookmarkStart w:id="1198" w:name="_Toc23048"/>
      <w:bookmarkStart w:id="1199" w:name="_Toc121162887"/>
      <w:bookmarkStart w:id="1200" w:name="_Toc26683"/>
      <w:bookmarkStart w:id="1201" w:name="_Toc18108"/>
      <w:bookmarkStart w:id="1202" w:name="_Toc12168"/>
      <w:bookmarkStart w:id="1203" w:name="_Toc120570095"/>
      <w:bookmarkStart w:id="1204" w:name="_Toc31715"/>
      <w:bookmarkStart w:id="1205" w:name="_Toc6246"/>
      <w:r>
        <w:t>7.4A</w:t>
      </w:r>
      <w:r>
        <w:tab/>
      </w:r>
      <w:r>
        <w:t>Maximum input level for category M1</w:t>
      </w:r>
      <w:bookmarkEnd w:id="1197"/>
      <w:bookmarkEnd w:id="1198"/>
      <w:bookmarkEnd w:id="1199"/>
      <w:bookmarkEnd w:id="1200"/>
      <w:bookmarkEnd w:id="1201"/>
      <w:bookmarkEnd w:id="1202"/>
      <w:bookmarkEnd w:id="1203"/>
      <w:bookmarkEnd w:id="1204"/>
      <w:bookmarkEnd w:id="1205"/>
    </w:p>
    <w:p>
      <w:pPr>
        <w:pStyle w:val="112"/>
        <w:rPr>
          <w:i w:val="0"/>
          <w:iCs w:val="0"/>
          <w:lang w:val="en-GB"/>
        </w:rPr>
      </w:pPr>
      <w:bookmarkStart w:id="1206" w:name="_Hlk126672194"/>
      <w:bookmarkStart w:id="1207" w:name="_Toc120570096"/>
      <w:bookmarkStart w:id="1208" w:name="_Toc121162888"/>
      <w:r>
        <w:t>Editor’s Note: Addition to applicability spec is pending.</w:t>
      </w:r>
    </w:p>
    <w:bookmarkEnd w:id="1206"/>
    <w:p>
      <w:pPr>
        <w:pStyle w:val="9"/>
      </w:pPr>
      <w:bookmarkStart w:id="1209" w:name="_Toc60823077"/>
      <w:bookmarkStart w:id="1210" w:name="_Toc44323721"/>
      <w:bookmarkStart w:id="1211" w:name="_Toc52989886"/>
      <w:bookmarkStart w:id="1212" w:name="_Toc60824999"/>
      <w:bookmarkStart w:id="1213" w:name="_Toc27477787"/>
      <w:bookmarkStart w:id="1214" w:name="_Toc69305896"/>
      <w:bookmarkStart w:id="1215" w:name="_Toc36226466"/>
      <w:bookmarkStart w:id="1216" w:name="_Hlk126672288"/>
      <w:r>
        <w:t>7.4A.1</w:t>
      </w:r>
      <w:r>
        <w:tab/>
      </w:r>
      <w:r>
        <w:t>Test purpose</w:t>
      </w:r>
      <w:bookmarkEnd w:id="1209"/>
      <w:bookmarkEnd w:id="1210"/>
      <w:bookmarkEnd w:id="1211"/>
      <w:bookmarkEnd w:id="1212"/>
      <w:bookmarkEnd w:id="1213"/>
      <w:bookmarkEnd w:id="1214"/>
      <w:bookmarkEnd w:id="1215"/>
    </w:p>
    <w:bookmarkEnd w:id="1216"/>
    <w:p>
      <w:r>
        <w:t>Maximum input level tests the ability of category M1 UE to receive data with a given average throughput for a specified reference measurement channel, under conditions of high signal level, ideal propagation and no added noise.</w:t>
      </w:r>
    </w:p>
    <w:p>
      <w:r>
        <w:t>A UE unable to meet the throughput requirement under these conditions will decrease the coverage area near to an e-NodeB.</w:t>
      </w:r>
    </w:p>
    <w:p>
      <w:pPr>
        <w:pStyle w:val="9"/>
      </w:pPr>
      <w:bookmarkStart w:id="1217" w:name="_Toc52989887"/>
      <w:bookmarkStart w:id="1218" w:name="_Toc60823078"/>
      <w:bookmarkStart w:id="1219" w:name="_Toc27477788"/>
      <w:bookmarkStart w:id="1220" w:name="_Toc36226467"/>
      <w:bookmarkStart w:id="1221" w:name="_Toc60825000"/>
      <w:bookmarkStart w:id="1222" w:name="_Toc69305897"/>
      <w:bookmarkStart w:id="1223" w:name="_Toc44323722"/>
      <w:bookmarkStart w:id="1224" w:name="_Hlk126672337"/>
      <w:r>
        <w:t>7.4A.2</w:t>
      </w:r>
      <w:r>
        <w:tab/>
      </w:r>
      <w:r>
        <w:t>Test applicability</w:t>
      </w:r>
      <w:bookmarkEnd w:id="1217"/>
      <w:bookmarkEnd w:id="1218"/>
      <w:bookmarkEnd w:id="1219"/>
      <w:bookmarkEnd w:id="1220"/>
      <w:bookmarkEnd w:id="1221"/>
      <w:bookmarkEnd w:id="1222"/>
      <w:bookmarkEnd w:id="1223"/>
    </w:p>
    <w:bookmarkEnd w:id="1224"/>
    <w:p>
      <w:r>
        <w:t xml:space="preserve">This test applies to all types of E-UTRA UE release 17 and forward of category </w:t>
      </w:r>
      <w:r>
        <w:rPr>
          <w:lang w:eastAsia="zh-TW"/>
        </w:rPr>
        <w:t xml:space="preserve">M1 </w:t>
      </w:r>
      <w:bookmarkStart w:id="1225" w:name="_Hlk126672396"/>
      <w:r>
        <w:rPr>
          <w:lang w:eastAsia="zh-TW"/>
        </w:rPr>
        <w:t>that support satellite access operation</w:t>
      </w:r>
      <w:r>
        <w:t>.</w:t>
      </w:r>
      <w:bookmarkEnd w:id="1225"/>
    </w:p>
    <w:p>
      <w:pPr>
        <w:pStyle w:val="9"/>
      </w:pPr>
      <w:bookmarkStart w:id="1226" w:name="_Hlk126672442"/>
      <w:r>
        <w:t>7.4A.3</w:t>
      </w:r>
      <w:r>
        <w:tab/>
      </w:r>
      <w:r>
        <w:t>Minimum conformance requirements</w:t>
      </w:r>
    </w:p>
    <w:bookmarkEnd w:id="1226"/>
    <w:p>
      <w:pPr>
        <w:rPr>
          <w:rFonts w:cs="v5.0.0"/>
        </w:rPr>
      </w:pPr>
      <w:r>
        <w:rPr>
          <w:rFonts w:cs="v5.0.0"/>
        </w:rPr>
        <w:t xml:space="preserve">This is defined as the maximum mean power received at the UE antenna port, at which the specified relative throughput shall </w:t>
      </w:r>
      <w:r>
        <w:t>meet or exceed the minimum requirements for the specified reference measurement channel</w:t>
      </w:r>
      <w:r>
        <w:rPr>
          <w:rFonts w:cs="v5.0.0"/>
        </w:rPr>
        <w:t>.</w:t>
      </w:r>
    </w:p>
    <w:p>
      <w:r>
        <w:t>The throughput shall be ≥ 95% of the maximum throughput of the reference measurement channels as specified in Annexes A.2.2, A.2.3 and A.3.2 (with one sided dynamic OCNG Pattern OP.1 FDD/TDD as described in Annex A.5.1.1) with parameters specified in Table 7.4</w:t>
      </w:r>
      <w:r>
        <w:rPr>
          <w:lang w:eastAsia="zh-TW"/>
        </w:rPr>
        <w:t>A</w:t>
      </w:r>
      <w:r>
        <w:t>.3-1.</w:t>
      </w:r>
    </w:p>
    <w:p>
      <w:pPr>
        <w:pStyle w:val="113"/>
        <w:rPr>
          <w:rFonts w:eastAsia="Osaka"/>
        </w:rPr>
      </w:pPr>
      <w:r>
        <w:rPr>
          <w:rFonts w:eastAsia="Osaka"/>
        </w:rPr>
        <w:t>Table 7.4A.3-1: Maximum input level</w:t>
      </w:r>
    </w:p>
    <w:tbl>
      <w:tblPr>
        <w:tblStyle w:val="89"/>
        <w:tblW w:w="73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851"/>
        <w:gridCol w:w="39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51" w:type="dxa"/>
            <w:vMerge w:val="restart"/>
          </w:tcPr>
          <w:p>
            <w:pPr>
              <w:pStyle w:val="104"/>
              <w:rPr>
                <w:rFonts w:cs="Arial"/>
              </w:rPr>
            </w:pPr>
            <w:r>
              <w:rPr>
                <w:rFonts w:cs="Arial"/>
              </w:rPr>
              <w:t>Rx Parameter</w:t>
            </w:r>
          </w:p>
        </w:tc>
        <w:tc>
          <w:tcPr>
            <w:tcW w:w="851" w:type="dxa"/>
            <w:vMerge w:val="restart"/>
          </w:tcPr>
          <w:p>
            <w:pPr>
              <w:pStyle w:val="104"/>
              <w:rPr>
                <w:rFonts w:cs="Arial"/>
              </w:rPr>
            </w:pPr>
            <w:r>
              <w:rPr>
                <w:rFonts w:cs="Arial"/>
              </w:rPr>
              <w:t xml:space="preserve">Units </w:t>
            </w:r>
          </w:p>
        </w:tc>
        <w:tc>
          <w:tcPr>
            <w:tcW w:w="3997" w:type="dxa"/>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jc w:val="center"/>
        </w:trPr>
        <w:tc>
          <w:tcPr>
            <w:tcW w:w="2551" w:type="dxa"/>
            <w:vMerge w:val="continue"/>
          </w:tcPr>
          <w:p>
            <w:pPr>
              <w:pStyle w:val="104"/>
              <w:rPr>
                <w:rFonts w:cs="Arial"/>
              </w:rPr>
            </w:pPr>
          </w:p>
        </w:tc>
        <w:tc>
          <w:tcPr>
            <w:tcW w:w="851" w:type="dxa"/>
            <w:vMerge w:val="continue"/>
          </w:tcPr>
          <w:p>
            <w:pPr>
              <w:pStyle w:val="104"/>
              <w:rPr>
                <w:rFonts w:cs="Arial"/>
              </w:rPr>
            </w:pPr>
          </w:p>
        </w:tc>
        <w:tc>
          <w:tcPr>
            <w:tcW w:w="3997" w:type="dxa"/>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51" w:type="dxa"/>
          </w:tcPr>
          <w:p>
            <w:pPr>
              <w:pStyle w:val="103"/>
              <w:rPr>
                <w:rFonts w:cs="Arial"/>
              </w:rPr>
            </w:pPr>
            <w:r>
              <w:rPr>
                <w:rFonts w:cs="Arial"/>
              </w:rPr>
              <w:t>Power in Transmission Bandwidth Configuration</w:t>
            </w:r>
          </w:p>
        </w:tc>
        <w:tc>
          <w:tcPr>
            <w:tcW w:w="851" w:type="dxa"/>
            <w:vAlign w:val="center"/>
          </w:tcPr>
          <w:p>
            <w:pPr>
              <w:pStyle w:val="105"/>
              <w:rPr>
                <w:rFonts w:cs="Arial"/>
              </w:rPr>
            </w:pPr>
            <w:r>
              <w:rPr>
                <w:rFonts w:cs="Arial"/>
              </w:rPr>
              <w:t>dBm</w:t>
            </w:r>
          </w:p>
        </w:tc>
        <w:tc>
          <w:tcPr>
            <w:tcW w:w="3997" w:type="dxa"/>
            <w:vAlign w:val="center"/>
          </w:tcPr>
          <w:p>
            <w:pPr>
              <w:pStyle w:val="105"/>
              <w:rPr>
                <w:rFonts w:cs="Arial"/>
              </w:rPr>
            </w:pPr>
            <w:r>
              <w:rPr>
                <w:rFonts w:cs="Arial"/>
                <w:lang w:eastAsia="zh-TW"/>
              </w:rPr>
              <w:t>-40</w:t>
            </w:r>
            <w:r>
              <w:rPr>
                <w:rFonts w:hint="eastAsia" w:cs="Arial"/>
                <w:vertAlign w:val="superscript"/>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7399" w:type="dxa"/>
            <w:gridSpan w:val="3"/>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w:t>
            </w:r>
            <w:r>
              <w:t>7.3</w:t>
            </w:r>
            <w:r>
              <w:rPr>
                <w:lang w:eastAsia="zh-TW"/>
              </w:rPr>
              <w:t>A</w:t>
            </w:r>
            <w:r>
              <w:t>-</w:t>
            </w:r>
            <w:r>
              <w:rPr>
                <w:lang w:eastAsia="zh-CN"/>
              </w:rPr>
              <w:t>3</w:t>
            </w:r>
            <w:r>
              <w:rPr>
                <w:rFonts w:eastAsia="MS Mincho" w:cs="Arial"/>
              </w:rPr>
              <w:t xml:space="preserve">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Reference measurement channel is TS 36.101 [7] Annex A.3.2: 64QAM, R=3/4 variant with </w:t>
            </w:r>
            <w:r>
              <w:rPr>
                <w:rFonts w:cs="Arial"/>
              </w:rPr>
              <w:t>one sided dynamic OCNG Pattern OP.1 FDD as described in Annex A.5.1.1 of TS 36.101 [7]</w:t>
            </w:r>
            <w:r>
              <w:rPr>
                <w:rFonts w:eastAsia="MS Mincho" w:cs="Arial"/>
              </w:rPr>
              <w:t>.</w:t>
            </w:r>
          </w:p>
        </w:tc>
      </w:tr>
    </w:tbl>
    <w:p>
      <w:pPr>
        <w:rPr>
          <w:lang w:eastAsia="zh-TW"/>
        </w:rPr>
      </w:pPr>
    </w:p>
    <w:p>
      <w:bookmarkStart w:id="1227" w:name="_Hlk126672508"/>
      <w:r>
        <w:t>The normative reference for this requirement is TS 36.102 [11] clause 7.4A.</w:t>
      </w:r>
    </w:p>
    <w:bookmarkEnd w:id="1227"/>
    <w:p>
      <w:pPr>
        <w:pStyle w:val="9"/>
      </w:pPr>
      <w:bookmarkStart w:id="1228" w:name="_Toc44323724"/>
      <w:bookmarkStart w:id="1229" w:name="_Toc60825002"/>
      <w:bookmarkStart w:id="1230" w:name="_Toc52989889"/>
      <w:bookmarkStart w:id="1231" w:name="_Toc27477790"/>
      <w:bookmarkStart w:id="1232" w:name="_Toc60823080"/>
      <w:bookmarkStart w:id="1233" w:name="_Toc36226469"/>
      <w:bookmarkStart w:id="1234" w:name="_Toc69305899"/>
      <w:bookmarkStart w:id="1235" w:name="_Hlk126681191"/>
      <w:r>
        <w:t>7.4A.4</w:t>
      </w:r>
      <w:r>
        <w:tab/>
      </w:r>
      <w:r>
        <w:t>Test description</w:t>
      </w:r>
      <w:bookmarkEnd w:id="1228"/>
      <w:bookmarkEnd w:id="1229"/>
      <w:bookmarkEnd w:id="1230"/>
      <w:bookmarkEnd w:id="1231"/>
      <w:bookmarkEnd w:id="1232"/>
      <w:bookmarkEnd w:id="1233"/>
      <w:bookmarkEnd w:id="1234"/>
    </w:p>
    <w:p>
      <w:pPr>
        <w:pStyle w:val="9"/>
      </w:pPr>
      <w:bookmarkStart w:id="1236" w:name="_Toc44323725"/>
      <w:bookmarkStart w:id="1237" w:name="_Toc60823081"/>
      <w:bookmarkStart w:id="1238" w:name="_Toc52989890"/>
      <w:bookmarkStart w:id="1239" w:name="_Toc69305900"/>
      <w:bookmarkStart w:id="1240" w:name="_Toc60825003"/>
      <w:bookmarkStart w:id="1241" w:name="_Toc36226470"/>
      <w:bookmarkStart w:id="1242" w:name="_Toc27477791"/>
      <w:r>
        <w:t>7.4A.4.1</w:t>
      </w:r>
      <w:r>
        <w:tab/>
      </w:r>
      <w:r>
        <w:t>Initial conditions</w:t>
      </w:r>
      <w:bookmarkEnd w:id="1236"/>
      <w:bookmarkEnd w:id="1237"/>
      <w:bookmarkEnd w:id="1238"/>
      <w:bookmarkEnd w:id="1239"/>
      <w:bookmarkEnd w:id="1240"/>
      <w:bookmarkEnd w:id="1241"/>
      <w:bookmarkEnd w:id="1242"/>
    </w:p>
    <w:p>
      <w:r>
        <w:t>Initial conditions are a set of test configurations the UE needs to be tested in and the steps for the SS to take with the UE to reach the correct measurement state.</w:t>
      </w:r>
    </w:p>
    <w:bookmarkEnd w:id="1235"/>
    <w:p>
      <w:r>
        <w:t>The initial test configurations consist of environmental conditions, test frequencies, and channel bandwidths based on E-UTRA</w:t>
      </w:r>
      <w:r>
        <w:rPr>
          <w:lang w:eastAsia="zh-TW"/>
        </w:rPr>
        <w:t xml:space="preserve"> operating</w:t>
      </w:r>
      <w:r>
        <w:t xml:space="preserve"> bands </w:t>
      </w:r>
      <w:r>
        <w:rPr>
          <w:lang w:eastAsia="zh-TW"/>
        </w:rPr>
        <w:t>defined for CAT M1 in clause</w:t>
      </w:r>
      <w:r>
        <w:t xml:space="preserve"> 5.2</w:t>
      </w:r>
      <w:r>
        <w:rPr>
          <w:lang w:eastAsia="zh-TW"/>
        </w:rPr>
        <w:t>E</w:t>
      </w:r>
      <w:r>
        <w:t>. All of these configurations shall be tested with applicable test parameters for each channel bandwidth and are shown in table 7.4</w:t>
      </w:r>
      <w:r>
        <w:rPr>
          <w:lang w:eastAsia="zh-TW"/>
        </w:rPr>
        <w:t>A</w:t>
      </w:r>
      <w:r>
        <w:t xml:space="preserve">.4.1-1. The details of the uplink and downlink reference measurement channels (RMCs) are specified in Annexes A.2 and A.3 respectively. The details of the OCNG patterns used are specified in Annex A.5. </w:t>
      </w:r>
      <w:r>
        <w:rPr>
          <w:rFonts w:cs="v5.0.0"/>
        </w:rPr>
        <w:t xml:space="preserve">Configurations of PDSCH and </w:t>
      </w:r>
      <w:r>
        <w:rPr>
          <w:rFonts w:cs="v5.0.0"/>
          <w:lang w:eastAsia="zh-TW"/>
        </w:rPr>
        <w:t>M</w:t>
      </w:r>
      <w:r>
        <w:rPr>
          <w:rFonts w:cs="v5.0.0"/>
        </w:rPr>
        <w:t>PDCCH before measurement are specified in Annex C.2.</w:t>
      </w:r>
    </w:p>
    <w:p>
      <w:pPr>
        <w:pStyle w:val="113"/>
        <w:rPr>
          <w:lang w:eastAsia="zh-TW"/>
        </w:rPr>
      </w:pPr>
      <w:bookmarkStart w:id="1243" w:name="_Hlk126681279"/>
      <w:r>
        <w:t>Table 7.4</w:t>
      </w:r>
      <w:r>
        <w:rPr>
          <w:lang w:eastAsia="zh-TW"/>
        </w:rPr>
        <w:t>A</w:t>
      </w:r>
      <w:r>
        <w:t>.4.1-1: Test Configuration Table</w:t>
      </w:r>
      <w:r>
        <w:rPr>
          <w:lang w:eastAsia="zh-TW"/>
        </w:rPr>
        <w:t xml:space="preserve"> RX test cases UE Cat-M1</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019"/>
        <w:gridCol w:w="1019"/>
        <w:gridCol w:w="438"/>
        <w:gridCol w:w="581"/>
        <w:gridCol w:w="1019"/>
        <w:gridCol w:w="1019"/>
        <w:gridCol w:w="1019"/>
        <w:gridCol w:w="10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8156" w:type="dxa"/>
            <w:gridSpan w:val="9"/>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4"/>
          </w:tcPr>
          <w:p>
            <w:pPr>
              <w:pStyle w:val="103"/>
            </w:pPr>
            <w:r>
              <w:t>Test Environment as specified in</w:t>
            </w:r>
          </w:p>
          <w:p>
            <w:pPr>
              <w:pStyle w:val="103"/>
            </w:pPr>
            <w:r>
              <w:t>TS 36.508[12] clause 4.1</w:t>
            </w:r>
          </w:p>
        </w:tc>
        <w:tc>
          <w:tcPr>
            <w:tcW w:w="4660" w:type="dxa"/>
            <w:gridSpan w:val="5"/>
          </w:tcPr>
          <w:p>
            <w:pPr>
              <w:pStyle w:val="103"/>
            </w:pPr>
            <w: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4"/>
          </w:tcPr>
          <w:p>
            <w:pPr>
              <w:pStyle w:val="103"/>
            </w:pPr>
            <w:r>
              <w:t>Test Frequencies as specified in</w:t>
            </w:r>
          </w:p>
          <w:p>
            <w:pPr>
              <w:pStyle w:val="103"/>
            </w:pPr>
            <w:r>
              <w:t>TS36.508 [12] clause 4.3.1</w:t>
            </w:r>
          </w:p>
        </w:tc>
        <w:tc>
          <w:tcPr>
            <w:tcW w:w="4660" w:type="dxa"/>
            <w:gridSpan w:val="5"/>
          </w:tcPr>
          <w:p>
            <w:pPr>
              <w:pStyle w:val="103"/>
            </w:pPr>
            <w: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4"/>
          </w:tcPr>
          <w:p>
            <w:pPr>
              <w:pStyle w:val="103"/>
            </w:pPr>
            <w:r>
              <w:t>Test Channel Bandwidths as specified in</w:t>
            </w:r>
          </w:p>
          <w:p>
            <w:pPr>
              <w:pStyle w:val="103"/>
            </w:pPr>
            <w:r>
              <w:t>TS 36.508 [12] clause 4.3.1</w:t>
            </w:r>
          </w:p>
        </w:tc>
        <w:tc>
          <w:tcPr>
            <w:tcW w:w="4660" w:type="dxa"/>
            <w:gridSpan w:val="5"/>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9"/>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tcPr>
          <w:p>
            <w:pPr>
              <w:pStyle w:val="105"/>
            </w:pPr>
          </w:p>
        </w:tc>
        <w:tc>
          <w:tcPr>
            <w:tcW w:w="3057" w:type="dxa"/>
            <w:gridSpan w:val="4"/>
          </w:tcPr>
          <w:p>
            <w:pPr>
              <w:pStyle w:val="104"/>
            </w:pPr>
            <w:r>
              <w:t>Downlink Configuration</w:t>
            </w:r>
          </w:p>
        </w:tc>
        <w:tc>
          <w:tcPr>
            <w:tcW w:w="3057" w:type="dxa"/>
            <w:gridSpan w:val="3"/>
          </w:tcPr>
          <w:p>
            <w:pPr>
              <w:pStyle w:val="104"/>
            </w:pPr>
            <w:r>
              <w:t>Uplink Configuration</w:t>
            </w:r>
          </w:p>
        </w:tc>
        <w:tc>
          <w:tcPr>
            <w:tcW w:w="1022" w:type="dxa"/>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tcPr>
          <w:p>
            <w:pPr>
              <w:pStyle w:val="104"/>
            </w:pPr>
            <w:r>
              <w:t>Ch BW</w:t>
            </w:r>
          </w:p>
        </w:tc>
        <w:tc>
          <w:tcPr>
            <w:tcW w:w="1019" w:type="dxa"/>
          </w:tcPr>
          <w:p>
            <w:pPr>
              <w:pStyle w:val="104"/>
            </w:pPr>
            <w:r>
              <w:t>Mod'n</w:t>
            </w:r>
          </w:p>
        </w:tc>
        <w:tc>
          <w:tcPr>
            <w:tcW w:w="2038" w:type="dxa"/>
            <w:gridSpan w:val="3"/>
          </w:tcPr>
          <w:p>
            <w:pPr>
              <w:pStyle w:val="104"/>
            </w:pPr>
            <w:r>
              <w:t>RB allocation</w:t>
            </w:r>
          </w:p>
        </w:tc>
        <w:tc>
          <w:tcPr>
            <w:tcW w:w="1019" w:type="dxa"/>
          </w:tcPr>
          <w:p>
            <w:pPr>
              <w:pStyle w:val="104"/>
            </w:pPr>
            <w:r>
              <w:t>Mod'n</w:t>
            </w:r>
          </w:p>
        </w:tc>
        <w:tc>
          <w:tcPr>
            <w:tcW w:w="2038" w:type="dxa"/>
            <w:gridSpan w:val="2"/>
          </w:tcPr>
          <w:p>
            <w:pPr>
              <w:pStyle w:val="104"/>
            </w:pPr>
            <w:r>
              <w:t>RB allocation</w:t>
            </w:r>
          </w:p>
        </w:tc>
        <w:tc>
          <w:tcPr>
            <w:tcW w:w="1022" w:type="dxa"/>
            <w:vMerge w:val="restart"/>
          </w:tcPr>
          <w:p>
            <w:pPr>
              <w:pStyle w:val="104"/>
            </w:pPr>
            <w: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tcPr>
          <w:p>
            <w:pPr>
              <w:pStyle w:val="104"/>
            </w:pPr>
          </w:p>
        </w:tc>
        <w:tc>
          <w:tcPr>
            <w:tcW w:w="1019" w:type="dxa"/>
          </w:tcPr>
          <w:p>
            <w:pPr>
              <w:pStyle w:val="104"/>
            </w:pPr>
          </w:p>
        </w:tc>
        <w:tc>
          <w:tcPr>
            <w:tcW w:w="1019" w:type="dxa"/>
          </w:tcPr>
          <w:p>
            <w:pPr>
              <w:pStyle w:val="104"/>
            </w:pPr>
            <w:r>
              <w:t>FDD and HD-FDD</w:t>
            </w:r>
          </w:p>
        </w:tc>
        <w:tc>
          <w:tcPr>
            <w:tcW w:w="1019" w:type="dxa"/>
            <w:gridSpan w:val="2"/>
          </w:tcPr>
          <w:p>
            <w:pPr>
              <w:pStyle w:val="104"/>
            </w:pPr>
            <w:r>
              <w:t>TDD</w:t>
            </w:r>
          </w:p>
        </w:tc>
        <w:tc>
          <w:tcPr>
            <w:tcW w:w="1019" w:type="dxa"/>
          </w:tcPr>
          <w:p>
            <w:pPr>
              <w:pStyle w:val="104"/>
            </w:pPr>
          </w:p>
        </w:tc>
        <w:tc>
          <w:tcPr>
            <w:tcW w:w="1019" w:type="dxa"/>
          </w:tcPr>
          <w:p>
            <w:pPr>
              <w:pStyle w:val="104"/>
            </w:pPr>
            <w:r>
              <w:t>FDD and HD-FDD</w:t>
            </w:r>
          </w:p>
        </w:tc>
        <w:tc>
          <w:tcPr>
            <w:tcW w:w="1019" w:type="dxa"/>
          </w:tcPr>
          <w:p>
            <w:pPr>
              <w:pStyle w:val="104"/>
            </w:pPr>
            <w:r>
              <w:t>TDD</w:t>
            </w:r>
          </w:p>
        </w:tc>
        <w:tc>
          <w:tcPr>
            <w:tcW w:w="1022" w:type="dxa"/>
            <w:vMerge w:val="continue"/>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tcPr>
          <w:p>
            <w:pPr>
              <w:pStyle w:val="105"/>
            </w:pPr>
            <w:r>
              <w:t>1.4MHz</w:t>
            </w:r>
          </w:p>
        </w:tc>
        <w:tc>
          <w:tcPr>
            <w:tcW w:w="1019" w:type="dxa"/>
          </w:tcPr>
          <w:p>
            <w:pPr>
              <w:pStyle w:val="105"/>
            </w:pPr>
            <w:r>
              <w:t>16QAM</w:t>
            </w:r>
          </w:p>
        </w:tc>
        <w:tc>
          <w:tcPr>
            <w:tcW w:w="1019" w:type="dxa"/>
          </w:tcPr>
          <w:p>
            <w:pPr>
              <w:pStyle w:val="105"/>
            </w:pPr>
            <w:r>
              <w:t>2</w:t>
            </w:r>
          </w:p>
        </w:tc>
        <w:tc>
          <w:tcPr>
            <w:tcW w:w="1019" w:type="dxa"/>
            <w:gridSpan w:val="2"/>
          </w:tcPr>
          <w:p>
            <w:pPr>
              <w:pStyle w:val="105"/>
            </w:pPr>
            <w:r>
              <w:t>2</w:t>
            </w:r>
          </w:p>
        </w:tc>
        <w:tc>
          <w:tcPr>
            <w:tcW w:w="1019" w:type="dxa"/>
          </w:tcPr>
          <w:p>
            <w:pPr>
              <w:pStyle w:val="105"/>
            </w:pPr>
            <w:r>
              <w:t>QPSK</w:t>
            </w:r>
          </w:p>
        </w:tc>
        <w:tc>
          <w:tcPr>
            <w:tcW w:w="1019" w:type="dxa"/>
          </w:tcPr>
          <w:p>
            <w:pPr>
              <w:pStyle w:val="105"/>
            </w:pPr>
            <w:r>
              <w:t>6</w:t>
            </w:r>
          </w:p>
        </w:tc>
        <w:tc>
          <w:tcPr>
            <w:tcW w:w="1019" w:type="dxa"/>
          </w:tcPr>
          <w:p>
            <w:pPr>
              <w:pStyle w:val="105"/>
            </w:pPr>
            <w:r>
              <w:t>6</w:t>
            </w:r>
          </w:p>
        </w:tc>
        <w:tc>
          <w:tcPr>
            <w:tcW w:w="1022" w:type="dxa"/>
          </w:tcPr>
          <w:p>
            <w:pPr>
              <w:pStyle w:val="105"/>
            </w:pPr>
            <w: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56" w:type="dxa"/>
            <w:gridSpan w:val="9"/>
          </w:tcPr>
          <w:p>
            <w:pPr>
              <w:pStyle w:val="118"/>
            </w:pPr>
            <w:r>
              <w:t>Note 1:</w:t>
            </w:r>
            <w:r>
              <w:tab/>
            </w:r>
            <w:r>
              <w:t>Downlink RB position shall be RB</w:t>
            </w:r>
            <w:r>
              <w:rPr>
                <w:vertAlign w:val="subscript"/>
              </w:rPr>
              <w:t>start</w:t>
            </w:r>
            <w:r>
              <w:t xml:space="preserve"> = 0 within the narrowband</w:t>
            </w:r>
          </w:p>
          <w:p>
            <w:pPr>
              <w:pStyle w:val="118"/>
            </w:pPr>
            <w:r>
              <w:t>Note 2:</w:t>
            </w:r>
            <w:r>
              <w:tab/>
            </w:r>
            <w:r>
              <w:t>The Narrowband index (TS36.211, 5.2.4) shall be set to 0 for all testpoints.</w:t>
            </w:r>
          </w:p>
        </w:tc>
      </w:tr>
    </w:tbl>
    <w:p/>
    <w:bookmarkEnd w:id="1243"/>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1.</w:t>
      </w:r>
      <w:r>
        <w:rPr>
          <w:rFonts w:eastAsia="Times New Roman"/>
          <w:lang w:eastAsia="en-GB"/>
        </w:rPr>
        <w:tab/>
      </w:r>
      <w:r>
        <w:rPr>
          <w:rFonts w:eastAsia="Times New Roman"/>
          <w:lang w:eastAsia="en-GB"/>
        </w:rPr>
        <w:t>Connect the SS to the UE antenna connectors as shown in TS 36.508[12] Annex A Figure A.3 using only main UE Tx/Rx antenna.</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2.</w:t>
      </w:r>
      <w:r>
        <w:rPr>
          <w:rFonts w:eastAsia="Times New Roman"/>
          <w:lang w:eastAsia="en-GB"/>
        </w:rPr>
        <w:tab/>
      </w:r>
      <w:r>
        <w:rPr>
          <w:rFonts w:eastAsia="Times New Roman"/>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3.</w:t>
      </w:r>
      <w:r>
        <w:rPr>
          <w:rFonts w:eastAsia="Times New Roman"/>
          <w:lang w:eastAsia="en-GB"/>
        </w:rPr>
        <w:tab/>
      </w:r>
      <w:r>
        <w:rPr>
          <w:rFonts w:eastAsia="Times New Roman"/>
          <w:lang w:eastAsia="en-GB"/>
        </w:rPr>
        <w:t>Downlink signals are initially set up according to Annex C0, C.1 and C.3.1, and uplink signals according to Annex H.1 and H.3.1.</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4.</w:t>
      </w:r>
      <w:r>
        <w:rPr>
          <w:rFonts w:eastAsia="Times New Roman"/>
          <w:lang w:eastAsia="en-GB"/>
        </w:rPr>
        <w:tab/>
      </w:r>
      <w:r>
        <w:rPr>
          <w:rFonts w:eastAsia="Times New Roman"/>
          <w:lang w:eastAsia="en-GB"/>
        </w:rPr>
        <w:t>The UL and DL Reference Measurement channels are set according to Table 7.4A.4.1-1.</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5.</w:t>
      </w:r>
      <w:r>
        <w:rPr>
          <w:rFonts w:eastAsia="Times New Roman"/>
          <w:lang w:eastAsia="en-GB"/>
        </w:rPr>
        <w:tab/>
      </w:r>
      <w:r>
        <w:rPr>
          <w:rFonts w:eastAsia="Times New Roman"/>
          <w:lang w:eastAsia="en-GB"/>
        </w:rPr>
        <w:t>Propagation conditions are set according to Annex B.0.</w:t>
      </w:r>
    </w:p>
    <w:p>
      <w:pPr>
        <w:pStyle w:val="111"/>
        <w:overflowPunct w:val="0"/>
        <w:autoSpaceDE w:val="0"/>
        <w:autoSpaceDN w:val="0"/>
        <w:adjustRightInd w:val="0"/>
        <w:contextualSpacing w:val="0"/>
        <w:textAlignment w:val="baseline"/>
        <w:rPr>
          <w:rFonts w:eastAsia="Times New Roman"/>
          <w:lang w:eastAsia="en-GB"/>
        </w:rPr>
      </w:pPr>
      <w:r>
        <w:rPr>
          <w:rFonts w:hint="eastAsia" w:eastAsia="Times New Roman"/>
          <w:lang w:eastAsia="en-GB"/>
        </w:rPr>
        <w:t>6.</w:t>
      </w:r>
      <w:r>
        <w:rPr>
          <w:rFonts w:hint="eastAsia" w:eastAsia="Times New Roman"/>
          <w:lang w:eastAsia="en-GB"/>
        </w:rPr>
        <w:tab/>
      </w:r>
      <w:r>
        <w:rPr>
          <w:rFonts w:hint="eastAsia" w:eastAsia="Times New Roman"/>
          <w:lang w:eastAsia="en-GB"/>
        </w:rPr>
        <w:t xml:space="preserve">UE location according to TS 36.508 [12] clause </w:t>
      </w:r>
      <w:r>
        <w:rPr>
          <w:rFonts w:eastAsia="Times New Roman"/>
          <w:lang w:eastAsia="en-GB"/>
        </w:rPr>
        <w:t>5.6.1</w:t>
      </w:r>
      <w:r>
        <w:rPr>
          <w:rFonts w:hint="eastAsia" w:eastAsia="Times New Roman"/>
          <w:lang w:eastAsia="en-GB"/>
        </w:rPr>
        <w:t xml:space="preserve"> is provided to the UE through any preconfigured means.</w:t>
      </w:r>
    </w:p>
    <w:p>
      <w:pPr>
        <w:pStyle w:val="111"/>
        <w:overflowPunct w:val="0"/>
        <w:autoSpaceDE w:val="0"/>
        <w:autoSpaceDN w:val="0"/>
        <w:adjustRightInd w:val="0"/>
        <w:contextualSpacing w:val="0"/>
        <w:textAlignment w:val="baseline"/>
        <w:rPr>
          <w:lang w:eastAsia="en-GB"/>
        </w:rPr>
      </w:pPr>
      <w:r>
        <w:rPr>
          <w:rFonts w:hint="eastAsia" w:eastAsia="Times New Roman"/>
          <w:lang w:eastAsia="en-GB"/>
        </w:rPr>
        <w:t>7.</w:t>
      </w:r>
      <w:r>
        <w:rPr>
          <w:rFonts w:hint="eastAsia" w:eastAsia="Times New Roman"/>
          <w:lang w:eastAsia="en-GB"/>
        </w:rPr>
        <w:tab/>
      </w:r>
      <w:r>
        <w:rPr>
          <w:lang w:eastAsia="en-GB"/>
        </w:rPr>
        <w:t xml:space="preserve">Test equipment shall emulate </w:t>
      </w:r>
      <w:r>
        <w:rPr>
          <w:rFonts w:hint="eastAsia"/>
          <w:color w:val="auto"/>
          <w:lang w:eastAsia="en-GB"/>
        </w:rPr>
        <w:t xml:space="preserve">the signal with doppler and delay according to ephemeris defined in TS 36.508 [12] table </w:t>
      </w:r>
      <w:r>
        <w:rPr>
          <w:color w:val="auto"/>
          <w:lang w:eastAsia="en-GB"/>
        </w:rPr>
        <w:t>5</w:t>
      </w:r>
      <w:r>
        <w:rPr>
          <w:rFonts w:hint="eastAsia"/>
          <w:color w:val="auto"/>
          <w:lang w:eastAsia="en-GB"/>
        </w:rPr>
        <w:t xml:space="preserve">.6.2.1-1 for GSO if UE supports only GSO or both GSO and NGSO satellites and table </w:t>
      </w:r>
      <w:r>
        <w:rPr>
          <w:color w:val="auto"/>
          <w:lang w:eastAsia="en-GB"/>
        </w:rPr>
        <w:t>5</w:t>
      </w:r>
      <w:r>
        <w:rPr>
          <w:rFonts w:hint="eastAsia"/>
          <w:color w:val="auto"/>
          <w:lang w:eastAsia="en-GB"/>
        </w:rPr>
        <w:t>.6.2.1-3 for NGSO (LEO-1200) if UE supports only NGSO satellites</w:t>
      </w:r>
      <w:r>
        <w:rPr>
          <w:lang w:eastAsia="en-GB"/>
        </w:rPr>
        <w:t>. Test system shall send same SIB31 information during the duration of the test as define in TS 36.508[12] clause 5.6.3.1</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8.</w:t>
      </w:r>
      <w:r>
        <w:rPr>
          <w:rFonts w:eastAsia="Times New Roman"/>
          <w:lang w:eastAsia="en-GB"/>
        </w:rPr>
        <w:tab/>
      </w:r>
      <w:r>
        <w:rPr>
          <w:lang w:eastAsia="en-GB"/>
        </w:rPr>
        <w:t>Deactivate UE prediction of satellite trajectory by any preconfigured means.</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9</w:t>
      </w:r>
      <w:r>
        <w:rPr>
          <w:rFonts w:hint="eastAsia" w:eastAsia="Times New Roman"/>
          <w:lang w:eastAsia="en-GB"/>
        </w:rPr>
        <w:t>.</w:t>
      </w:r>
      <w:r>
        <w:rPr>
          <w:rFonts w:hint="eastAsia" w:eastAsia="Times New Roman"/>
          <w:lang w:eastAsia="en-GB"/>
        </w:rPr>
        <w:tab/>
      </w:r>
      <w:r>
        <w:rPr>
          <w:rFonts w:hint="eastAsia" w:eastAsia="Times New Roman"/>
          <w:lang w:eastAsia="en-GB"/>
        </w:rPr>
        <w:t>Ensure the UE is in State 3A-RF-CE according to TS 36.508 [12] clause 5.2A.2AA. Message contents are defined in clause 7.4A.4.3.</w:t>
      </w:r>
    </w:p>
    <w:p>
      <w:pPr>
        <w:pStyle w:val="9"/>
      </w:pPr>
      <w:bookmarkStart w:id="1244" w:name="_Toc44323726"/>
      <w:bookmarkStart w:id="1245" w:name="_Toc36226471"/>
      <w:bookmarkStart w:id="1246" w:name="_Toc60823082"/>
      <w:bookmarkStart w:id="1247" w:name="_Toc27477792"/>
      <w:bookmarkStart w:id="1248" w:name="_Toc52989891"/>
      <w:bookmarkStart w:id="1249" w:name="_Toc69305901"/>
      <w:bookmarkStart w:id="1250" w:name="_Toc60825004"/>
      <w:bookmarkStart w:id="1251" w:name="_Hlk126681595"/>
      <w:r>
        <w:t>7.4A.4.2</w:t>
      </w:r>
      <w:r>
        <w:tab/>
      </w:r>
      <w:r>
        <w:t>Test procedure</w:t>
      </w:r>
      <w:bookmarkEnd w:id="1244"/>
      <w:bookmarkEnd w:id="1245"/>
      <w:bookmarkEnd w:id="1246"/>
      <w:bookmarkEnd w:id="1247"/>
      <w:bookmarkEnd w:id="1248"/>
      <w:bookmarkEnd w:id="1249"/>
      <w:bookmarkEnd w:id="1250"/>
    </w:p>
    <w:bookmarkEnd w:id="1251"/>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1.</w:t>
      </w:r>
      <w:r>
        <w:rPr>
          <w:rFonts w:eastAsia="Times New Roman"/>
          <w:lang w:eastAsia="en-GB"/>
        </w:rPr>
        <w:tab/>
      </w:r>
      <w:r>
        <w:rPr>
          <w:rFonts w:eastAsia="Times New Roman"/>
          <w:lang w:eastAsia="en-GB"/>
        </w:rPr>
        <w:t>SS transmits PDSCH via M-PDCCH DCI format 6-1A for C_RNTI to transmit the DL RMC according to Table 7.4A.4.1-1. The SS sends downlink MAC padding bits on the DL RMC.</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2.</w:t>
      </w:r>
      <w:r>
        <w:rPr>
          <w:rFonts w:eastAsia="Times New Roman"/>
          <w:lang w:eastAsia="en-GB"/>
        </w:rPr>
        <w:tab/>
      </w:r>
      <w:r>
        <w:rPr>
          <w:rFonts w:eastAsia="Times New Roman"/>
          <w:lang w:eastAsia="en-GB"/>
        </w:rPr>
        <w:t>SS sends uplink scheduling information for each UL HARQ process via M-PDCCH DCI format 0 for C_RNTI to schedule the UL RMC according to Table 7.4A.4.1-1.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3.</w:t>
      </w:r>
      <w:r>
        <w:rPr>
          <w:rFonts w:eastAsia="Times New Roman"/>
          <w:lang w:eastAsia="en-GB"/>
        </w:rPr>
        <w:tab/>
      </w:r>
      <w:r>
        <w:rPr>
          <w:rFonts w:eastAsia="Times New Roman"/>
          <w:lang w:eastAsia="en-GB"/>
        </w:rPr>
        <w:t>Set the Downlink signal level to the value defined in Table 7.4A.5-1. Send Uplink power control commands to the UE (less or equal to 1dB step size should be used), to ensure that the UE output power is within +0, - 3.4 dB of the target level in Table 7.4A.5-1 for carrier frequency f ≤ 3.0GHz or within +0, -4.0 dB of the target level for carrier frequency 3.0GHz &lt; f ≤ 4.2GHz, for at least the duration of the Throughput measurement.</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4.</w:t>
      </w:r>
      <w:r>
        <w:rPr>
          <w:rFonts w:eastAsia="Times New Roman"/>
          <w:lang w:eastAsia="en-GB"/>
        </w:rPr>
        <w:tab/>
      </w:r>
      <w:r>
        <w:rPr>
          <w:rFonts w:eastAsia="Times New Roman"/>
          <w:lang w:eastAsia="en-GB"/>
        </w:rPr>
        <w:t>Measure the average throughput for a duration sufficient to achieve statistical significance according to Annex G.2.</w:t>
      </w:r>
    </w:p>
    <w:p>
      <w:pPr>
        <w:pStyle w:val="9"/>
      </w:pPr>
      <w:bookmarkStart w:id="1252" w:name="_Hlk126681895"/>
      <w:r>
        <w:t>7.4A.4.3</w:t>
      </w:r>
      <w:r>
        <w:tab/>
      </w:r>
      <w:r>
        <w:t>Message contents</w:t>
      </w:r>
    </w:p>
    <w:p>
      <w:pPr>
        <w:overflowPunct w:val="0"/>
        <w:autoSpaceDE w:val="0"/>
        <w:autoSpaceDN w:val="0"/>
        <w:adjustRightInd w:val="0"/>
        <w:textAlignment w:val="baseline"/>
        <w:rPr>
          <w:rFonts w:eastAsia="Malgun Gothic"/>
          <w:lang w:eastAsia="en-GB"/>
        </w:rPr>
      </w:pPr>
      <w:r>
        <w:rPr>
          <w:rFonts w:eastAsia="Malgun Gothic"/>
          <w:lang w:eastAsia="en-GB"/>
        </w:rPr>
        <w:t>Message contents are according to TS 36.508 [12] subclause 4.6 with the following exception.</w:t>
      </w:r>
    </w:p>
    <w:bookmarkEnd w:id="1252"/>
    <w:p>
      <w:pPr>
        <w:pStyle w:val="113"/>
      </w:pPr>
      <w:r>
        <w:t xml:space="preserve">Table </w:t>
      </w:r>
      <w:r>
        <w:rPr>
          <w:rFonts w:eastAsia="宋体"/>
        </w:rPr>
        <w:t>7.4A.4.</w:t>
      </w:r>
      <w:r>
        <w:t>3</w:t>
      </w:r>
      <w:r>
        <w:rPr>
          <w:rFonts w:eastAsia="宋体"/>
        </w:rPr>
        <w:t>-</w:t>
      </w:r>
      <w:r>
        <w:t>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p0-UePUSCH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p0-uePUCCH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
          <w:p>
            <w:pPr>
              <w:pStyle w:val="103"/>
            </w:pPr>
            <w:r>
              <w:rPr>
                <w:rFonts w:eastAsia="宋体"/>
              </w:rPr>
              <w:t>f</w:t>
            </w:r>
            <w:r>
              <w:t>c</w:t>
            </w:r>
            <w:r>
              <w:rPr>
                <w:rFonts w:eastAsia="宋体"/>
              </w:rPr>
              <w:t>8</w:t>
            </w:r>
          </w:p>
        </w:tc>
        <w:tc>
          <w:tcPr>
            <w:tcW w:w="1701" w:type="dxa"/>
            <w:tcBorders>
              <w:top w:val="single" w:color="auto" w:sz="4" w:space="0"/>
              <w:left w:val="single" w:color="auto" w:sz="4" w:space="0"/>
              <w:bottom w:val="single" w:color="auto" w:sz="4" w:space="0"/>
              <w:right w:val="single" w:color="auto" w:sz="4" w:space="0"/>
            </w:tcBorders>
          </w:tcPr>
          <w:p>
            <w:pPr>
              <w:pStyle w:val="103"/>
            </w:pPr>
            <w:r>
              <w:rPr>
                <w:rFonts w:eastAsia="宋体"/>
              </w:rPr>
              <w:t>larger</w:t>
            </w:r>
            <w:r>
              <w:t xml:space="preserve"> filter length </w:t>
            </w:r>
            <w:r>
              <w:rPr>
                <w:rFonts w:eastAsia="宋体"/>
              </w:rPr>
              <w:t xml:space="preserve">is used </w:t>
            </w:r>
            <w:r>
              <w:t xml:space="preserve">to </w:t>
            </w:r>
            <w:r>
              <w:rPr>
                <w:rFonts w:eastAsia="宋体"/>
              </w:rPr>
              <w:t>reduce</w:t>
            </w:r>
            <w:r>
              <w:t xml:space="preserve"> the RSRP measurement variation</w:t>
            </w: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113"/>
      </w:pPr>
      <w:r>
        <w:t xml:space="preserve">Table </w:t>
      </w:r>
      <w:r>
        <w:rPr>
          <w:snapToGrid w:val="0"/>
        </w:rPr>
        <w:t>7.4A.4.3-2</w:t>
      </w:r>
      <w:r>
        <w:t>: EPDCCH-Config-r11-DEFAULT</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4535"/>
        <w:gridCol w:w="2267"/>
        <w:gridCol w:w="1700"/>
        <w:gridCol w:w="11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9635" w:type="dxa"/>
            <w:gridSpan w:val="4"/>
          </w:tcPr>
          <w:p>
            <w:pPr>
              <w:pStyle w:val="103"/>
            </w:pPr>
            <w:r>
              <w:t>Derivation Path: 36.331 clause 6.3.2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Pr>
          <w:p>
            <w:pPr>
              <w:pStyle w:val="103"/>
            </w:pPr>
            <w:r>
              <w:t xml:space="preserve">          mpdcch-NumRepetition-r13</w:t>
            </w:r>
          </w:p>
        </w:tc>
        <w:tc>
          <w:tcPr>
            <w:tcW w:w="2267" w:type="dxa"/>
          </w:tcPr>
          <w:p>
            <w:pPr>
              <w:pStyle w:val="103"/>
            </w:pPr>
            <w:r>
              <w:t>r1</w:t>
            </w:r>
          </w:p>
        </w:tc>
        <w:tc>
          <w:tcPr>
            <w:tcW w:w="1700" w:type="dxa"/>
          </w:tcPr>
          <w:p>
            <w:pPr>
              <w:pStyle w:val="103"/>
            </w:pPr>
          </w:p>
        </w:tc>
        <w:tc>
          <w:tcPr>
            <w:tcW w:w="1133" w:type="dxa"/>
          </w:tcPr>
          <w:p>
            <w:pPr>
              <w:pStyle w:val="103"/>
            </w:pPr>
          </w:p>
        </w:tc>
      </w:tr>
    </w:tbl>
    <w:p/>
    <w:p>
      <w:pPr>
        <w:pStyle w:val="9"/>
      </w:pPr>
      <w:r>
        <w:t>7.4A.5</w:t>
      </w:r>
      <w:r>
        <w:tab/>
      </w:r>
      <w:r>
        <w:t>Test requirement</w:t>
      </w:r>
    </w:p>
    <w:p>
      <w:r>
        <w:rPr>
          <w:lang w:eastAsia="zh-TW"/>
        </w:rPr>
        <w:t>The throughput shall be ≥ 95% of the maximum throughput of the reference measurement channels as specified in Annex A.2.2, A.2.3 and A.3.2 with parameters spec</w:t>
      </w:r>
      <w:r>
        <w:t>ified in Table 7.4</w:t>
      </w:r>
      <w:r>
        <w:rPr>
          <w:lang w:eastAsia="zh-TW"/>
        </w:rPr>
        <w:t>A</w:t>
      </w:r>
      <w:r>
        <w:t>.5-1.</w:t>
      </w:r>
    </w:p>
    <w:p>
      <w:pPr>
        <w:pStyle w:val="113"/>
      </w:pPr>
      <w:r>
        <w:t>Table 7.4A.5-1: Maximum input level</w:t>
      </w:r>
    </w:p>
    <w:tbl>
      <w:tblPr>
        <w:tblStyle w:val="89"/>
        <w:tblW w:w="73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851"/>
        <w:gridCol w:w="39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51" w:type="dxa"/>
            <w:vMerge w:val="restart"/>
          </w:tcPr>
          <w:p>
            <w:pPr>
              <w:pStyle w:val="104"/>
              <w:rPr>
                <w:rFonts w:cs="Arial"/>
              </w:rPr>
            </w:pPr>
            <w:r>
              <w:rPr>
                <w:rFonts w:cs="Arial"/>
              </w:rPr>
              <w:t>Rx Parameter</w:t>
            </w:r>
          </w:p>
        </w:tc>
        <w:tc>
          <w:tcPr>
            <w:tcW w:w="851" w:type="dxa"/>
            <w:vMerge w:val="restart"/>
          </w:tcPr>
          <w:p>
            <w:pPr>
              <w:pStyle w:val="104"/>
              <w:rPr>
                <w:rFonts w:cs="Arial"/>
              </w:rPr>
            </w:pPr>
            <w:r>
              <w:rPr>
                <w:rFonts w:cs="Arial"/>
              </w:rPr>
              <w:t xml:space="preserve">Units </w:t>
            </w:r>
          </w:p>
        </w:tc>
        <w:tc>
          <w:tcPr>
            <w:tcW w:w="3997" w:type="dxa"/>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jc w:val="center"/>
        </w:trPr>
        <w:tc>
          <w:tcPr>
            <w:tcW w:w="2551" w:type="dxa"/>
            <w:vMerge w:val="continue"/>
          </w:tcPr>
          <w:p>
            <w:pPr>
              <w:pStyle w:val="104"/>
              <w:rPr>
                <w:rFonts w:cs="Arial"/>
              </w:rPr>
            </w:pPr>
          </w:p>
        </w:tc>
        <w:tc>
          <w:tcPr>
            <w:tcW w:w="851" w:type="dxa"/>
            <w:vMerge w:val="continue"/>
          </w:tcPr>
          <w:p>
            <w:pPr>
              <w:pStyle w:val="104"/>
              <w:rPr>
                <w:rFonts w:cs="Arial"/>
              </w:rPr>
            </w:pPr>
          </w:p>
        </w:tc>
        <w:tc>
          <w:tcPr>
            <w:tcW w:w="3997" w:type="dxa"/>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51" w:type="dxa"/>
          </w:tcPr>
          <w:p>
            <w:pPr>
              <w:pStyle w:val="103"/>
              <w:rPr>
                <w:rFonts w:cs="Arial"/>
              </w:rPr>
            </w:pPr>
            <w:r>
              <w:rPr>
                <w:rFonts w:cs="Arial"/>
              </w:rPr>
              <w:t>Power in Transmission Bandwidth Configuration</w:t>
            </w:r>
          </w:p>
        </w:tc>
        <w:tc>
          <w:tcPr>
            <w:tcW w:w="851" w:type="dxa"/>
            <w:vAlign w:val="center"/>
          </w:tcPr>
          <w:p>
            <w:pPr>
              <w:pStyle w:val="105"/>
              <w:rPr>
                <w:rFonts w:cs="Arial"/>
              </w:rPr>
            </w:pPr>
            <w:r>
              <w:rPr>
                <w:rFonts w:cs="Arial"/>
              </w:rPr>
              <w:t>dBm</w:t>
            </w:r>
          </w:p>
        </w:tc>
        <w:tc>
          <w:tcPr>
            <w:tcW w:w="3997" w:type="dxa"/>
            <w:vAlign w:val="center"/>
          </w:tcPr>
          <w:p>
            <w:pPr>
              <w:pStyle w:val="105"/>
              <w:rPr>
                <w:rFonts w:cs="Arial"/>
              </w:rPr>
            </w:pPr>
            <w:r>
              <w:rPr>
                <w:rFonts w:cs="Arial"/>
                <w:lang w:eastAsia="zh-TW"/>
              </w:rPr>
              <w:t>-40</w:t>
            </w:r>
            <w:r>
              <w:rPr>
                <w:rFonts w:hint="eastAsia" w:cs="Arial"/>
                <w:vertAlign w:val="superscript"/>
                <w:lang w:eastAsia="zh-CN"/>
              </w:rPr>
              <w:t>2</w:t>
            </w:r>
            <w:r>
              <w:rPr>
                <w:rFonts w:cs="Arial"/>
                <w:lang w:eastAsia="zh-TW"/>
              </w:rPr>
              <w:t xml:space="preserve">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7399" w:type="dxa"/>
            <w:gridSpan w:val="3"/>
          </w:tcPr>
          <w:p>
            <w:pPr>
              <w:pStyle w:val="118"/>
            </w:pPr>
            <w:r>
              <w:t>NOTE 1:</w:t>
            </w:r>
            <w:r>
              <w:tab/>
            </w:r>
            <w:r>
              <w:t>The transmitter shall be set to 4dB below P</w:t>
            </w:r>
            <w:r>
              <w:rPr>
                <w:vertAlign w:val="subscript"/>
              </w:rPr>
              <w:t xml:space="preserve">CMAX_L </w:t>
            </w:r>
            <w:r>
              <w:t>with P</w:t>
            </w:r>
            <w:r>
              <w:rPr>
                <w:vertAlign w:val="subscript"/>
              </w:rPr>
              <w:t xml:space="preserve">CMAX_L </w:t>
            </w:r>
            <w:r>
              <w:t>as defined in clause 6.2A.4.</w:t>
            </w:r>
          </w:p>
          <w:p>
            <w:pPr>
              <w:pStyle w:val="118"/>
              <w:rPr>
                <w:rFonts w:eastAsia="MS Mincho" w:cs="Arial"/>
              </w:rPr>
            </w:pPr>
            <w:r>
              <w:t>NOTE 2:</w:t>
            </w:r>
            <w:r>
              <w:tab/>
            </w:r>
            <w:r>
              <w:t>Reference measurement channel is Annex A.3.2 64QAM R=3/4variant with one sided dynamic OCNG Pattern OP.1 FDD/TDD as described in Annex A.5.1.1.</w:t>
            </w:r>
          </w:p>
        </w:tc>
      </w:tr>
    </w:tbl>
    <w:p>
      <w:pPr>
        <w:rPr>
          <w:lang w:eastAsia="zh-TW"/>
        </w:rPr>
      </w:pPr>
    </w:p>
    <w:p>
      <w:pPr>
        <w:pStyle w:val="4"/>
      </w:pPr>
      <w:bookmarkStart w:id="1253" w:name="_Toc24320"/>
      <w:bookmarkStart w:id="1254" w:name="_Toc12814"/>
      <w:bookmarkStart w:id="1255" w:name="_Toc8128"/>
      <w:bookmarkStart w:id="1256" w:name="_Toc21177"/>
      <w:bookmarkStart w:id="1257" w:name="_Toc25645"/>
      <w:bookmarkStart w:id="1258" w:name="_Toc31888"/>
      <w:bookmarkStart w:id="1259" w:name="_Toc10646"/>
      <w:r>
        <w:t>7.4B</w:t>
      </w:r>
      <w:r>
        <w:tab/>
      </w:r>
      <w:r>
        <w:t>Maximum input level for category NB1 and NB2</w:t>
      </w:r>
      <w:bookmarkEnd w:id="1207"/>
      <w:bookmarkEnd w:id="1208"/>
      <w:bookmarkEnd w:id="1253"/>
      <w:bookmarkEnd w:id="1254"/>
      <w:bookmarkEnd w:id="1255"/>
      <w:bookmarkEnd w:id="1256"/>
      <w:bookmarkEnd w:id="1257"/>
      <w:bookmarkEnd w:id="1258"/>
      <w:bookmarkEnd w:id="1259"/>
    </w:p>
    <w:p>
      <w:pPr>
        <w:pStyle w:val="112"/>
        <w:rPr>
          <w:i w:val="0"/>
          <w:iCs w:val="0"/>
          <w:lang w:val="en-GB"/>
        </w:rPr>
      </w:pPr>
      <w:bookmarkStart w:id="1260" w:name="_Toc121162889"/>
      <w:bookmarkStart w:id="1261" w:name="_Toc111062085"/>
      <w:bookmarkStart w:id="1262" w:name="_Toc120570097"/>
      <w:bookmarkStart w:id="1263" w:name="_Toc368026372"/>
      <w:r>
        <w:t>Editor’s Note: Addition to applicability spec is pending.</w:t>
      </w:r>
    </w:p>
    <w:p>
      <w:pPr>
        <w:pStyle w:val="9"/>
      </w:pPr>
      <w:r>
        <w:t>7.4B.1</w:t>
      </w:r>
      <w:r>
        <w:tab/>
      </w:r>
      <w:r>
        <w:t>Test purpose</w:t>
      </w:r>
    </w:p>
    <w:p>
      <w:r>
        <w:t>Maximum input level tests the UE's ability to receive data with a given average throughput for a specified reference measurement channel, under conditions of high signal level, ideal propagation and no added noise.</w:t>
      </w:r>
    </w:p>
    <w:p>
      <w:r>
        <w:t>A UE unable to meet the throughput requirement under these conditions will decrease the coverage area near to an e-NodeB.</w:t>
      </w:r>
    </w:p>
    <w:p>
      <w:pPr>
        <w:pStyle w:val="9"/>
      </w:pPr>
      <w:r>
        <w:t>7.4B.2</w:t>
      </w:r>
      <w:r>
        <w:tab/>
      </w:r>
      <w:r>
        <w:t>Test applicability</w:t>
      </w:r>
    </w:p>
    <w:p>
      <w:r>
        <w:t>This test case applies to all types of NB-IoT</w:t>
      </w:r>
      <w:r>
        <w:rPr>
          <w:lang w:eastAsia="zh-TW"/>
        </w:rPr>
        <w:t xml:space="preserve"> HD-FDD </w:t>
      </w:r>
      <w:r>
        <w:t xml:space="preserve">UE release 17 and forward of category NB1 and NB2 </w:t>
      </w:r>
      <w:r>
        <w:rPr>
          <w:lang w:eastAsia="zh-TW"/>
        </w:rPr>
        <w:t>that support satellite access operation</w:t>
      </w:r>
      <w:r>
        <w:t>.</w:t>
      </w:r>
    </w:p>
    <w:p>
      <w:pPr>
        <w:pStyle w:val="9"/>
      </w:pPr>
      <w:r>
        <w:t>7.4B.3</w:t>
      </w:r>
      <w:r>
        <w:tab/>
      </w:r>
      <w:r>
        <w:t>Minimum conformance requirements</w:t>
      </w:r>
    </w:p>
    <w:p>
      <w:pPr>
        <w:rPr>
          <w:rFonts w:cs="v5.0.0"/>
        </w:rPr>
      </w:pPr>
      <w:r>
        <w:rPr>
          <w:rFonts w:cs="v5.0.0"/>
        </w:rPr>
        <w:t xml:space="preserve">This is defined as the maximum mean power received at the UE antenna port, at which the specified relative throughput shall </w:t>
      </w:r>
      <w:r>
        <w:t>meet or exceed the minimum requirements for the specified reference measurement channel</w:t>
      </w:r>
      <w:r>
        <w:rPr>
          <w:rFonts w:cs="v5.0.0"/>
        </w:rPr>
        <w:t>.</w:t>
      </w:r>
    </w:p>
    <w:p>
      <w:r>
        <w:t>Category NB1 and NB2 UE maximum input level requirement is -40 dBm. For this input level the throughput shall be ≥ 95% of the maximum throughput of the reference measurement channel as specified in Annex A.3.2 of TS 36.101 [7].</w:t>
      </w:r>
    </w:p>
    <w:p>
      <w:r>
        <w:t>The normative reference for this requirement is TS 36.102 [11] clause 7.4B.</w:t>
      </w:r>
    </w:p>
    <w:p>
      <w:pPr>
        <w:pStyle w:val="9"/>
      </w:pPr>
      <w:r>
        <w:t>7.4B.4</w:t>
      </w:r>
      <w:r>
        <w:tab/>
      </w:r>
      <w:r>
        <w:t>Test description</w:t>
      </w:r>
    </w:p>
    <w:p>
      <w:pPr>
        <w:pStyle w:val="9"/>
      </w:pPr>
      <w:r>
        <w:t>7.4B.4.1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Annexes A.2 and A.3 respectively. Configurations of NPDSCH and NPDCCH before measurement are specified in Annex C.2.</w:t>
      </w:r>
    </w:p>
    <w:p>
      <w:pPr>
        <w:pStyle w:val="113"/>
      </w:pPr>
      <w:r>
        <w:t>Table 7.4B.4.1-1: Test Configuration 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164"/>
        <w:gridCol w:w="135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tcPr>
          <w:p>
            <w:pPr>
              <w:pStyle w:val="103"/>
            </w:pPr>
            <w: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164" w:type="dxa"/>
          </w:tcPr>
          <w:p>
            <w:pPr>
              <w:pStyle w:val="105"/>
            </w:pPr>
            <w:r>
              <w:t>Modulation</w:t>
            </w:r>
          </w:p>
        </w:tc>
        <w:tc>
          <w:tcPr>
            <w:tcW w:w="1354" w:type="dxa"/>
          </w:tcPr>
          <w:p>
            <w:pPr>
              <w:pStyle w:val="105"/>
            </w:pPr>
            <w:r>
              <w:t>Subcarriers</w:t>
            </w:r>
          </w:p>
        </w:tc>
        <w:tc>
          <w:tcPr>
            <w:tcW w:w="2139" w:type="dxa"/>
          </w:tcPr>
          <w:p>
            <w:pPr>
              <w:pStyle w:val="105"/>
            </w:pPr>
            <w:r>
              <w:t>Modulation</w:t>
            </w:r>
          </w:p>
        </w:tc>
        <w:tc>
          <w:tcPr>
            <w:tcW w:w="1164" w:type="dxa"/>
          </w:tcPr>
          <w:p>
            <w:pPr>
              <w:pStyle w:val="105"/>
            </w:pPr>
            <w:r>
              <w:t>N</w:t>
            </w:r>
            <w:r>
              <w:rPr>
                <w:vertAlign w:val="subscript"/>
              </w:rPr>
              <w:t>tones</w:t>
            </w:r>
          </w:p>
        </w:tc>
        <w:tc>
          <w:tcPr>
            <w:tcW w:w="1194" w:type="dxa"/>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1164" w:type="dxa"/>
          </w:tcPr>
          <w:p>
            <w:pPr>
              <w:pStyle w:val="105"/>
            </w:pPr>
            <w:r>
              <w:t>QPSK</w:t>
            </w:r>
          </w:p>
        </w:tc>
        <w:tc>
          <w:tcPr>
            <w:tcW w:w="1354" w:type="dxa"/>
          </w:tcPr>
          <w:p>
            <w:pPr>
              <w:pStyle w:val="105"/>
            </w:pPr>
            <w:r>
              <w:t>12</w:t>
            </w:r>
          </w:p>
        </w:tc>
        <w:tc>
          <w:tcPr>
            <w:tcW w:w="2139" w:type="dxa"/>
          </w:tcPr>
          <w:p>
            <w:pPr>
              <w:pStyle w:val="105"/>
            </w:pPr>
            <w:r>
              <w:t>BPSK</w:t>
            </w:r>
          </w:p>
        </w:tc>
        <w:tc>
          <w:tcPr>
            <w:tcW w:w="1164" w:type="dxa"/>
          </w:tcPr>
          <w:p>
            <w:pPr>
              <w:pStyle w:val="105"/>
            </w:pPr>
            <w:r>
              <w:t>1@0</w:t>
            </w:r>
          </w:p>
        </w:tc>
        <w:tc>
          <w:tcPr>
            <w:tcW w:w="1194" w:type="dxa"/>
          </w:tcPr>
          <w:p>
            <w:pPr>
              <w:pStyle w:val="105"/>
            </w:pPr>
            <w:r>
              <w:t>15kHz</w:t>
            </w:r>
          </w:p>
        </w:tc>
      </w:tr>
    </w:tbl>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1.</w:t>
      </w:r>
      <w:r>
        <w:rPr>
          <w:rFonts w:eastAsia="Times New Roman"/>
          <w:lang w:eastAsia="en-GB"/>
        </w:rPr>
        <w:tab/>
      </w:r>
      <w:r>
        <w:rPr>
          <w:rFonts w:eastAsia="Times New Roman"/>
          <w:lang w:eastAsia="en-GB"/>
        </w:rPr>
        <w:t>Connect the SS to the UE antenna connectors as shown in TS 36.508[12] Annex A Figure A.3 using only the main UE Tx/Rx antenna.</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2.</w:t>
      </w:r>
      <w:r>
        <w:rPr>
          <w:rFonts w:eastAsia="Times New Roman"/>
          <w:lang w:eastAsia="en-GB"/>
        </w:rPr>
        <w:tab/>
      </w:r>
      <w:r>
        <w:rPr>
          <w:rFonts w:eastAsia="Times New Roman"/>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3.</w:t>
      </w:r>
      <w:r>
        <w:rPr>
          <w:rFonts w:eastAsia="Times New Roman"/>
          <w:lang w:eastAsia="en-GB"/>
        </w:rPr>
        <w:tab/>
      </w:r>
      <w:r>
        <w:rPr>
          <w:rFonts w:eastAsia="Times New Roman"/>
          <w:lang w:eastAsia="en-GB"/>
        </w:rPr>
        <w:t>Downlink signals are initially set up according to Annex C0, C1 and C.3.0, and NPUSCH Format 2 is used to carry ACK/NACK on the uplink.</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4.</w:t>
      </w:r>
      <w:r>
        <w:rPr>
          <w:rFonts w:eastAsia="Times New Roman"/>
          <w:lang w:eastAsia="en-GB"/>
        </w:rPr>
        <w:tab/>
      </w:r>
      <w:r>
        <w:rPr>
          <w:rFonts w:eastAsia="Times New Roman"/>
          <w:lang w:eastAsia="en-GB"/>
        </w:rPr>
        <w:t>The DL Reference Measurement channels are set according to Table 7.4B.4.1-1.</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5.</w:t>
      </w:r>
      <w:r>
        <w:rPr>
          <w:rFonts w:eastAsia="Times New Roman"/>
          <w:lang w:eastAsia="en-GB"/>
        </w:rPr>
        <w:tab/>
      </w:r>
      <w:r>
        <w:rPr>
          <w:rFonts w:eastAsia="Times New Roman"/>
          <w:lang w:eastAsia="en-GB"/>
        </w:rPr>
        <w:t>Propagation conditions are set according to Annex B.0.</w:t>
      </w:r>
    </w:p>
    <w:p>
      <w:pPr>
        <w:pStyle w:val="111"/>
        <w:overflowPunct w:val="0"/>
        <w:autoSpaceDE w:val="0"/>
        <w:autoSpaceDN w:val="0"/>
        <w:adjustRightInd w:val="0"/>
        <w:contextualSpacing w:val="0"/>
        <w:textAlignment w:val="baseline"/>
        <w:rPr>
          <w:rFonts w:eastAsia="Times New Roman"/>
          <w:lang w:eastAsia="en-GB"/>
        </w:rPr>
      </w:pPr>
      <w:r>
        <w:rPr>
          <w:rFonts w:hint="eastAsia" w:eastAsia="Times New Roman"/>
          <w:lang w:eastAsia="en-GB"/>
        </w:rPr>
        <w:t>6.</w:t>
      </w:r>
      <w:r>
        <w:rPr>
          <w:rFonts w:hint="eastAsia" w:eastAsia="Times New Roman"/>
          <w:lang w:eastAsia="en-GB"/>
        </w:rPr>
        <w:tab/>
      </w:r>
      <w:r>
        <w:rPr>
          <w:rFonts w:hint="eastAsia" w:eastAsia="Times New Roman"/>
          <w:lang w:eastAsia="en-GB"/>
        </w:rPr>
        <w:t xml:space="preserve">UE location according to TS 36.508 [12] clause </w:t>
      </w:r>
      <w:r>
        <w:rPr>
          <w:rFonts w:eastAsia="Times New Roman"/>
          <w:lang w:eastAsia="en-GB"/>
        </w:rPr>
        <w:t>8.2.6.1</w:t>
      </w:r>
      <w:r>
        <w:rPr>
          <w:rFonts w:hint="eastAsia" w:eastAsia="Times New Roman"/>
          <w:lang w:eastAsia="en-GB"/>
        </w:rPr>
        <w:t xml:space="preserve"> is provided to the UE through any preconfigured means.</w:t>
      </w:r>
    </w:p>
    <w:p>
      <w:pPr>
        <w:pStyle w:val="111"/>
        <w:overflowPunct w:val="0"/>
        <w:autoSpaceDE w:val="0"/>
        <w:autoSpaceDN w:val="0"/>
        <w:adjustRightInd w:val="0"/>
        <w:contextualSpacing w:val="0"/>
        <w:textAlignment w:val="baseline"/>
        <w:rPr>
          <w:lang w:eastAsia="en-GB"/>
        </w:rPr>
      </w:pPr>
      <w:r>
        <w:rPr>
          <w:rFonts w:hint="eastAsia" w:eastAsia="Times New Roman"/>
          <w:lang w:eastAsia="en-GB"/>
        </w:rPr>
        <w:t>7.</w:t>
      </w:r>
      <w:r>
        <w:rPr>
          <w:rFonts w:hint="eastAsia" w:eastAsia="Times New Roman"/>
          <w:lang w:eastAsia="en-GB"/>
        </w:rPr>
        <w:tab/>
      </w:r>
      <w:r>
        <w:rPr>
          <w:lang w:eastAsia="en-GB"/>
        </w:rPr>
        <w:t xml:space="preserve">Test equipment shall emulate </w:t>
      </w:r>
      <w:r>
        <w:rPr>
          <w:rFonts w:hint="eastAsia"/>
          <w:color w:val="auto"/>
          <w:lang w:eastAsia="en-GB"/>
        </w:rPr>
        <w:t>the signal with doppler and delay according to ephemeris defined in TS 36.508 [12] table 8.2.6.2.1-1 for GSO if UE supports only GSO or both GSO and NGSO satellites and table 8.2.6.2.1-3 for NGSO (LEO-1200) if UE supports only NGSO satellites</w:t>
      </w:r>
      <w:r>
        <w:rPr>
          <w:lang w:eastAsia="en-GB"/>
        </w:rPr>
        <w:t>. Test system shall send same SIB31-NB information during the duration of the test as define in TS 36.508[12] clause 8.2.6.3.1</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8.</w:t>
      </w:r>
      <w:r>
        <w:rPr>
          <w:rFonts w:eastAsia="Times New Roman"/>
          <w:lang w:eastAsia="en-GB"/>
        </w:rPr>
        <w:tab/>
      </w:r>
      <w:r>
        <w:rPr>
          <w:lang w:eastAsia="en-GB"/>
        </w:rPr>
        <w:t>Deactivate UE prediction of satellite trajectory by any preconfigured means.</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9</w:t>
      </w:r>
      <w:r>
        <w:rPr>
          <w:rFonts w:hint="eastAsia" w:eastAsia="Times New Roman"/>
          <w:lang w:eastAsia="en-GB"/>
        </w:rPr>
        <w:t>.</w:t>
      </w:r>
      <w:r>
        <w:rPr>
          <w:rFonts w:hint="eastAsia" w:eastAsia="Times New Roman"/>
          <w:lang w:eastAsia="en-GB"/>
        </w:rPr>
        <w:tab/>
      </w:r>
      <w:r>
        <w:rPr>
          <w:rFonts w:hint="eastAsia" w:eastAsia="Times New Roman"/>
          <w:lang w:eastAsia="en-GB"/>
        </w:rPr>
        <w:t>Ensure the UE is in State 2A-NB with CP CIoT Optimisation according to TS 36.508 [12] clause 8.1.5. Message contents are defined in clause 7.4B.4.3.</w:t>
      </w:r>
    </w:p>
    <w:p>
      <w:pPr>
        <w:pStyle w:val="9"/>
        <w:ind w:left="0" w:firstLine="0"/>
        <w:rPr>
          <w:rFonts w:ascii="Times New Roman" w:hAnsi="Times New Roman" w:eastAsiaTheme="minorEastAsia"/>
          <w:vanish/>
        </w:rPr>
      </w:pPr>
      <w:r>
        <w:t>7.4B.4.2</w:t>
      </w:r>
      <w:r>
        <w:tab/>
      </w:r>
      <w:r>
        <w:t>Test procedure</w:t>
      </w:r>
    </w:p>
    <w:p>
      <w:pPr>
        <w:pStyle w:val="111"/>
        <w:overflowPunct w:val="0"/>
        <w:autoSpaceDE w:val="0"/>
        <w:autoSpaceDN w:val="0"/>
        <w:adjustRightInd w:val="0"/>
        <w:contextualSpacing w:val="0"/>
        <w:textAlignment w:val="baseline"/>
        <w:rPr>
          <w:lang w:eastAsia="en-GB"/>
        </w:rPr>
      </w:pPr>
      <w:r>
        <w:rPr>
          <w:rFonts w:eastAsia="Times New Roman"/>
          <w:lang w:eastAsia="en-GB"/>
        </w:rPr>
        <w:t>1.</w:t>
      </w:r>
      <w:r>
        <w:rPr>
          <w:rFonts w:eastAsia="Times New Roman"/>
          <w:lang w:eastAsia="en-GB"/>
        </w:rPr>
        <w:tab/>
      </w:r>
      <w:r>
        <w:rPr>
          <w:lang w:eastAsia="en-GB"/>
        </w:rPr>
        <w:t>SS transmits NPDSCH via NPDCCH DCI format N1 for C_RNTI to transmit the DL RMC according to Table 7.</w:t>
      </w:r>
      <w:r>
        <w:rPr>
          <w:rFonts w:eastAsia="Times New Roman"/>
          <w:lang w:eastAsia="en-GB"/>
        </w:rPr>
        <w:t>4</w:t>
      </w:r>
      <w:r>
        <w:rPr>
          <w:lang w:eastAsia="en-GB"/>
        </w:rPr>
        <w:t>B.</w:t>
      </w:r>
      <w:r>
        <w:rPr>
          <w:rFonts w:eastAsia="Times New Roman"/>
          <w:lang w:eastAsia="en-GB"/>
        </w:rPr>
        <w:t>4</w:t>
      </w:r>
      <w:r>
        <w:rPr>
          <w:lang w:eastAsia="en-GB"/>
        </w:rPr>
        <w:t>.</w:t>
      </w:r>
      <w:r>
        <w:rPr>
          <w:rFonts w:eastAsia="Times New Roman"/>
          <w:lang w:eastAsia="en-GB"/>
        </w:rPr>
        <w:t>1</w:t>
      </w:r>
      <w:r>
        <w:rPr>
          <w:lang w:eastAsia="en-GB"/>
        </w:rPr>
        <w:t>-1. The SS sends downlink MAC padding bits on the DL RMC. The UE will send the HARQ feedback based on information contain in DCI format N1.</w:t>
      </w:r>
    </w:p>
    <w:p>
      <w:pPr>
        <w:pStyle w:val="111"/>
        <w:overflowPunct w:val="0"/>
        <w:autoSpaceDE w:val="0"/>
        <w:autoSpaceDN w:val="0"/>
        <w:adjustRightInd w:val="0"/>
        <w:contextualSpacing w:val="0"/>
        <w:textAlignment w:val="baseline"/>
        <w:rPr>
          <w:lang w:eastAsia="en-GB"/>
        </w:rPr>
      </w:pPr>
      <w:r>
        <w:rPr>
          <w:rFonts w:eastAsia="Times New Roman"/>
          <w:lang w:val="en-GB" w:eastAsia="en-GB"/>
        </w:rPr>
        <w:t>2</w:t>
      </w:r>
      <w:r>
        <w:rPr>
          <w:rFonts w:eastAsia="Times New Roman"/>
          <w:lang w:eastAsia="en-GB"/>
        </w:rPr>
        <w:t>.</w:t>
      </w:r>
      <w:r>
        <w:rPr>
          <w:rFonts w:eastAsia="Times New Roman"/>
          <w:lang w:eastAsia="en-GB"/>
        </w:rPr>
        <w:tab/>
      </w:r>
      <w:r>
        <w:rPr>
          <w:rFonts w:hint="eastAsia"/>
          <w:lang w:eastAsia="en-GB"/>
        </w:rPr>
        <w:t>S</w:t>
      </w:r>
      <w:r>
        <w:rPr>
          <w:lang w:eastAsia="en-GB"/>
        </w:rPr>
        <w:t>et the Downlink signal level to the value defined in Table 7.4B.5-1.</w:t>
      </w:r>
    </w:p>
    <w:p>
      <w:pPr>
        <w:pStyle w:val="111"/>
        <w:overflowPunct w:val="0"/>
        <w:autoSpaceDE w:val="0"/>
        <w:autoSpaceDN w:val="0"/>
        <w:adjustRightInd w:val="0"/>
        <w:contextualSpacing w:val="0"/>
        <w:textAlignment w:val="baseline"/>
        <w:rPr>
          <w:lang w:eastAsia="en-GB"/>
        </w:rPr>
      </w:pPr>
      <w:r>
        <w:rPr>
          <w:rFonts w:eastAsia="Times New Roman"/>
          <w:lang w:val="en-GB" w:eastAsia="en-GB"/>
        </w:rPr>
        <w:t>3</w:t>
      </w:r>
      <w:r>
        <w:rPr>
          <w:rFonts w:eastAsia="Times New Roman"/>
          <w:lang w:eastAsia="en-GB"/>
        </w:rPr>
        <w:t>.</w:t>
      </w:r>
      <w:r>
        <w:rPr>
          <w:rFonts w:eastAsia="Times New Roman"/>
          <w:lang w:eastAsia="en-GB"/>
        </w:rPr>
        <w:tab/>
      </w:r>
      <w:r>
        <w:rPr>
          <w:rFonts w:hint="eastAsia"/>
          <w:lang w:eastAsia="en-GB"/>
        </w:rPr>
        <w:t>M</w:t>
      </w:r>
      <w:r>
        <w:rPr>
          <w:lang w:eastAsia="en-GB"/>
        </w:rPr>
        <w:t>easure the average throughput for a duration sufficient to achieve statistical significance according to Annex G.2.</w:t>
      </w:r>
    </w:p>
    <w:p>
      <w:pPr>
        <w:pStyle w:val="9"/>
        <w:ind w:left="0" w:firstLine="0"/>
      </w:pPr>
      <w:r>
        <w:t>7.4B.4.3</w:t>
      </w:r>
      <w:r>
        <w:tab/>
      </w:r>
      <w:r>
        <w:t>Message contents</w:t>
      </w:r>
    </w:p>
    <w:p>
      <w:r>
        <w:t>Message contents are according to TS 36.508 [12] clause 8.1.6.</w:t>
      </w:r>
    </w:p>
    <w:p>
      <w:pPr>
        <w:pStyle w:val="9"/>
      </w:pPr>
      <w:r>
        <w:t>7.4B.5</w:t>
      </w:r>
      <w:r>
        <w:tab/>
      </w:r>
      <w:r>
        <w:t>Test requirement</w:t>
      </w:r>
    </w:p>
    <w:p>
      <w:r>
        <w:t xml:space="preserve">The throughput shall be ≥ 95% of the maximum throughput of the reference measurement channels as specified in Annex A.3.2 with parameters specified in Table </w:t>
      </w:r>
      <w:r>
        <w:rPr>
          <w:rFonts w:eastAsia="MS Mincho"/>
        </w:rPr>
        <w:t>7.4B.5-1</w:t>
      </w:r>
      <w:r>
        <w:t>.</w:t>
      </w:r>
    </w:p>
    <w:p>
      <w:pPr>
        <w:pStyle w:val="113"/>
      </w:pPr>
      <w:r>
        <w:t xml:space="preserve">Table </w:t>
      </w:r>
      <w:r>
        <w:rPr>
          <w:rFonts w:eastAsia="MS Mincho"/>
        </w:rPr>
        <w:t>7.4B.5-1</w:t>
      </w:r>
      <w:r>
        <w:t>: Maximum input level for category NB1 and NB2</w:t>
      </w:r>
    </w:p>
    <w:tbl>
      <w:tblPr>
        <w:tblStyle w:val="89"/>
        <w:tblW w:w="79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851"/>
        <w:gridCol w:w="45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2551" w:type="dxa"/>
          </w:tcPr>
          <w:p>
            <w:pPr>
              <w:pStyle w:val="104"/>
            </w:pPr>
            <w:r>
              <w:t>Rx Parameter</w:t>
            </w:r>
          </w:p>
        </w:tc>
        <w:tc>
          <w:tcPr>
            <w:tcW w:w="851" w:type="dxa"/>
          </w:tcPr>
          <w:p>
            <w:pPr>
              <w:pStyle w:val="104"/>
            </w:pPr>
            <w:r>
              <w:t>Units</w:t>
            </w:r>
          </w:p>
        </w:tc>
        <w:tc>
          <w:tcPr>
            <w:tcW w:w="4515" w:type="dxa"/>
          </w:tcPr>
          <w:p>
            <w:pPr>
              <w:pStyle w:val="104"/>
            </w:pPr>
            <w:r>
              <w:t>Maximum input level test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51" w:type="dxa"/>
          </w:tcPr>
          <w:p>
            <w:pPr>
              <w:pStyle w:val="103"/>
              <w:rPr>
                <w:rFonts w:cs="Arial"/>
              </w:rPr>
            </w:pPr>
            <w:r>
              <w:rPr>
                <w:rFonts w:cs="Arial"/>
              </w:rPr>
              <w:t>Power in Transmission Bandwidth Configuration</w:t>
            </w:r>
          </w:p>
        </w:tc>
        <w:tc>
          <w:tcPr>
            <w:tcW w:w="851" w:type="dxa"/>
            <w:vAlign w:val="center"/>
          </w:tcPr>
          <w:p>
            <w:pPr>
              <w:pStyle w:val="105"/>
              <w:rPr>
                <w:rFonts w:cs="Arial"/>
              </w:rPr>
            </w:pPr>
            <w:r>
              <w:rPr>
                <w:rFonts w:cs="Arial"/>
              </w:rPr>
              <w:t>dBm</w:t>
            </w:r>
          </w:p>
        </w:tc>
        <w:tc>
          <w:tcPr>
            <w:tcW w:w="4515" w:type="dxa"/>
            <w:vAlign w:val="center"/>
          </w:tcPr>
          <w:p>
            <w:pPr>
              <w:pStyle w:val="103"/>
              <w:jc w:val="center"/>
              <w:rPr>
                <w:rFonts w:cs="Arial"/>
              </w:rPr>
            </w:pPr>
            <w:r>
              <w:rPr>
                <w:rFonts w:cs="Arial"/>
              </w:rPr>
              <w:t>For carrier frequency f ≤ 3.0GHz: -40 +TT</w:t>
            </w:r>
          </w:p>
        </w:tc>
      </w:tr>
    </w:tbl>
    <w:p>
      <w:pPr>
        <w:rPr>
          <w:lang w:eastAsia="zh-TW"/>
        </w:rPr>
      </w:pPr>
    </w:p>
    <w:p>
      <w:pPr>
        <w:pStyle w:val="4"/>
      </w:pPr>
      <w:bookmarkStart w:id="1264" w:name="_Toc13852"/>
      <w:bookmarkStart w:id="1265" w:name="_Toc1965"/>
      <w:bookmarkStart w:id="1266" w:name="_Toc17868"/>
      <w:bookmarkStart w:id="1267" w:name="_Toc20739"/>
      <w:bookmarkStart w:id="1268" w:name="_Toc28663"/>
      <w:bookmarkStart w:id="1269" w:name="_Toc21510"/>
      <w:bookmarkStart w:id="1270" w:name="_Toc20224"/>
      <w:r>
        <w:t>7.5</w:t>
      </w:r>
      <w:r>
        <w:tab/>
      </w:r>
      <w:r>
        <w:t>Adjacent Channel Selectivity (ACS)</w:t>
      </w:r>
      <w:bookmarkEnd w:id="1260"/>
      <w:bookmarkEnd w:id="1261"/>
      <w:bookmarkEnd w:id="1262"/>
      <w:bookmarkEnd w:id="1263"/>
      <w:bookmarkEnd w:id="1264"/>
      <w:bookmarkEnd w:id="1265"/>
      <w:bookmarkEnd w:id="1266"/>
      <w:bookmarkEnd w:id="1267"/>
      <w:bookmarkEnd w:id="1268"/>
      <w:bookmarkEnd w:id="1269"/>
      <w:bookmarkEnd w:id="1270"/>
    </w:p>
    <w:p>
      <w:pPr>
        <w:pStyle w:val="4"/>
      </w:pPr>
      <w:bookmarkStart w:id="1271" w:name="_Toc4112"/>
      <w:bookmarkStart w:id="1272" w:name="_Toc10614"/>
      <w:bookmarkStart w:id="1273" w:name="_Toc9490"/>
      <w:bookmarkStart w:id="1274" w:name="_Toc29996"/>
      <w:bookmarkStart w:id="1275" w:name="_Toc14620"/>
      <w:bookmarkStart w:id="1276" w:name="_Toc28721"/>
      <w:bookmarkStart w:id="1277" w:name="_Toc120570098"/>
      <w:bookmarkStart w:id="1278" w:name="_Toc121162890"/>
      <w:bookmarkStart w:id="1279" w:name="_Toc10522"/>
      <w:r>
        <w:t>7.5A</w:t>
      </w:r>
      <w:r>
        <w:tab/>
      </w:r>
      <w:r>
        <w:t>Adjacent Channel Selectivity for category M1</w:t>
      </w:r>
      <w:bookmarkEnd w:id="1271"/>
      <w:bookmarkEnd w:id="1272"/>
      <w:bookmarkEnd w:id="1273"/>
      <w:bookmarkEnd w:id="1274"/>
      <w:bookmarkEnd w:id="1275"/>
      <w:bookmarkEnd w:id="1276"/>
      <w:bookmarkEnd w:id="1277"/>
      <w:bookmarkEnd w:id="1278"/>
      <w:bookmarkEnd w:id="1279"/>
    </w:p>
    <w:p>
      <w:pPr>
        <w:pStyle w:val="112"/>
        <w:rPr>
          <w:i w:val="0"/>
          <w:iCs w:val="0"/>
          <w:lang w:val="en-GB"/>
        </w:rPr>
      </w:pPr>
      <w:bookmarkStart w:id="1280" w:name="_Toc121162891"/>
      <w:bookmarkStart w:id="1281" w:name="_Toc120570099"/>
      <w:r>
        <w:t>Editor’s Note: Addition to applicability spec is pending.</w:t>
      </w:r>
    </w:p>
    <w:p>
      <w:pPr>
        <w:pStyle w:val="9"/>
      </w:pPr>
      <w:r>
        <w:t>7.5A.1</w:t>
      </w:r>
      <w:r>
        <w:tab/>
      </w:r>
      <w:r>
        <w:t>Test purpose</w:t>
      </w:r>
    </w:p>
    <w:p>
      <w:r>
        <w:t>Adjacent channel selectivity tests the ability</w:t>
      </w:r>
      <w:r>
        <w:rPr>
          <w:lang w:eastAsia="zh-TW"/>
        </w:rPr>
        <w:t xml:space="preserve"> of category M1 UE</w:t>
      </w:r>
      <w:r>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r>
        <w:t>A UE unable to meet the throughput requirement under these conditions will decrease the coverage area when other e-NodeB transmitters exist in the adjacent channel.</w:t>
      </w:r>
    </w:p>
    <w:p>
      <w:pPr>
        <w:pStyle w:val="9"/>
      </w:pPr>
      <w:r>
        <w:t>7.5A.2</w:t>
      </w:r>
      <w:r>
        <w:tab/>
      </w:r>
      <w:r>
        <w:t>Test applicability</w:t>
      </w:r>
    </w:p>
    <w:p>
      <w:r>
        <w:t xml:space="preserve">This test applies to all types of E-UTRA UE release 17 and forward of category </w:t>
      </w:r>
      <w:r>
        <w:rPr>
          <w:lang w:eastAsia="zh-TW"/>
        </w:rPr>
        <w:t>M1 that support satellite access operation</w:t>
      </w:r>
      <w:r>
        <w:t>.</w:t>
      </w:r>
    </w:p>
    <w:p>
      <w:pPr>
        <w:pStyle w:val="9"/>
      </w:pPr>
      <w:r>
        <w:t>7.5A.3</w:t>
      </w:r>
      <w:r>
        <w:tab/>
      </w:r>
      <w:r>
        <w:t>Minimum conformance requirements</w:t>
      </w:r>
    </w:p>
    <w:p>
      <w:r>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Pr>
          <w:rFonts w:hint="eastAsia"/>
          <w:i/>
          <w:color w:val="0000FF"/>
          <w:lang w:eastAsia="zh-TW"/>
        </w:rPr>
        <w:t xml:space="preserve"> </w:t>
      </w:r>
    </w:p>
    <w:p>
      <w:pPr>
        <w:rPr>
          <w:rFonts w:eastAsia="Osaka" w:cs="v5.0.0"/>
        </w:rPr>
      </w:pPr>
      <w:r>
        <w:t xml:space="preserve">The UE shall fulfil the minimum requirement specified in Table 7.5A.3-1 for all values of an adjacent channel interferer up to </w:t>
      </w:r>
      <w:r>
        <w:rPr>
          <w:rFonts w:eastAsia="MS Mincho"/>
        </w:rPr>
        <w:t>–</w:t>
      </w:r>
      <w:r>
        <w:t xml:space="preserve">40 dBm. However it is not possible to directly measure the ACS, instead the lower and upper range of test parameters are chosen in Table 7.5A.3-2 and Table 7.5A.3-3 where the </w:t>
      </w:r>
      <w:r>
        <w:rPr>
          <w:rFonts w:eastAsia="Osaka" w:cs="v5.0.0"/>
        </w:rPr>
        <w:t xml:space="preserve">throughput </w:t>
      </w:r>
      <w:r>
        <w:t xml:space="preserve">shall be ≥ 95% of the maximum throughput of the reference measurement channels as specified in </w:t>
      </w:r>
      <w:r>
        <w:rPr>
          <w:color w:val="000000" w:themeColor="text1"/>
          <w14:textFill>
            <w14:solidFill>
              <w14:schemeClr w14:val="tx1"/>
            </w14:solidFill>
          </w14:textFill>
        </w:rPr>
        <w:t xml:space="preserve">TS 36.101 [7] </w:t>
      </w:r>
      <w:r>
        <w:t xml:space="preserve">Annexes A.2.2, A.2.3 and A.3.2 (with one sided dynamic OCNG Pattern OP.1 FDD for the DL-signal as described in </w:t>
      </w:r>
      <w:r>
        <w:rPr>
          <w:color w:val="000000" w:themeColor="text1"/>
          <w14:textFill>
            <w14:solidFill>
              <w14:schemeClr w14:val="tx1"/>
            </w14:solidFill>
          </w14:textFill>
        </w:rPr>
        <w:t xml:space="preserve">TS 36.101 [7] </w:t>
      </w:r>
      <w:r>
        <w:t>Annex A.5.1.1)</w:t>
      </w:r>
      <w:r>
        <w:rPr>
          <w:rFonts w:eastAsia="Osaka" w:cs="v5.0.0"/>
        </w:rPr>
        <w:t xml:space="preserve">. </w:t>
      </w:r>
      <w:r>
        <w:t>For operating bands with an unpaired DL part (as noted in Table 5.5-1), the requirements only apply for carriers assigned in the paired part.</w:t>
      </w:r>
    </w:p>
    <w:p>
      <w:pPr>
        <w:pStyle w:val="113"/>
        <w:rPr>
          <w:rFonts w:cstheme="minorBidi"/>
        </w:rPr>
      </w:pPr>
      <w:r>
        <w:t xml:space="preserve">Table </w:t>
      </w:r>
      <w:r>
        <w:rPr>
          <w:rFonts w:eastAsia="MS Mincho"/>
        </w:rPr>
        <w:t>7.5A.3-1</w:t>
      </w:r>
      <w:r>
        <w:t>: Adjacent channel selectivity</w:t>
      </w:r>
    </w:p>
    <w:tbl>
      <w:tblPr>
        <w:tblStyle w:val="89"/>
        <w:tblW w:w="72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910"/>
        <w:gridCol w:w="48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tcBorders>
              <w:top w:val="single" w:color="auto" w:sz="4" w:space="0"/>
              <w:left w:val="single" w:color="auto" w:sz="4" w:space="0"/>
              <w:bottom w:val="single" w:color="auto" w:sz="4" w:space="0"/>
              <w:right w:val="single" w:color="auto" w:sz="4" w:space="0"/>
            </w:tcBorders>
          </w:tcPr>
          <w:p>
            <w:pPr>
              <w:pStyle w:val="104"/>
              <w:rPr>
                <w:rFonts w:cs="Arial"/>
              </w:rPr>
            </w:pPr>
          </w:p>
        </w:tc>
        <w:tc>
          <w:tcPr>
            <w:tcW w:w="910" w:type="dxa"/>
            <w:tcBorders>
              <w:top w:val="single" w:color="auto" w:sz="4" w:space="0"/>
              <w:left w:val="single" w:color="auto" w:sz="4" w:space="0"/>
              <w:bottom w:val="single" w:color="auto" w:sz="4" w:space="0"/>
              <w:right w:val="single" w:color="auto" w:sz="4" w:space="0"/>
            </w:tcBorders>
          </w:tcPr>
          <w:p>
            <w:pPr>
              <w:pStyle w:val="104"/>
              <w:rPr>
                <w:rFonts w:cs="Arial"/>
              </w:rPr>
            </w:pPr>
          </w:p>
        </w:tc>
        <w:tc>
          <w:tcPr>
            <w:tcW w:w="4821"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910"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4821"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ACS</w:t>
            </w:r>
          </w:p>
        </w:tc>
        <w:tc>
          <w:tcPr>
            <w:tcW w:w="91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w:t>
            </w:r>
          </w:p>
        </w:tc>
        <w:tc>
          <w:tcPr>
            <w:tcW w:w="482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33.0</w:t>
            </w:r>
          </w:p>
        </w:tc>
      </w:tr>
    </w:tbl>
    <w:p>
      <w:pPr>
        <w:rPr>
          <w:rFonts w:eastAsia="MS Mincho"/>
        </w:rPr>
      </w:pPr>
    </w:p>
    <w:p>
      <w:pPr>
        <w:pStyle w:val="113"/>
      </w:pPr>
      <w:r>
        <w:t xml:space="preserve">Table </w:t>
      </w:r>
      <w:r>
        <w:rPr>
          <w:rFonts w:eastAsia="MS Mincho"/>
        </w:rPr>
        <w:t>7.5A.3-2</w:t>
      </w:r>
      <w:r>
        <w:t>: Test parameters for Adjacent channel selectivity, Case 1</w:t>
      </w:r>
    </w:p>
    <w:tbl>
      <w:tblPr>
        <w:tblStyle w:val="89"/>
        <w:tblW w:w="285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7"/>
        <w:gridCol w:w="629"/>
        <w:gridCol w:w="3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19"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559"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2920"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9"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559"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2920"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9" w:type="pct"/>
            <w:tcBorders>
              <w:top w:val="single" w:color="auto" w:sz="4" w:space="0"/>
              <w:left w:val="single" w:color="auto" w:sz="4" w:space="0"/>
              <w:bottom w:val="single" w:color="auto" w:sz="4" w:space="0"/>
              <w:right w:val="single" w:color="auto" w:sz="4" w:space="0"/>
            </w:tcBorders>
          </w:tcPr>
          <w:p>
            <w:pPr>
              <w:pStyle w:val="103"/>
              <w:rPr>
                <w:rFonts w:cs="Arial"/>
              </w:rPr>
            </w:pPr>
            <w:r>
              <w:rPr>
                <w:rFonts w:cs="Arial"/>
              </w:rPr>
              <w:t>Power in Transmission Bandwidth Configuration</w:t>
            </w:r>
          </w:p>
        </w:tc>
        <w:tc>
          <w:tcPr>
            <w:tcW w:w="559"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2920"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9" w:type="pct"/>
            <w:tcBorders>
              <w:top w:val="single" w:color="auto" w:sz="4" w:space="0"/>
              <w:left w:val="single" w:color="auto" w:sz="4" w:space="0"/>
              <w:bottom w:val="single" w:color="auto" w:sz="4" w:space="0"/>
              <w:right w:val="single" w:color="auto" w:sz="4" w:space="0"/>
            </w:tcBorders>
            <w:vAlign w:val="bottom"/>
          </w:tcPr>
          <w:p>
            <w:pPr>
              <w:pStyle w:val="103"/>
              <w:rPr>
                <w:rFonts w:cs="Arial"/>
              </w:rPr>
            </w:pPr>
            <w:r>
              <w:rPr>
                <w:rFonts w:eastAsia="MS Mincho" w:cs="Arial"/>
                <w:bCs/>
              </w:rPr>
              <w:t>P</w:t>
            </w:r>
            <w:r>
              <w:rPr>
                <w:rFonts w:eastAsia="MS Mincho" w:cs="Arial"/>
                <w:bCs/>
                <w:vertAlign w:val="subscript"/>
              </w:rPr>
              <w:t>Interferer</w:t>
            </w:r>
          </w:p>
        </w:tc>
        <w:tc>
          <w:tcPr>
            <w:tcW w:w="559"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2920" w:type="pct"/>
            <w:tcBorders>
              <w:top w:val="single" w:color="auto" w:sz="4" w:space="0"/>
              <w:left w:val="single" w:color="auto" w:sz="4" w:space="0"/>
              <w:bottom w:val="single" w:color="auto" w:sz="4" w:space="0"/>
              <w:right w:val="single" w:color="auto" w:sz="4" w:space="0"/>
            </w:tcBorders>
          </w:tcPr>
          <w:p>
            <w:pPr>
              <w:pStyle w:val="105"/>
              <w:rPr>
                <w:rFonts w:cs="Arial"/>
              </w:rPr>
            </w:pPr>
            <w:r>
              <w:rPr>
                <w:rFonts w:eastAsia="MS Mincho" w:cs="Arial"/>
              </w:rPr>
              <w:t>REFSENS +45.5dB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9"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BW</w:t>
            </w:r>
            <w:r>
              <w:rPr>
                <w:rFonts w:eastAsia="MS Mincho" w:cs="Arial"/>
                <w:bCs/>
                <w:vertAlign w:val="subscript"/>
              </w:rPr>
              <w:t xml:space="preserve">Interferer </w:t>
            </w:r>
          </w:p>
        </w:tc>
        <w:tc>
          <w:tcPr>
            <w:tcW w:w="559"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920" w:type="pct"/>
            <w:tcBorders>
              <w:top w:val="single" w:color="auto" w:sz="4" w:space="0"/>
              <w:left w:val="single" w:color="auto" w:sz="4" w:space="0"/>
              <w:bottom w:val="single" w:color="auto" w:sz="4" w:space="0"/>
              <w:right w:val="single" w:color="auto" w:sz="4" w:space="0"/>
            </w:tcBorders>
          </w:tcPr>
          <w:p>
            <w:pPr>
              <w:pStyle w:val="105"/>
              <w:rPr>
                <w:rFonts w:cs="Arial"/>
              </w:rPr>
            </w:pPr>
            <w:r>
              <w:rPr>
                <w:rFonts w:eastAsia="MS Mincho"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9"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559"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920"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5000" w:type="pct"/>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 xml:space="preserve">NOTE 1: </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p>
            <w:pPr>
              <w:pStyle w:val="118"/>
              <w:rPr>
                <w:rFonts w:eastAsia="MS Mincho" w:cs="Arial"/>
              </w:rPr>
            </w:pPr>
            <w:r>
              <w:rPr>
                <w:rFonts w:eastAsia="MS Mincho" w:cs="Arial"/>
              </w:rPr>
              <w:t>NOTE 3:</w:t>
            </w:r>
            <w:r>
              <w:rPr>
                <w:rFonts w:eastAsia="MS Mincho" w:cs="Arial"/>
              </w:rPr>
              <w:tab/>
            </w:r>
            <w:r>
              <w:rPr>
                <w:rFonts w:eastAsia="MS Mincho" w:cs="Arial"/>
              </w:rPr>
              <w:t>For DL category M1 UE, the reference sensitivity for category M1 in table 7.3A-1 should be used as REFSENS for the power in Transmission Bandwidth Configuration.</w:t>
            </w:r>
          </w:p>
          <w:p>
            <w:pPr>
              <w:pStyle w:val="118"/>
              <w:rPr>
                <w:rFonts w:eastAsia="MS Mincho" w:cs="Arial"/>
                <w:strike/>
              </w:rPr>
            </w:pPr>
            <w:r>
              <w:rPr>
                <w:rFonts w:eastAsia="MS Mincho" w:cs="Arial"/>
              </w:rPr>
              <w:t>NOTE 4:</w:t>
            </w:r>
            <w:r>
              <w:rPr>
                <w:rFonts w:eastAsia="MS Mincho" w:cs="Arial"/>
              </w:rPr>
              <w:tab/>
            </w:r>
            <w:r>
              <w:rPr>
                <w:rFonts w:cs="Arial"/>
              </w:rPr>
              <w:t>For DL category M1 UE, the parameters for the applicable channel bandwidth apply.</w:t>
            </w:r>
          </w:p>
        </w:tc>
      </w:tr>
    </w:tbl>
    <w:p>
      <w:pPr>
        <w:rPr>
          <w:lang w:val="en-US" w:eastAsia="zh-CN"/>
        </w:rPr>
      </w:pPr>
    </w:p>
    <w:p>
      <w:pPr>
        <w:pStyle w:val="113"/>
      </w:pPr>
      <w:r>
        <w:t xml:space="preserve">Table </w:t>
      </w:r>
      <w:r>
        <w:rPr>
          <w:rFonts w:eastAsia="MS Mincho"/>
        </w:rPr>
        <w:t>7.5A.3-3</w:t>
      </w:r>
      <w:r>
        <w:t>: Test parameters for Adjacent channel selectivity, Case 2</w:t>
      </w:r>
    </w:p>
    <w:tbl>
      <w:tblPr>
        <w:tblStyle w:val="89"/>
        <w:tblW w:w="8238" w:type="dxa"/>
        <w:jc w:val="center"/>
        <w:tblLayout w:type="fixed"/>
        <w:tblCellMar>
          <w:top w:w="0" w:type="dxa"/>
          <w:left w:w="108" w:type="dxa"/>
          <w:bottom w:w="0" w:type="dxa"/>
          <w:right w:w="108" w:type="dxa"/>
        </w:tblCellMar>
      </w:tblPr>
      <w:tblGrid>
        <w:gridCol w:w="2514"/>
        <w:gridCol w:w="924"/>
        <w:gridCol w:w="4800"/>
      </w:tblGrid>
      <w:tr>
        <w:tblPrEx>
          <w:tblCellMar>
            <w:top w:w="0" w:type="dxa"/>
            <w:left w:w="108" w:type="dxa"/>
            <w:bottom w:w="0" w:type="dxa"/>
            <w:right w:w="108" w:type="dxa"/>
          </w:tblCellMar>
        </w:tblPrEx>
        <w:trPr>
          <w:jc w:val="center"/>
        </w:trPr>
        <w:tc>
          <w:tcPr>
            <w:tcW w:w="2514" w:type="dxa"/>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924" w:type="dxa"/>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4800"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CellMar>
            <w:top w:w="0" w:type="dxa"/>
            <w:left w:w="108" w:type="dxa"/>
            <w:bottom w:w="0" w:type="dxa"/>
            <w:right w:w="108" w:type="dxa"/>
          </w:tblCellMar>
        </w:tblPrEx>
        <w:trPr>
          <w:jc w:val="center"/>
        </w:trPr>
        <w:tc>
          <w:tcPr>
            <w:tcW w:w="2514"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924"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4800"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 xml:space="preserve">1.4 MHz </w:t>
            </w:r>
          </w:p>
        </w:tc>
      </w:tr>
      <w:tr>
        <w:tblPrEx>
          <w:tblCellMar>
            <w:top w:w="0" w:type="dxa"/>
            <w:left w:w="108" w:type="dxa"/>
            <w:bottom w:w="0" w:type="dxa"/>
            <w:right w:w="108" w:type="dxa"/>
          </w:tblCellMar>
        </w:tblPrEx>
        <w:trPr>
          <w:jc w:val="center"/>
        </w:trPr>
        <w:tc>
          <w:tcPr>
            <w:tcW w:w="2514" w:type="dxa"/>
            <w:tcBorders>
              <w:top w:val="single" w:color="auto" w:sz="4" w:space="0"/>
              <w:left w:val="single" w:color="auto" w:sz="4" w:space="0"/>
              <w:bottom w:val="single" w:color="auto" w:sz="4" w:space="0"/>
              <w:right w:val="single" w:color="auto" w:sz="4" w:space="0"/>
            </w:tcBorders>
            <w:vAlign w:val="center"/>
          </w:tcPr>
          <w:p>
            <w:pPr>
              <w:pStyle w:val="103"/>
              <w:rPr>
                <w:rFonts w:cs="Arial"/>
                <w:i/>
              </w:rPr>
            </w:pPr>
            <w:r>
              <w:rPr>
                <w:rFonts w:cs="Arial"/>
              </w:rPr>
              <w:t>Power in Transmission Bandwidth Configuration</w:t>
            </w:r>
          </w:p>
        </w:tc>
        <w:tc>
          <w:tcPr>
            <w:tcW w:w="92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dBm</w:t>
            </w:r>
          </w:p>
        </w:tc>
        <w:tc>
          <w:tcPr>
            <w:tcW w:w="480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w:t>
            </w:r>
            <w:r>
              <w:rPr>
                <w:rFonts w:eastAsia="Microsoft JhengHei"/>
                <w:lang w:eastAsia="zh-TW"/>
              </w:rPr>
              <w:t>71.5</w:t>
            </w:r>
          </w:p>
        </w:tc>
      </w:tr>
      <w:tr>
        <w:tblPrEx>
          <w:tblCellMar>
            <w:top w:w="0" w:type="dxa"/>
            <w:left w:w="108" w:type="dxa"/>
            <w:bottom w:w="0" w:type="dxa"/>
            <w:right w:w="108" w:type="dxa"/>
          </w:tblCellMar>
        </w:tblPrEx>
        <w:trPr>
          <w:jc w:val="center"/>
        </w:trPr>
        <w:tc>
          <w:tcPr>
            <w:tcW w:w="2514" w:type="dxa"/>
            <w:tcBorders>
              <w:top w:val="single" w:color="auto" w:sz="4" w:space="0"/>
              <w:left w:val="single" w:color="auto" w:sz="4" w:space="0"/>
              <w:bottom w:val="single" w:color="auto" w:sz="4" w:space="0"/>
              <w:right w:val="single" w:color="auto" w:sz="4" w:space="0"/>
            </w:tcBorders>
            <w:vAlign w:val="bottom"/>
          </w:tcPr>
          <w:p>
            <w:pPr>
              <w:pStyle w:val="103"/>
              <w:rPr>
                <w:rFonts w:eastAsia="MS Mincho" w:cs="Arial"/>
                <w:bCs/>
              </w:rPr>
            </w:pPr>
            <w:r>
              <w:rPr>
                <w:rFonts w:eastAsia="MS Mincho" w:cs="Arial"/>
                <w:bCs/>
              </w:rPr>
              <w:t>P</w:t>
            </w:r>
            <w:r>
              <w:rPr>
                <w:rFonts w:eastAsia="MS Mincho" w:cs="Arial"/>
                <w:bCs/>
                <w:vertAlign w:val="subscript"/>
              </w:rPr>
              <w:t>Interferer</w:t>
            </w:r>
          </w:p>
        </w:tc>
        <w:tc>
          <w:tcPr>
            <w:tcW w:w="924"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480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-40</w:t>
            </w:r>
          </w:p>
        </w:tc>
      </w:tr>
      <w:tr>
        <w:tblPrEx>
          <w:tblCellMar>
            <w:top w:w="0" w:type="dxa"/>
            <w:left w:w="108" w:type="dxa"/>
            <w:bottom w:w="0" w:type="dxa"/>
            <w:right w:w="108" w:type="dxa"/>
          </w:tblCellMar>
        </w:tblPrEx>
        <w:trPr>
          <w:jc w:val="center"/>
        </w:trPr>
        <w:tc>
          <w:tcPr>
            <w:tcW w:w="2514" w:type="dxa"/>
            <w:tcBorders>
              <w:top w:val="single" w:color="auto" w:sz="4" w:space="0"/>
              <w:left w:val="single" w:color="auto" w:sz="4" w:space="0"/>
              <w:bottom w:val="single" w:color="auto" w:sz="4" w:space="0"/>
              <w:right w:val="single" w:color="auto" w:sz="4" w:space="0"/>
            </w:tcBorders>
          </w:tcPr>
          <w:p>
            <w:pPr>
              <w:pStyle w:val="103"/>
              <w:rPr>
                <w:rFonts w:eastAsia="MS Mincho" w:cs="Arial"/>
                <w:bCs/>
              </w:rPr>
            </w:pPr>
            <w:r>
              <w:rPr>
                <w:rFonts w:eastAsia="MS Mincho" w:cs="Arial"/>
                <w:bCs/>
              </w:rPr>
              <w:t>BW</w:t>
            </w:r>
            <w:r>
              <w:rPr>
                <w:rFonts w:eastAsia="MS Mincho" w:cs="Arial"/>
                <w:bCs/>
                <w:vertAlign w:val="subscript"/>
              </w:rPr>
              <w:t xml:space="preserve">Interferer </w:t>
            </w:r>
          </w:p>
        </w:tc>
        <w:tc>
          <w:tcPr>
            <w:tcW w:w="924"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480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1.4</w:t>
            </w:r>
          </w:p>
        </w:tc>
      </w:tr>
      <w:tr>
        <w:tblPrEx>
          <w:tblCellMar>
            <w:top w:w="0" w:type="dxa"/>
            <w:left w:w="108" w:type="dxa"/>
            <w:bottom w:w="0" w:type="dxa"/>
            <w:right w:w="108" w:type="dxa"/>
          </w:tblCellMar>
        </w:tblPrEx>
        <w:trPr>
          <w:jc w:val="center"/>
        </w:trPr>
        <w:tc>
          <w:tcPr>
            <w:tcW w:w="2514" w:type="dxa"/>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924"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480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CellMar>
            <w:top w:w="0" w:type="dxa"/>
            <w:left w:w="108" w:type="dxa"/>
            <w:bottom w:w="0" w:type="dxa"/>
            <w:right w:w="108" w:type="dxa"/>
          </w:tblCellMar>
        </w:tblPrEx>
        <w:trPr>
          <w:trHeight w:val="398" w:hRule="atLeast"/>
          <w:jc w:val="center"/>
        </w:trPr>
        <w:tc>
          <w:tcPr>
            <w:tcW w:w="8238" w:type="dxa"/>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24dB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tc>
      </w:tr>
    </w:tbl>
    <w:p>
      <w:pPr>
        <w:rPr>
          <w:lang w:eastAsia="zh-TW"/>
        </w:rPr>
      </w:pPr>
    </w:p>
    <w:p>
      <w:r>
        <w:t>The normative reference for this requirement is TS 36.102 [11] clause 7.5A.</w:t>
      </w:r>
    </w:p>
    <w:p>
      <w:pPr>
        <w:pStyle w:val="9"/>
      </w:pPr>
      <w:r>
        <w:t>7.5A.4</w:t>
      </w:r>
      <w:r>
        <w:tab/>
      </w:r>
      <w:r>
        <w:t>Test description</w:t>
      </w:r>
    </w:p>
    <w:p>
      <w:pPr>
        <w:pStyle w:val="9"/>
      </w:pPr>
      <w:r>
        <w:t>7.5A.4.1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w:t>
      </w:r>
      <w:r>
        <w:rPr>
          <w:lang w:eastAsia="zh-TW"/>
        </w:rPr>
        <w:t xml:space="preserve"> operating</w:t>
      </w:r>
      <w:r>
        <w:t xml:space="preserve"> bands </w:t>
      </w:r>
      <w:r>
        <w:rPr>
          <w:lang w:eastAsia="zh-TW"/>
        </w:rPr>
        <w:t>defined for CAT M1 in clause</w:t>
      </w:r>
      <w:r>
        <w:t xml:space="preserve"> 5.2</w:t>
      </w:r>
      <w:r>
        <w:rPr>
          <w:lang w:eastAsia="zh-TW"/>
        </w:rPr>
        <w:t>E</w:t>
      </w:r>
      <w:r>
        <w:t>. All of these configurations shall be tested with applicable test parameters for each channel bandwidth, and are shown in table 7.</w:t>
      </w:r>
      <w:r>
        <w:rPr>
          <w:lang w:eastAsia="zh-TW"/>
        </w:rPr>
        <w:t>5A</w:t>
      </w:r>
      <w:r>
        <w:t xml:space="preserve">.4.1-1. The details of the uplink and downlink reference measurement channels (RMCs) are specified in Annexes A.2 and A.3 respectively. The details of the OCNG patterns used are specified in Annex A.5. </w:t>
      </w:r>
      <w:r>
        <w:rPr>
          <w:rFonts w:cs="v5.0.0"/>
        </w:rPr>
        <w:t xml:space="preserve">Configurations of PDSCH and </w:t>
      </w:r>
      <w:r>
        <w:rPr>
          <w:rFonts w:cs="v5.0.0"/>
          <w:lang w:eastAsia="zh-TW"/>
        </w:rPr>
        <w:t>M</w:t>
      </w:r>
      <w:r>
        <w:rPr>
          <w:rFonts w:cs="v5.0.0"/>
        </w:rPr>
        <w:t>PDCCH before measurement are specified in Annex C.2.</w:t>
      </w:r>
    </w:p>
    <w:p>
      <w:pPr>
        <w:pStyle w:val="113"/>
        <w:rPr>
          <w:lang w:eastAsia="zh-TW"/>
        </w:rPr>
      </w:pPr>
      <w:r>
        <w:t>Table 7.5</w:t>
      </w:r>
      <w:r>
        <w:rPr>
          <w:lang w:eastAsia="zh-TW"/>
        </w:rPr>
        <w:t>A</w:t>
      </w:r>
      <w:r>
        <w:t>.4.1-1: Test Configuration Table</w:t>
      </w:r>
      <w:r>
        <w:rPr>
          <w:lang w:eastAsia="zh-TW"/>
        </w:rPr>
        <w:t xml:space="preserve"> RX test cases UE Cat-M1</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5"/>
        <w:gridCol w:w="1165"/>
        <w:gridCol w:w="1165"/>
        <w:gridCol w:w="11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7"/>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Environment as specified in</w:t>
            </w:r>
          </w:p>
          <w:p>
            <w:pPr>
              <w:pStyle w:val="103"/>
            </w:pPr>
            <w:r>
              <w:t>TS 36.508[12] clause 4.1</w:t>
            </w:r>
          </w:p>
        </w:tc>
        <w:tc>
          <w:tcPr>
            <w:tcW w:w="4660" w:type="dxa"/>
            <w:gridSpan w:val="4"/>
          </w:tcPr>
          <w:p>
            <w:pPr>
              <w:pStyle w:val="103"/>
            </w:pPr>
            <w: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Frequencies as specified in</w:t>
            </w:r>
          </w:p>
          <w:p>
            <w:pPr>
              <w:pStyle w:val="103"/>
            </w:pPr>
            <w:r>
              <w:t>TS36.508 [12] clause 4.3.1</w:t>
            </w:r>
          </w:p>
        </w:tc>
        <w:tc>
          <w:tcPr>
            <w:tcW w:w="4660" w:type="dxa"/>
            <w:gridSpan w:val="4"/>
          </w:tcPr>
          <w:p>
            <w:pPr>
              <w:pStyle w:val="103"/>
            </w:pPr>
            <w: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Channel Bandwidths as specified in TS 36.508 [12] clause 4.3.</w:t>
            </w:r>
          </w:p>
        </w:tc>
        <w:tc>
          <w:tcPr>
            <w:tcW w:w="4660" w:type="dxa"/>
            <w:gridSpan w:val="4"/>
          </w:tcPr>
          <w:p>
            <w:pPr>
              <w:pStyle w:val="103"/>
            </w:pPr>
            <w: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7"/>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4"/>
            </w:pPr>
          </w:p>
        </w:tc>
        <w:tc>
          <w:tcPr>
            <w:tcW w:w="3495" w:type="dxa"/>
            <w:gridSpan w:val="3"/>
          </w:tcPr>
          <w:p>
            <w:pPr>
              <w:pStyle w:val="104"/>
            </w:pPr>
            <w:r>
              <w:t>Downlink Configuration</w:t>
            </w:r>
          </w:p>
        </w:tc>
        <w:tc>
          <w:tcPr>
            <w:tcW w:w="3495"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5"/>
            </w:pPr>
            <w:r>
              <w:t>Ch BW</w:t>
            </w:r>
          </w:p>
        </w:tc>
        <w:tc>
          <w:tcPr>
            <w:tcW w:w="1165" w:type="dxa"/>
          </w:tcPr>
          <w:p>
            <w:pPr>
              <w:pStyle w:val="105"/>
            </w:pPr>
            <w:r>
              <w:t>Mod'n</w:t>
            </w:r>
          </w:p>
        </w:tc>
        <w:tc>
          <w:tcPr>
            <w:tcW w:w="2330" w:type="dxa"/>
            <w:gridSpan w:val="2"/>
          </w:tcPr>
          <w:p>
            <w:pPr>
              <w:pStyle w:val="105"/>
            </w:pPr>
            <w:r>
              <w:t>RB allocation</w:t>
            </w:r>
          </w:p>
        </w:tc>
        <w:tc>
          <w:tcPr>
            <w:tcW w:w="1165" w:type="dxa"/>
          </w:tcPr>
          <w:p>
            <w:pPr>
              <w:pStyle w:val="105"/>
            </w:pPr>
            <w:r>
              <w:t>Mod'n</w:t>
            </w:r>
          </w:p>
        </w:tc>
        <w:tc>
          <w:tcPr>
            <w:tcW w:w="2330" w:type="dxa"/>
            <w:gridSpan w:val="2"/>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5"/>
            </w:pPr>
          </w:p>
        </w:tc>
        <w:tc>
          <w:tcPr>
            <w:tcW w:w="1165" w:type="dxa"/>
          </w:tcPr>
          <w:p>
            <w:pPr>
              <w:pStyle w:val="105"/>
            </w:pPr>
          </w:p>
        </w:tc>
        <w:tc>
          <w:tcPr>
            <w:tcW w:w="1165" w:type="dxa"/>
          </w:tcPr>
          <w:p>
            <w:pPr>
              <w:pStyle w:val="105"/>
            </w:pPr>
            <w:r>
              <w:t>FDD and HD-FDD</w:t>
            </w:r>
          </w:p>
        </w:tc>
        <w:tc>
          <w:tcPr>
            <w:tcW w:w="1165" w:type="dxa"/>
          </w:tcPr>
          <w:p>
            <w:pPr>
              <w:pStyle w:val="105"/>
            </w:pPr>
            <w:r>
              <w:t>TDD</w:t>
            </w:r>
          </w:p>
        </w:tc>
        <w:tc>
          <w:tcPr>
            <w:tcW w:w="1165" w:type="dxa"/>
          </w:tcPr>
          <w:p>
            <w:pPr>
              <w:pStyle w:val="105"/>
            </w:pPr>
          </w:p>
        </w:tc>
        <w:tc>
          <w:tcPr>
            <w:tcW w:w="1165" w:type="dxa"/>
          </w:tcPr>
          <w:p>
            <w:pPr>
              <w:pStyle w:val="105"/>
            </w:pPr>
            <w:r>
              <w:t>FDD and HD-FDD</w:t>
            </w:r>
          </w:p>
        </w:tc>
        <w:tc>
          <w:tcPr>
            <w:tcW w:w="1165" w:type="dxa"/>
          </w:tcPr>
          <w:p>
            <w:pPr>
              <w:pStyle w:val="105"/>
            </w:pPr>
            <w: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5"/>
            </w:pPr>
            <w:r>
              <w:t>1.4MHz</w:t>
            </w:r>
          </w:p>
        </w:tc>
        <w:tc>
          <w:tcPr>
            <w:tcW w:w="1165" w:type="dxa"/>
          </w:tcPr>
          <w:p>
            <w:pPr>
              <w:pStyle w:val="105"/>
            </w:pPr>
            <w:r>
              <w:t>QPSK</w:t>
            </w:r>
          </w:p>
        </w:tc>
        <w:tc>
          <w:tcPr>
            <w:tcW w:w="1165" w:type="dxa"/>
          </w:tcPr>
          <w:p>
            <w:pPr>
              <w:pStyle w:val="105"/>
            </w:pPr>
            <w:r>
              <w:t>4</w:t>
            </w:r>
          </w:p>
        </w:tc>
        <w:tc>
          <w:tcPr>
            <w:tcW w:w="1165" w:type="dxa"/>
          </w:tcPr>
          <w:p>
            <w:pPr>
              <w:pStyle w:val="105"/>
            </w:pPr>
            <w:r>
              <w:t>4</w:t>
            </w:r>
          </w:p>
        </w:tc>
        <w:tc>
          <w:tcPr>
            <w:tcW w:w="1165" w:type="dxa"/>
          </w:tcPr>
          <w:p>
            <w:pPr>
              <w:pStyle w:val="105"/>
            </w:pPr>
            <w:r>
              <w:t>QPSK</w:t>
            </w:r>
          </w:p>
        </w:tc>
        <w:tc>
          <w:tcPr>
            <w:tcW w:w="1165" w:type="dxa"/>
          </w:tcPr>
          <w:p>
            <w:pPr>
              <w:pStyle w:val="105"/>
            </w:pPr>
            <w:r>
              <w:t>6</w:t>
            </w:r>
          </w:p>
        </w:tc>
        <w:tc>
          <w:tcPr>
            <w:tcW w:w="1165" w:type="dxa"/>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56" w:type="dxa"/>
            <w:gridSpan w:val="7"/>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Downlink RB position shall be RB</w:t>
            </w:r>
            <w:r>
              <w:rPr>
                <w:rFonts w:ascii="Arial" w:hAnsi="Arial"/>
                <w:sz w:val="18"/>
                <w:vertAlign w:val="subscript"/>
              </w:rPr>
              <w:t>start</w:t>
            </w:r>
            <w:r>
              <w:rPr>
                <w:rFonts w:ascii="Arial" w:hAnsi="Arial"/>
                <w:sz w:val="18"/>
              </w:rPr>
              <w:t xml:space="preserve"> = 0 within the narrowband.</w:t>
            </w:r>
          </w:p>
          <w:p>
            <w:pPr>
              <w:pStyle w:val="118"/>
            </w:pPr>
            <w:r>
              <w:t>Note 2:</w:t>
            </w:r>
            <w:r>
              <w:tab/>
            </w:r>
            <w:r>
              <w:t>Use narrowband index (TS36.211, 5.2.4) 0 when interferer is below carrier, and max narrowband index when interferer is above carrier.</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36.508[7] Annex A Figure A.4 using only main UE Tx/Rx antenna.</w:t>
      </w:r>
    </w:p>
    <w:p>
      <w:pPr>
        <w:pStyle w:val="111"/>
        <w:overflowPunct w:val="0"/>
        <w:autoSpaceDE w:val="0"/>
        <w:autoSpaceDN w:val="0"/>
        <w:adjustRightInd w:val="0"/>
        <w:contextualSpacing w:val="0"/>
        <w:textAlignment w:val="baseline"/>
        <w:rPr>
          <w:rFonts w:eastAsia="Malgun Gothic"/>
          <w:lang w:eastAsia="zh-TW"/>
        </w:rPr>
      </w:pPr>
      <w:r>
        <w:rPr>
          <w:rFonts w:eastAsia="Malgun Gothic"/>
          <w:lang w:val="en-US"/>
        </w:rPr>
        <w:t>2</w:t>
      </w:r>
      <w:r>
        <w:rPr>
          <w:rFonts w:eastAsia="Malgun Gothic"/>
        </w:rPr>
        <w:t>.</w:t>
      </w:r>
      <w:r>
        <w:rPr>
          <w:rFonts w:eastAsia="Malgun Gothic"/>
        </w:rPr>
        <w:tab/>
      </w:r>
      <w:r>
        <w:rPr>
          <w:rFonts w:eastAsia="Malgun Gothic"/>
        </w:rPr>
        <w:t>The parameter settings for the cell are set up according to TS 36.508 [7] subclause 4.4.3.</w:t>
      </w:r>
    </w:p>
    <w:p>
      <w:pPr>
        <w:pStyle w:val="111"/>
        <w:overflowPunct w:val="0"/>
        <w:autoSpaceDE w:val="0"/>
        <w:autoSpaceDN w:val="0"/>
        <w:adjustRightInd w:val="0"/>
        <w:contextualSpacing w:val="0"/>
        <w:textAlignment w:val="baseline"/>
        <w:rPr>
          <w:rFonts w:eastAsia="Malgun Gothic"/>
          <w:lang w:eastAsia="zh-TW"/>
        </w:rPr>
      </w:pPr>
      <w:r>
        <w:rPr>
          <w:rFonts w:eastAsia="Malgun Gothic"/>
          <w:lang w:val="en-US"/>
        </w:rPr>
        <w:t>3</w:t>
      </w:r>
      <w:r>
        <w:rPr>
          <w:rFonts w:eastAsia="Malgun Gothic"/>
        </w:rPr>
        <w:t>.</w:t>
      </w:r>
      <w:r>
        <w:rPr>
          <w:rFonts w:eastAsia="Malgun Gothic"/>
        </w:rPr>
        <w:tab/>
      </w:r>
      <w:r>
        <w:rPr>
          <w:rFonts w:eastAsia="Malgun Gothic"/>
        </w:rPr>
        <w:t>Downlink signals are initially set up according to Annex C0, C.1 and C.3.1, and uplink signals according to Annex H.1 and H.3.1.</w:t>
      </w:r>
    </w:p>
    <w:p>
      <w:pPr>
        <w:pStyle w:val="111"/>
        <w:overflowPunct w:val="0"/>
        <w:autoSpaceDE w:val="0"/>
        <w:autoSpaceDN w:val="0"/>
        <w:adjustRightInd w:val="0"/>
        <w:contextualSpacing w:val="0"/>
        <w:textAlignment w:val="baseline"/>
        <w:rPr>
          <w:rFonts w:eastAsia="Malgun Gothic"/>
          <w:lang w:eastAsia="zh-TW"/>
        </w:rPr>
      </w:pPr>
      <w:r>
        <w:rPr>
          <w:rFonts w:eastAsia="Malgun Gothic"/>
          <w:lang w:val="en-US"/>
        </w:rPr>
        <w:t>4</w:t>
      </w:r>
      <w:r>
        <w:rPr>
          <w:rFonts w:eastAsia="Malgun Gothic"/>
        </w:rPr>
        <w:t>.</w:t>
      </w:r>
      <w:r>
        <w:rPr>
          <w:rFonts w:eastAsia="Malgun Gothic"/>
        </w:rPr>
        <w:tab/>
      </w:r>
      <w:r>
        <w:rPr>
          <w:rFonts w:eastAsia="Malgun Gothic"/>
        </w:rPr>
        <w:t>The UL and DL Reference Measurement channels are set according to Table 7.</w:t>
      </w:r>
      <w:r>
        <w:rPr>
          <w:rFonts w:eastAsia="Malgun Gothic"/>
          <w:lang w:eastAsia="zh-TW"/>
        </w:rPr>
        <w:t>5A</w:t>
      </w:r>
      <w:r>
        <w:rPr>
          <w:rFonts w:eastAsia="Malgun Gothic"/>
        </w:rPr>
        <w:t>.4.1-1.</w:t>
      </w:r>
    </w:p>
    <w:p>
      <w:pPr>
        <w:pStyle w:val="111"/>
        <w:overflowPunct w:val="0"/>
        <w:autoSpaceDE w:val="0"/>
        <w:autoSpaceDN w:val="0"/>
        <w:adjustRightInd w:val="0"/>
        <w:contextualSpacing w:val="0"/>
        <w:textAlignment w:val="baseline"/>
        <w:rPr>
          <w:rFonts w:eastAsia="Malgun Gothic"/>
        </w:rPr>
      </w:pPr>
      <w:r>
        <w:rPr>
          <w:rFonts w:eastAsia="Malgun Gothic"/>
          <w:lang w:val="en-US"/>
        </w:rPr>
        <w:t>5</w:t>
      </w:r>
      <w:r>
        <w:rPr>
          <w:rFonts w:eastAsia="Malgun Gothic"/>
        </w:rPr>
        <w:t>.</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hint="eastAsia" w:eastAsia="Malgun Gothic"/>
        </w:rPr>
        <w:t>6.</w:t>
      </w:r>
      <w:r>
        <w:rPr>
          <w:rFonts w:hint="eastAsia" w:eastAsia="Malgun Gothic"/>
        </w:rPr>
        <w:tab/>
      </w:r>
      <w:r>
        <w:rPr>
          <w:rFonts w:hint="eastAsia" w:eastAsia="Malgun Gothic"/>
        </w:rPr>
        <w:t xml:space="preserve">UE location according to TS 36.508 [12] clause </w:t>
      </w:r>
      <w:r>
        <w:rPr>
          <w:rFonts w:eastAsia="Malgun Gothic"/>
        </w:rPr>
        <w:t>5.6.1</w:t>
      </w:r>
      <w:r>
        <w:rPr>
          <w:rFonts w:hint="eastAsia" w:eastAsia="Malgun Gothic"/>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eastAsia="Malgun Gothic"/>
        </w:rPr>
        <w:t>7.</w:t>
      </w:r>
      <w:r>
        <w:rPr>
          <w:rFonts w:hint="eastAsia" w:eastAsia="Malgun Gothic"/>
        </w:rPr>
        <w:tab/>
      </w:r>
      <w:r>
        <w:t>Test equipment shall em</w:t>
      </w:r>
      <w:r>
        <w:rPr>
          <w:color w:val="000000" w:themeColor="text1"/>
          <w14:textFill>
            <w14:solidFill>
              <w14:schemeClr w14:val="tx1"/>
            </w14:solidFill>
          </w14:textFill>
        </w:rPr>
        <w:t xml:space="preserve">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duration of the test as define in TS 36.508[12] clause 5.6.3.1</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lang w:eastAsia="zh-TW"/>
        </w:rPr>
      </w:pPr>
      <w:r>
        <w:rPr>
          <w:rFonts w:eastAsia="Malgun Gothic"/>
        </w:rPr>
        <w:t>9</w:t>
      </w:r>
      <w:r>
        <w:rPr>
          <w:rFonts w:hint="eastAsia" w:eastAsia="Malgun Gothic"/>
        </w:rPr>
        <w:t>.</w:t>
      </w:r>
      <w:r>
        <w:rPr>
          <w:rFonts w:hint="eastAsia" w:eastAsia="Malgun Gothic"/>
        </w:rPr>
        <w:tab/>
      </w:r>
      <w:r>
        <w:rPr>
          <w:rFonts w:hint="eastAsia" w:eastAsia="Malgun Gothic"/>
        </w:rPr>
        <w:t>Ensure the UE is in State 3A-RF-CE according to TS 36.508 [7] clause 5.2A.2AA. Message contents are defined in clause 7.5A.4.3.</w:t>
      </w:r>
    </w:p>
    <w:p>
      <w:pPr>
        <w:pStyle w:val="9"/>
        <w:ind w:left="0" w:firstLine="0"/>
      </w:pPr>
      <w:r>
        <w:t>7.5A.4.2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 xml:space="preserve">SS transmits PDSCH via </w:t>
      </w:r>
      <w:r>
        <w:rPr>
          <w:rFonts w:eastAsia="Malgun Gothic"/>
          <w:lang w:eastAsia="zh-TW"/>
        </w:rPr>
        <w:t>M-</w:t>
      </w:r>
      <w:r>
        <w:rPr>
          <w:rFonts w:eastAsia="Malgun Gothic"/>
        </w:rPr>
        <w:t xml:space="preserve">PDCCH DCI format </w:t>
      </w:r>
      <w:r>
        <w:rPr>
          <w:rFonts w:eastAsia="Malgun Gothic"/>
          <w:lang w:eastAsia="zh-TW"/>
        </w:rPr>
        <w:t>6-</w:t>
      </w:r>
      <w:r>
        <w:rPr>
          <w:rFonts w:eastAsia="Malgun Gothic"/>
        </w:rPr>
        <w:t>1A for C_RNTI to transmit the DL RMC according to Table 7.5</w:t>
      </w:r>
      <w:r>
        <w:rPr>
          <w:rFonts w:eastAsia="Malgun Gothic"/>
          <w:lang w:eastAsia="zh-TW"/>
        </w:rPr>
        <w:t>A</w:t>
      </w:r>
      <w:r>
        <w:rPr>
          <w:rFonts w:eastAsia="Malgun Gothic"/>
        </w:rPr>
        <w:t>.4.1-1. The SS sends downlink MAC padding bits on the DL RMC.</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 xml:space="preserve">SS sends uplink scheduling information for each UL HARQ process via </w:t>
      </w:r>
      <w:r>
        <w:rPr>
          <w:rFonts w:eastAsia="Malgun Gothic"/>
          <w:lang w:eastAsia="zh-TW"/>
        </w:rPr>
        <w:t>M-</w:t>
      </w:r>
      <w:r>
        <w:rPr>
          <w:rFonts w:eastAsia="Malgun Gothic"/>
        </w:rPr>
        <w:t xml:space="preserve">PDCCH DCI format </w:t>
      </w:r>
      <w:r>
        <w:rPr>
          <w:rFonts w:eastAsia="Malgun Gothic"/>
          <w:lang w:eastAsia="zh-TW"/>
        </w:rPr>
        <w:t>6-</w:t>
      </w:r>
      <w:r>
        <w:rPr>
          <w:rFonts w:eastAsia="Malgun Gothic"/>
        </w:rPr>
        <w:t>0</w:t>
      </w:r>
      <w:r>
        <w:rPr>
          <w:rFonts w:eastAsia="Malgun Gothic"/>
          <w:lang w:eastAsia="zh-TW"/>
        </w:rPr>
        <w:t>A</w:t>
      </w:r>
      <w:r>
        <w:rPr>
          <w:rFonts w:eastAsia="Malgun Gothic"/>
        </w:rPr>
        <w:t xml:space="preserve"> for C_RNTI to schedule the UL RMC according to Table 7.5</w:t>
      </w:r>
      <w:r>
        <w:rPr>
          <w:rFonts w:eastAsia="Malgun Gothic"/>
          <w:lang w:eastAsia="zh-TW"/>
        </w:rPr>
        <w:t>A</w:t>
      </w:r>
      <w:r>
        <w:rPr>
          <w:rFonts w:eastAsia="Malgun Gothic"/>
        </w:rPr>
        <w:t>.4.1-1.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3</w:t>
      </w:r>
      <w:r>
        <w:rPr>
          <w:rFonts w:eastAsia="Malgun Gothic"/>
          <w:lang w:eastAsia="zh-TW"/>
        </w:rPr>
        <w:t>.</w:t>
      </w:r>
      <w:r>
        <w:rPr>
          <w:rFonts w:eastAsia="Malgun Gothic"/>
          <w:lang w:eastAsia="zh-TW"/>
        </w:rPr>
        <w:tab/>
      </w:r>
      <w:r>
        <w:rPr>
          <w:rFonts w:eastAsia="Malgun Gothic"/>
        </w:rPr>
        <w:t>Set the Downlink signal level to the value as defined in Table 7.5</w:t>
      </w:r>
      <w:r>
        <w:rPr>
          <w:rFonts w:eastAsia="Malgun Gothic"/>
          <w:lang w:eastAsia="zh-TW"/>
        </w:rPr>
        <w:t>A</w:t>
      </w:r>
      <w:r>
        <w:rPr>
          <w:rFonts w:eastAsia="Malgun Gothic"/>
        </w:rPr>
        <w:t>.5-2 (Case 1). Send Uplink power control commands to the UE (less or equal to 1dB step size should be used), to ensure that the UE output power is within +0, - 3.4 dB of the target level in Table 7.5</w:t>
      </w:r>
      <w:r>
        <w:rPr>
          <w:rFonts w:eastAsia="Malgun Gothic"/>
          <w:lang w:eastAsia="zh-TW"/>
        </w:rPr>
        <w:t>A</w:t>
      </w:r>
      <w:r>
        <w:rPr>
          <w:rFonts w:eastAsia="Malgun Gothic"/>
        </w:rPr>
        <w:t>.5-2 (Case 1) for carrier frequency f ≤ 3.0GHz or within +0, -4.0 dB of the target level for carrier frequency 3.0GHz &lt; f ≤ 4.2GHz, for at least the duration of the Throughput measurement.</w:t>
      </w:r>
    </w:p>
    <w:p>
      <w:pPr>
        <w:pStyle w:val="111"/>
        <w:overflowPunct w:val="0"/>
        <w:autoSpaceDE w:val="0"/>
        <w:autoSpaceDN w:val="0"/>
        <w:adjustRightInd w:val="0"/>
        <w:contextualSpacing w:val="0"/>
        <w:textAlignment w:val="baseline"/>
        <w:rPr>
          <w:rFonts w:eastAsia="Malgun Gothic"/>
          <w:lang w:eastAsia="zh-TW"/>
        </w:rPr>
      </w:pPr>
      <w:r>
        <w:rPr>
          <w:rFonts w:eastAsia="Malgun Gothic"/>
          <w:lang w:eastAsia="zh-TW"/>
        </w:rPr>
        <w:t>4.</w:t>
      </w:r>
      <w:r>
        <w:rPr>
          <w:rFonts w:eastAsia="Malgun Gothic"/>
          <w:lang w:eastAsia="zh-TW"/>
        </w:rPr>
        <w:tab/>
      </w:r>
      <w:r>
        <w:rPr>
          <w:rFonts w:eastAsia="Malgun Gothic"/>
        </w:rPr>
        <w:t>Set the Interferer signal level to the value as defined in Table 7.5</w:t>
      </w:r>
      <w:r>
        <w:rPr>
          <w:rFonts w:eastAsia="Malgun Gothic"/>
          <w:lang w:eastAsia="zh-TW"/>
        </w:rPr>
        <w:t>A</w:t>
      </w:r>
      <w:r>
        <w:rPr>
          <w:rFonts w:eastAsia="Malgun Gothic"/>
        </w:rPr>
        <w:t>.5-2 (Case 1) and frequency below the wanted signal, using a modulated interferer bandwidth as defined in Annex D of the present document.</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6</w:t>
      </w:r>
      <w:r>
        <w:rPr>
          <w:rFonts w:eastAsia="Malgun Gothic"/>
          <w:lang w:eastAsia="zh-TW"/>
        </w:rPr>
        <w:t>.</w:t>
      </w:r>
      <w:r>
        <w:rPr>
          <w:rFonts w:eastAsia="Malgun Gothic"/>
          <w:lang w:eastAsia="zh-TW"/>
        </w:rPr>
        <w:tab/>
      </w:r>
      <w:r>
        <w:rPr>
          <w:rFonts w:eastAsia="Malgun Gothic"/>
        </w:rPr>
        <w:t>Repeat steps from 3 to 5, using an interfering signal above the wanted signal in Case 1 at step 4.</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7</w:t>
      </w:r>
      <w:r>
        <w:rPr>
          <w:rFonts w:eastAsia="Malgun Gothic"/>
          <w:lang w:eastAsia="zh-TW"/>
        </w:rPr>
        <w:t>.</w:t>
      </w:r>
      <w:r>
        <w:rPr>
          <w:rFonts w:eastAsia="Malgun Gothic"/>
          <w:lang w:eastAsia="zh-TW"/>
        </w:rPr>
        <w:tab/>
      </w:r>
      <w:r>
        <w:rPr>
          <w:rFonts w:eastAsia="Malgun Gothic"/>
        </w:rPr>
        <w:t>Set the Downlink signal level to the value as defined in Table 7.5</w:t>
      </w:r>
      <w:r>
        <w:rPr>
          <w:rFonts w:eastAsia="Malgun Gothic"/>
          <w:lang w:eastAsia="zh-TW"/>
        </w:rPr>
        <w:t>A</w:t>
      </w:r>
      <w:r>
        <w:rPr>
          <w:rFonts w:eastAsia="Malgun Gothic"/>
        </w:rPr>
        <w:t>.5-3 (Case 2). Send Uplink power control commands to the UE (less or equal to 1dB step size should be used), to ensure that the UE output power is within +0, - 3.4 dB of the target level in Table 7.5</w:t>
      </w:r>
      <w:r>
        <w:rPr>
          <w:rFonts w:eastAsia="Malgun Gothic"/>
          <w:lang w:eastAsia="zh-TW"/>
        </w:rPr>
        <w:t>A</w:t>
      </w:r>
      <w:r>
        <w:rPr>
          <w:rFonts w:eastAsia="Malgun Gothic"/>
        </w:rPr>
        <w:t>.5-3 (Case 2) for carrier frequency f ≤ 3.0GHz or within +0, -4.0 dB of the target level for carrier frequency 3.0GHz &lt; f ≤ 4.2GHz, for at least the duration of the Throughput measurement.</w:t>
      </w:r>
    </w:p>
    <w:p>
      <w:pPr>
        <w:pStyle w:val="111"/>
        <w:overflowPunct w:val="0"/>
        <w:autoSpaceDE w:val="0"/>
        <w:autoSpaceDN w:val="0"/>
        <w:adjustRightInd w:val="0"/>
        <w:contextualSpacing w:val="0"/>
        <w:textAlignment w:val="baseline"/>
        <w:rPr>
          <w:rFonts w:eastAsia="Malgun Gothic"/>
        </w:rPr>
      </w:pPr>
      <w:r>
        <w:rPr>
          <w:rFonts w:eastAsia="Malgun Gothic"/>
          <w:lang w:eastAsia="zh-TW"/>
        </w:rPr>
        <w:t>8.</w:t>
      </w:r>
      <w:r>
        <w:rPr>
          <w:rFonts w:eastAsia="Malgun Gothic"/>
          <w:lang w:eastAsia="zh-TW"/>
        </w:rPr>
        <w:tab/>
      </w:r>
      <w:r>
        <w:rPr>
          <w:rFonts w:eastAsia="Malgun Gothic"/>
        </w:rPr>
        <w:t>Set the Interferer signal level to the value as defined in Table 7.5</w:t>
      </w:r>
      <w:r>
        <w:rPr>
          <w:rFonts w:eastAsia="Malgun Gothic"/>
          <w:lang w:eastAsia="zh-TW"/>
        </w:rPr>
        <w:t>A</w:t>
      </w:r>
      <w:r>
        <w:rPr>
          <w:rFonts w:eastAsia="Malgun Gothic"/>
        </w:rPr>
        <w:t>.5-3 (Case 2) and frequency below the wanted signal, using a modulated interferer bandwidth as defined in Annex D of the present document.</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9</w:t>
      </w:r>
      <w:r>
        <w:rPr>
          <w:rFonts w:eastAsia="Malgun Gothic"/>
          <w:lang w:eastAsia="zh-TW"/>
        </w:rPr>
        <w:t>.</w:t>
      </w:r>
      <w:r>
        <w:rPr>
          <w:rFonts w:eastAsia="Malgun Gothic"/>
          <w:lang w:eastAsia="zh-TW"/>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1</w:t>
      </w:r>
      <w:r>
        <w:rPr>
          <w:rFonts w:eastAsia="Malgun Gothic"/>
          <w:lang w:eastAsia="zh-TW"/>
        </w:rPr>
        <w:t>0.</w:t>
      </w:r>
      <w:r>
        <w:rPr>
          <w:rFonts w:eastAsia="Malgun Gothic"/>
          <w:lang w:eastAsia="zh-TW"/>
        </w:rPr>
        <w:tab/>
      </w:r>
      <w:r>
        <w:rPr>
          <w:rFonts w:eastAsia="Malgun Gothic"/>
        </w:rPr>
        <w:t>Repeat steps from 7 to 9, using an interfering signal above the wanted signal in Case 2 at step 8.</w:t>
      </w:r>
    </w:p>
    <w:p>
      <w:pPr>
        <w:pStyle w:val="111"/>
        <w:overflowPunct w:val="0"/>
        <w:autoSpaceDE w:val="0"/>
        <w:autoSpaceDN w:val="0"/>
        <w:adjustRightInd w:val="0"/>
        <w:contextualSpacing w:val="0"/>
        <w:textAlignment w:val="baseline"/>
        <w:rPr>
          <w:rFonts w:eastAsia="Malgun Gothic"/>
          <w:lang w:eastAsia="zh-TW"/>
        </w:rPr>
      </w:pPr>
      <w:r>
        <w:rPr>
          <w:rFonts w:hint="eastAsia" w:eastAsia="Malgun Gothic"/>
          <w:lang w:eastAsia="zh-TW"/>
        </w:rPr>
        <w:t>1</w:t>
      </w:r>
      <w:r>
        <w:rPr>
          <w:rFonts w:eastAsia="Malgun Gothic"/>
          <w:lang w:eastAsia="zh-TW"/>
        </w:rPr>
        <w:t>1.</w:t>
      </w:r>
      <w:r>
        <w:rPr>
          <w:rFonts w:eastAsia="Malgun Gothic"/>
          <w:lang w:eastAsia="zh-TW"/>
        </w:rPr>
        <w:tab/>
      </w:r>
      <w:r>
        <w:rPr>
          <w:rFonts w:eastAsia="Malgun Gothic"/>
        </w:rPr>
        <w:t>Repeat for applicable channel bandwidths and operating band combinations in both Case 1 and Case 2.</w:t>
      </w:r>
    </w:p>
    <w:p>
      <w:pPr>
        <w:pStyle w:val="9"/>
      </w:pPr>
      <w:r>
        <w:t>7.5A.4.3</w:t>
      </w:r>
      <w:r>
        <w:tab/>
      </w:r>
      <w:r>
        <w:t>Message contents</w:t>
      </w:r>
    </w:p>
    <w:p>
      <w:r>
        <w:t>Message contents are according to TS 36.508 [12] subclause 4.6</w:t>
      </w:r>
      <w:r>
        <w:rPr>
          <w:rFonts w:eastAsia="宋体"/>
        </w:rPr>
        <w:t xml:space="preserve"> w</w:t>
      </w:r>
      <w:r>
        <w:t xml:space="preserve">ith the </w:t>
      </w:r>
      <w:r>
        <w:rPr>
          <w:rFonts w:eastAsia="宋体"/>
        </w:rPr>
        <w:t xml:space="preserve">following </w:t>
      </w:r>
      <w:r>
        <w:t>exception.</w:t>
      </w:r>
    </w:p>
    <w:p>
      <w:pPr>
        <w:pStyle w:val="113"/>
      </w:pPr>
      <w:r>
        <w:t xml:space="preserve">Table </w:t>
      </w:r>
      <w:r>
        <w:rPr>
          <w:rFonts w:eastAsia="宋体"/>
        </w:rPr>
        <w:t>7.5</w:t>
      </w:r>
      <w:r>
        <w:rPr>
          <w:lang w:eastAsia="zh-TW"/>
        </w:rPr>
        <w:t>A</w:t>
      </w:r>
      <w:r>
        <w:rPr>
          <w:rFonts w:eastAsia="宋体"/>
        </w:rPr>
        <w:t>.4.</w:t>
      </w:r>
      <w:r>
        <w:t>3</w:t>
      </w:r>
      <w:r>
        <w:rPr>
          <w:rFonts w:eastAsia="宋体"/>
        </w:rPr>
        <w:t>-</w:t>
      </w:r>
      <w:r>
        <w:t>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p0-UePUSCH </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p0-uePUCCH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
          <w:p>
            <w:pPr>
              <w:pStyle w:val="103"/>
            </w:pPr>
            <w:r>
              <w:rPr>
                <w:rFonts w:eastAsia="宋体"/>
              </w:rPr>
              <w:t>f</w:t>
            </w:r>
            <w:r>
              <w:t>c</w:t>
            </w:r>
            <w:r>
              <w:rPr>
                <w:rFonts w:eastAsia="宋体"/>
              </w:rPr>
              <w:t>8</w:t>
            </w:r>
          </w:p>
        </w:tc>
        <w:tc>
          <w:tcPr>
            <w:tcW w:w="1701" w:type="dxa"/>
            <w:tcBorders>
              <w:top w:val="single" w:color="auto" w:sz="4" w:space="0"/>
              <w:left w:val="single" w:color="auto" w:sz="4" w:space="0"/>
              <w:bottom w:val="single" w:color="auto" w:sz="4" w:space="0"/>
              <w:right w:val="single" w:color="auto" w:sz="4" w:space="0"/>
            </w:tcBorders>
          </w:tcPr>
          <w:p>
            <w:pPr>
              <w:pStyle w:val="103"/>
            </w:pPr>
            <w:r>
              <w:rPr>
                <w:rFonts w:eastAsia="宋体"/>
              </w:rPr>
              <w:t>larger</w:t>
            </w:r>
            <w:r>
              <w:t xml:space="preserve"> filter length </w:t>
            </w:r>
            <w:r>
              <w:rPr>
                <w:rFonts w:eastAsia="宋体"/>
              </w:rPr>
              <w:t xml:space="preserve">is used </w:t>
            </w:r>
            <w:r>
              <w:t xml:space="preserve">to </w:t>
            </w:r>
            <w:r>
              <w:rPr>
                <w:rFonts w:eastAsia="宋体"/>
              </w:rPr>
              <w:t>reduce</w:t>
            </w:r>
            <w:r>
              <w:t xml:space="preserve"> the RSRP measurement variation</w:t>
            </w: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7.5A.5</w:t>
      </w:r>
      <w:r>
        <w:tab/>
      </w:r>
      <w:r>
        <w:t>Test requirement</w:t>
      </w:r>
    </w:p>
    <w:p>
      <w:r>
        <w:t xml:space="preserve">The </w:t>
      </w:r>
      <w:r>
        <w:rPr>
          <w:rFonts w:eastAsia="Osaka"/>
        </w:rPr>
        <w:t xml:space="preserve">throughput </w:t>
      </w:r>
      <w:r>
        <w:rPr>
          <w:i/>
          <w:iCs/>
        </w:rPr>
        <w:t>R</w:t>
      </w:r>
      <w:r>
        <w:rPr>
          <w:i/>
          <w:iCs/>
          <w:vertAlign w:val="subscript"/>
        </w:rPr>
        <w:t xml:space="preserve">av </w:t>
      </w:r>
      <w:r>
        <w:t xml:space="preserve">shall be ≥ 95% of the maximum throughput of the reference measurement channels as specified in Annex </w:t>
      </w:r>
      <w:r>
        <w:rPr>
          <w:lang w:eastAsia="zh-TW"/>
        </w:rPr>
        <w:t xml:space="preserve">A.2.2, A.2.3 and </w:t>
      </w:r>
      <w:r>
        <w:t xml:space="preserve">A.3.2 </w:t>
      </w:r>
      <w:r>
        <w:rPr>
          <w:lang w:eastAsia="zh-TW"/>
        </w:rPr>
        <w:t>with</w:t>
      </w:r>
      <w:r>
        <w:t xml:space="preserve"> </w:t>
      </w:r>
      <w:r>
        <w:rPr>
          <w:lang w:eastAsia="zh-TW"/>
        </w:rPr>
        <w:t>parameters</w:t>
      </w:r>
      <w:r>
        <w:t xml:space="preserve"> specified in table 7.5</w:t>
      </w:r>
      <w:r>
        <w:rPr>
          <w:lang w:eastAsia="zh-TW"/>
        </w:rPr>
        <w:t>A</w:t>
      </w:r>
      <w:r>
        <w:t>.5-2, and also under the conditions specified in table 7.5</w:t>
      </w:r>
      <w:r>
        <w:rPr>
          <w:lang w:eastAsia="zh-TW"/>
        </w:rPr>
        <w:t>A</w:t>
      </w:r>
      <w:r>
        <w:t>.5-3.</w:t>
      </w:r>
    </w:p>
    <w:p>
      <w:pPr>
        <w:pStyle w:val="113"/>
        <w:rPr>
          <w:rFonts w:cstheme="minorBidi"/>
        </w:rPr>
      </w:pPr>
      <w:r>
        <w:t xml:space="preserve">Table </w:t>
      </w:r>
      <w:r>
        <w:rPr>
          <w:rFonts w:eastAsia="MS Mincho"/>
        </w:rPr>
        <w:t>7.5A.5-1</w:t>
      </w:r>
      <w:r>
        <w:t>: Adjacent channel selectivity</w:t>
      </w:r>
    </w:p>
    <w:tbl>
      <w:tblPr>
        <w:tblStyle w:val="89"/>
        <w:tblW w:w="72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910"/>
        <w:gridCol w:w="48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tcBorders>
              <w:top w:val="single" w:color="auto" w:sz="4" w:space="0"/>
              <w:left w:val="single" w:color="auto" w:sz="4" w:space="0"/>
              <w:bottom w:val="single" w:color="auto" w:sz="4" w:space="0"/>
              <w:right w:val="single" w:color="auto" w:sz="4" w:space="0"/>
            </w:tcBorders>
          </w:tcPr>
          <w:p>
            <w:pPr>
              <w:pStyle w:val="104"/>
              <w:rPr>
                <w:rFonts w:cs="Arial"/>
              </w:rPr>
            </w:pPr>
          </w:p>
        </w:tc>
        <w:tc>
          <w:tcPr>
            <w:tcW w:w="910" w:type="dxa"/>
            <w:tcBorders>
              <w:top w:val="single" w:color="auto" w:sz="4" w:space="0"/>
              <w:left w:val="single" w:color="auto" w:sz="4" w:space="0"/>
              <w:bottom w:val="single" w:color="auto" w:sz="4" w:space="0"/>
              <w:right w:val="single" w:color="auto" w:sz="4" w:space="0"/>
            </w:tcBorders>
          </w:tcPr>
          <w:p>
            <w:pPr>
              <w:pStyle w:val="104"/>
              <w:rPr>
                <w:rFonts w:cs="Arial"/>
              </w:rPr>
            </w:pPr>
          </w:p>
        </w:tc>
        <w:tc>
          <w:tcPr>
            <w:tcW w:w="4821"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910"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4821"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ACS</w:t>
            </w:r>
          </w:p>
        </w:tc>
        <w:tc>
          <w:tcPr>
            <w:tcW w:w="91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w:t>
            </w:r>
          </w:p>
        </w:tc>
        <w:tc>
          <w:tcPr>
            <w:tcW w:w="482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33.0</w:t>
            </w:r>
          </w:p>
        </w:tc>
      </w:tr>
    </w:tbl>
    <w:p>
      <w:pPr>
        <w:rPr>
          <w:rFonts w:eastAsia="MS Mincho"/>
        </w:rPr>
      </w:pPr>
    </w:p>
    <w:p>
      <w:pPr>
        <w:pStyle w:val="113"/>
      </w:pPr>
      <w:r>
        <w:t xml:space="preserve">Table </w:t>
      </w:r>
      <w:r>
        <w:rPr>
          <w:rFonts w:eastAsia="MS Mincho"/>
        </w:rPr>
        <w:t>7.5A.5-2</w:t>
      </w:r>
      <w:r>
        <w:t>: Test parameters for Adjacent channel selectivity, Case 1</w:t>
      </w:r>
    </w:p>
    <w:tbl>
      <w:tblPr>
        <w:tblStyle w:val="89"/>
        <w:tblW w:w="3148" w:type="pct"/>
        <w:tblInd w:w="254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1"/>
        <w:gridCol w:w="666"/>
        <w:gridCol w:w="3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9"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512"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3128"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9"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512"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3128"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9" w:type="pct"/>
            <w:tcBorders>
              <w:top w:val="single" w:color="auto" w:sz="4" w:space="0"/>
              <w:left w:val="single" w:color="auto" w:sz="4" w:space="0"/>
              <w:bottom w:val="single" w:color="auto" w:sz="4" w:space="0"/>
              <w:right w:val="single" w:color="auto" w:sz="4" w:space="0"/>
            </w:tcBorders>
          </w:tcPr>
          <w:p>
            <w:pPr>
              <w:pStyle w:val="103"/>
              <w:rPr>
                <w:rFonts w:cs="Arial"/>
              </w:rPr>
            </w:pPr>
            <w:r>
              <w:rPr>
                <w:rFonts w:cs="Arial"/>
              </w:rPr>
              <w:t>Power in Transmission Bandwidth Configuration</w:t>
            </w:r>
          </w:p>
        </w:tc>
        <w:tc>
          <w:tcPr>
            <w:tcW w:w="51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3128"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9" w:type="pct"/>
            <w:tcBorders>
              <w:top w:val="single" w:color="auto" w:sz="4" w:space="0"/>
              <w:left w:val="single" w:color="auto" w:sz="4" w:space="0"/>
              <w:bottom w:val="single" w:color="auto" w:sz="4" w:space="0"/>
              <w:right w:val="single" w:color="auto" w:sz="4" w:space="0"/>
            </w:tcBorders>
            <w:vAlign w:val="bottom"/>
          </w:tcPr>
          <w:p>
            <w:pPr>
              <w:pStyle w:val="103"/>
              <w:rPr>
                <w:rFonts w:cs="Arial"/>
              </w:rPr>
            </w:pPr>
            <w:r>
              <w:rPr>
                <w:rFonts w:eastAsia="MS Mincho" w:cs="Arial"/>
                <w:bCs/>
              </w:rPr>
              <w:t>P</w:t>
            </w:r>
            <w:r>
              <w:rPr>
                <w:rFonts w:eastAsia="MS Mincho" w:cs="Arial"/>
                <w:bCs/>
                <w:vertAlign w:val="subscript"/>
              </w:rPr>
              <w:t>Interferer</w:t>
            </w:r>
          </w:p>
        </w:tc>
        <w:tc>
          <w:tcPr>
            <w:tcW w:w="51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3128" w:type="pct"/>
            <w:tcBorders>
              <w:top w:val="single" w:color="auto" w:sz="4" w:space="0"/>
              <w:left w:val="single" w:color="auto" w:sz="4" w:space="0"/>
              <w:bottom w:val="single" w:color="auto" w:sz="4" w:space="0"/>
              <w:right w:val="single" w:color="auto" w:sz="4" w:space="0"/>
            </w:tcBorders>
          </w:tcPr>
          <w:p>
            <w:pPr>
              <w:pStyle w:val="105"/>
              <w:rPr>
                <w:rFonts w:cs="Arial"/>
              </w:rPr>
            </w:pPr>
            <w:r>
              <w:rPr>
                <w:rFonts w:eastAsia="MS Mincho" w:cs="Arial"/>
              </w:rPr>
              <w:t>REFSENS +45.5dB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9"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BW</w:t>
            </w:r>
            <w:r>
              <w:rPr>
                <w:rFonts w:eastAsia="MS Mincho" w:cs="Arial"/>
                <w:bCs/>
                <w:vertAlign w:val="subscript"/>
              </w:rPr>
              <w:t xml:space="preserve">Interferer </w:t>
            </w:r>
          </w:p>
        </w:tc>
        <w:tc>
          <w:tcPr>
            <w:tcW w:w="51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3128" w:type="pct"/>
            <w:tcBorders>
              <w:top w:val="single" w:color="auto" w:sz="4" w:space="0"/>
              <w:left w:val="single" w:color="auto" w:sz="4" w:space="0"/>
              <w:bottom w:val="single" w:color="auto" w:sz="4" w:space="0"/>
              <w:right w:val="single" w:color="auto" w:sz="4" w:space="0"/>
            </w:tcBorders>
          </w:tcPr>
          <w:p>
            <w:pPr>
              <w:pStyle w:val="105"/>
              <w:rPr>
                <w:rFonts w:cs="Arial"/>
              </w:rPr>
            </w:pPr>
            <w:r>
              <w:rPr>
                <w:rFonts w:eastAsia="MS Mincho"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9"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51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3128"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5000" w:type="pct"/>
            <w:gridSpan w:val="3"/>
            <w:tcBorders>
              <w:top w:val="single" w:color="auto" w:sz="4" w:space="0"/>
              <w:left w:val="single" w:color="auto" w:sz="4" w:space="0"/>
              <w:bottom w:val="single" w:color="auto" w:sz="4" w:space="0"/>
              <w:right w:val="single" w:color="auto" w:sz="4" w:space="0"/>
            </w:tcBorders>
          </w:tcPr>
          <w:p>
            <w:pPr>
              <w:pStyle w:val="118"/>
            </w:pPr>
            <w:r>
              <w:t>NOTE 1:</w:t>
            </w:r>
            <w:r>
              <w:tab/>
            </w:r>
            <w:r>
              <w:t>The transmitter shall be set to 4dB below P</w:t>
            </w:r>
            <w:r>
              <w:rPr>
                <w:vertAlign w:val="subscript"/>
              </w:rPr>
              <w:t>CMAX_L</w:t>
            </w:r>
            <w:r>
              <w:rPr>
                <w:rFonts w:cs="Arial"/>
              </w:rPr>
              <w:t xml:space="preserve"> at the minimum uplink configuration specified in Table </w:t>
            </w:r>
            <w:r>
              <w:t>7.3A-3</w:t>
            </w:r>
            <w:r>
              <w:rPr>
                <w:vertAlign w:val="subscript"/>
              </w:rPr>
              <w:t xml:space="preserve"> </w:t>
            </w:r>
            <w:r>
              <w:t>with P</w:t>
            </w:r>
            <w:r>
              <w:rPr>
                <w:vertAlign w:val="subscript"/>
              </w:rPr>
              <w:t xml:space="preserve">CMAX_L </w:t>
            </w:r>
            <w:r>
              <w:t>as defined in clause 6.2.5A.</w:t>
            </w:r>
          </w:p>
          <w:p>
            <w:pPr>
              <w:pStyle w:val="118"/>
            </w:pPr>
            <w:r>
              <w:t>NOTE 2:</w:t>
            </w:r>
            <w:r>
              <w:tab/>
            </w:r>
            <w:r>
              <w:t xml:space="preserve">The interferer consists of the Reference measurement channel specified in Annex A.3.2 with </w:t>
            </w:r>
            <w:r>
              <w:rPr>
                <w:rFonts w:cs="Arial"/>
              </w:rPr>
              <w:t xml:space="preserve">one sided dynamic OCNG Pattern OP.1 FDD/TDD as described in Annex A.5.1.1/A.5.2.1 and </w:t>
            </w:r>
            <w:r>
              <w:t>set-up according to Annex C.3.1.</w:t>
            </w:r>
          </w:p>
          <w:p>
            <w:pPr>
              <w:pStyle w:val="118"/>
              <w:rPr>
                <w:rFonts w:cs="Arial"/>
              </w:rPr>
            </w:pPr>
            <w:r>
              <w:t>NOTE 3:</w:t>
            </w:r>
            <w:r>
              <w:tab/>
            </w:r>
            <w:r>
              <w:rPr>
                <w:rFonts w:cs="Arial"/>
              </w:rPr>
              <w:t>For DL category M1 UE, the reference sensitivity for category M1 in table 7.3A-1 and 7.3A-2 should be used as REFSENS for the power in Transmission Bandwidth Configuration and P</w:t>
            </w:r>
            <w:r>
              <w:rPr>
                <w:rFonts w:cs="Arial"/>
                <w:vertAlign w:val="subscript"/>
              </w:rPr>
              <w:t>Interferer</w:t>
            </w:r>
            <w:r>
              <w:rPr>
                <w:rFonts w:cs="Arial"/>
              </w:rPr>
              <w:t>.</w:t>
            </w:r>
          </w:p>
          <w:p>
            <w:pPr>
              <w:pStyle w:val="118"/>
              <w:rPr>
                <w:rFonts w:eastAsia="MS Mincho" w:cs="Arial"/>
                <w:strike/>
              </w:rPr>
            </w:pPr>
            <w:r>
              <w:t>NOTE 4:</w:t>
            </w:r>
            <w:r>
              <w:tab/>
            </w:r>
            <w:r>
              <w:rPr>
                <w:rFonts w:cs="Arial"/>
              </w:rPr>
              <w:t>For DL category M1 UE, the parameters for the applicable channel bandwidth apply.</w:t>
            </w:r>
          </w:p>
        </w:tc>
      </w:tr>
    </w:tbl>
    <w:p>
      <w:pPr>
        <w:rPr>
          <w:lang w:val="en-US" w:eastAsia="zh-CN"/>
        </w:rPr>
      </w:pPr>
    </w:p>
    <w:p>
      <w:pPr>
        <w:pStyle w:val="113"/>
      </w:pPr>
      <w:r>
        <w:t xml:space="preserve">Table </w:t>
      </w:r>
      <w:r>
        <w:rPr>
          <w:rFonts w:eastAsia="MS Mincho"/>
        </w:rPr>
        <w:t>7.5A.5-3</w:t>
      </w:r>
      <w:r>
        <w:t>: Test parameters for Adjacent channel selectivity, Case 2</w:t>
      </w:r>
    </w:p>
    <w:tbl>
      <w:tblPr>
        <w:tblStyle w:val="89"/>
        <w:tblW w:w="3122" w:type="pct"/>
        <w:jc w:val="center"/>
        <w:tblLayout w:type="autofit"/>
        <w:tblCellMar>
          <w:top w:w="0" w:type="dxa"/>
          <w:left w:w="108" w:type="dxa"/>
          <w:bottom w:w="0" w:type="dxa"/>
          <w:right w:w="108" w:type="dxa"/>
        </w:tblCellMar>
      </w:tblPr>
      <w:tblGrid>
        <w:gridCol w:w="1633"/>
        <w:gridCol w:w="666"/>
        <w:gridCol w:w="3856"/>
      </w:tblGrid>
      <w:tr>
        <w:tblPrEx>
          <w:tblCellMar>
            <w:top w:w="0" w:type="dxa"/>
            <w:left w:w="108" w:type="dxa"/>
            <w:bottom w:w="0" w:type="dxa"/>
            <w:right w:w="108" w:type="dxa"/>
          </w:tblCellMar>
        </w:tblPrEx>
        <w:trPr>
          <w:jc w:val="center"/>
        </w:trPr>
        <w:tc>
          <w:tcPr>
            <w:tcW w:w="1339"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517"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3143"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CellMar>
            <w:top w:w="0" w:type="dxa"/>
            <w:left w:w="108" w:type="dxa"/>
            <w:bottom w:w="0" w:type="dxa"/>
            <w:right w:w="108" w:type="dxa"/>
          </w:tblCellMar>
        </w:tblPrEx>
        <w:trPr>
          <w:jc w:val="center"/>
        </w:trPr>
        <w:tc>
          <w:tcPr>
            <w:tcW w:w="1339"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517"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3143"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 xml:space="preserve">1.4 MHz </w:t>
            </w:r>
          </w:p>
        </w:tc>
      </w:tr>
      <w:tr>
        <w:tblPrEx>
          <w:tblCellMar>
            <w:top w:w="0" w:type="dxa"/>
            <w:left w:w="108" w:type="dxa"/>
            <w:bottom w:w="0" w:type="dxa"/>
            <w:right w:w="108" w:type="dxa"/>
          </w:tblCellMar>
        </w:tblPrEx>
        <w:trPr>
          <w:jc w:val="center"/>
        </w:trPr>
        <w:tc>
          <w:tcPr>
            <w:tcW w:w="1339" w:type="pct"/>
            <w:tcBorders>
              <w:top w:val="single" w:color="auto" w:sz="4" w:space="0"/>
              <w:left w:val="single" w:color="auto" w:sz="4" w:space="0"/>
              <w:bottom w:val="single" w:color="auto" w:sz="4" w:space="0"/>
              <w:right w:val="single" w:color="auto" w:sz="4" w:space="0"/>
            </w:tcBorders>
            <w:vAlign w:val="center"/>
          </w:tcPr>
          <w:p>
            <w:pPr>
              <w:pStyle w:val="103"/>
              <w:rPr>
                <w:rFonts w:cs="Arial"/>
                <w:i/>
              </w:rPr>
            </w:pPr>
            <w:r>
              <w:rPr>
                <w:rFonts w:cs="Arial"/>
              </w:rPr>
              <w:t>Power in Transmission Bandwidth Configuration</w:t>
            </w:r>
          </w:p>
        </w:tc>
        <w:tc>
          <w:tcPr>
            <w:tcW w:w="517"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dBm</w:t>
            </w:r>
          </w:p>
        </w:tc>
        <w:tc>
          <w:tcPr>
            <w:tcW w:w="3143"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t>-</w:t>
            </w:r>
            <w:r>
              <w:rPr>
                <w:rFonts w:eastAsia="Microsoft JhengHei"/>
                <w:lang w:eastAsia="zh-TW"/>
              </w:rPr>
              <w:t>71.5</w:t>
            </w:r>
          </w:p>
        </w:tc>
      </w:tr>
      <w:tr>
        <w:tblPrEx>
          <w:tblCellMar>
            <w:top w:w="0" w:type="dxa"/>
            <w:left w:w="108" w:type="dxa"/>
            <w:bottom w:w="0" w:type="dxa"/>
            <w:right w:w="108" w:type="dxa"/>
          </w:tblCellMar>
        </w:tblPrEx>
        <w:trPr>
          <w:jc w:val="center"/>
        </w:trPr>
        <w:tc>
          <w:tcPr>
            <w:tcW w:w="1339" w:type="pct"/>
            <w:tcBorders>
              <w:top w:val="single" w:color="auto" w:sz="4" w:space="0"/>
              <w:left w:val="single" w:color="auto" w:sz="4" w:space="0"/>
              <w:bottom w:val="single" w:color="auto" w:sz="4" w:space="0"/>
              <w:right w:val="single" w:color="auto" w:sz="4" w:space="0"/>
            </w:tcBorders>
            <w:vAlign w:val="bottom"/>
          </w:tcPr>
          <w:p>
            <w:pPr>
              <w:pStyle w:val="103"/>
              <w:rPr>
                <w:rFonts w:eastAsia="MS Mincho" w:cs="Arial"/>
                <w:bCs/>
              </w:rPr>
            </w:pPr>
            <w:r>
              <w:rPr>
                <w:rFonts w:eastAsia="MS Mincho" w:cs="Arial"/>
                <w:bCs/>
              </w:rPr>
              <w:t>P</w:t>
            </w:r>
            <w:r>
              <w:rPr>
                <w:rFonts w:eastAsia="MS Mincho" w:cs="Arial"/>
                <w:bCs/>
                <w:vertAlign w:val="subscript"/>
              </w:rPr>
              <w:t>Interferer</w:t>
            </w:r>
          </w:p>
        </w:tc>
        <w:tc>
          <w:tcPr>
            <w:tcW w:w="517"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3143"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-40</w:t>
            </w:r>
          </w:p>
        </w:tc>
      </w:tr>
      <w:tr>
        <w:tblPrEx>
          <w:tblCellMar>
            <w:top w:w="0" w:type="dxa"/>
            <w:left w:w="108" w:type="dxa"/>
            <w:bottom w:w="0" w:type="dxa"/>
            <w:right w:w="108" w:type="dxa"/>
          </w:tblCellMar>
        </w:tblPrEx>
        <w:trPr>
          <w:jc w:val="center"/>
        </w:trPr>
        <w:tc>
          <w:tcPr>
            <w:tcW w:w="1339" w:type="pct"/>
            <w:tcBorders>
              <w:top w:val="single" w:color="auto" w:sz="4" w:space="0"/>
              <w:left w:val="single" w:color="auto" w:sz="4" w:space="0"/>
              <w:bottom w:val="single" w:color="auto" w:sz="4" w:space="0"/>
              <w:right w:val="single" w:color="auto" w:sz="4" w:space="0"/>
            </w:tcBorders>
          </w:tcPr>
          <w:p>
            <w:pPr>
              <w:pStyle w:val="103"/>
              <w:rPr>
                <w:rFonts w:eastAsia="MS Mincho" w:cs="Arial"/>
                <w:bCs/>
              </w:rPr>
            </w:pPr>
            <w:r>
              <w:rPr>
                <w:rFonts w:eastAsia="MS Mincho" w:cs="Arial"/>
                <w:bCs/>
              </w:rPr>
              <w:t>BW</w:t>
            </w:r>
            <w:r>
              <w:rPr>
                <w:rFonts w:eastAsia="MS Mincho" w:cs="Arial"/>
                <w:bCs/>
                <w:vertAlign w:val="subscript"/>
              </w:rPr>
              <w:t xml:space="preserve">Interferer </w:t>
            </w:r>
          </w:p>
        </w:tc>
        <w:tc>
          <w:tcPr>
            <w:tcW w:w="517"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3143"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1.4</w:t>
            </w:r>
          </w:p>
        </w:tc>
      </w:tr>
      <w:tr>
        <w:tblPrEx>
          <w:tblCellMar>
            <w:top w:w="0" w:type="dxa"/>
            <w:left w:w="108" w:type="dxa"/>
            <w:bottom w:w="0" w:type="dxa"/>
            <w:right w:w="108" w:type="dxa"/>
          </w:tblCellMar>
        </w:tblPrEx>
        <w:trPr>
          <w:jc w:val="center"/>
        </w:trPr>
        <w:tc>
          <w:tcPr>
            <w:tcW w:w="1339"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517"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3143"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CellMar>
            <w:top w:w="0" w:type="dxa"/>
            <w:left w:w="108" w:type="dxa"/>
            <w:bottom w:w="0" w:type="dxa"/>
            <w:right w:w="108" w:type="dxa"/>
          </w:tblCellMar>
        </w:tblPrEx>
        <w:trPr>
          <w:trHeight w:val="398" w:hRule="atLeast"/>
          <w:jc w:val="center"/>
        </w:trPr>
        <w:tc>
          <w:tcPr>
            <w:tcW w:w="5000" w:type="pct"/>
            <w:gridSpan w:val="3"/>
            <w:tcBorders>
              <w:top w:val="single" w:color="auto" w:sz="4" w:space="0"/>
              <w:left w:val="single" w:color="auto" w:sz="4" w:space="0"/>
              <w:bottom w:val="single" w:color="auto" w:sz="4" w:space="0"/>
              <w:right w:val="single" w:color="auto" w:sz="4" w:space="0"/>
            </w:tcBorders>
          </w:tcPr>
          <w:p>
            <w:pPr>
              <w:pStyle w:val="118"/>
            </w:pPr>
            <w:r>
              <w:t>NOTE 1:</w:t>
            </w:r>
            <w:r>
              <w:tab/>
            </w:r>
            <w:r>
              <w:t>The transmitter shall be set to 24dB below P</w:t>
            </w:r>
            <w:r>
              <w:rPr>
                <w:vertAlign w:val="subscript"/>
              </w:rPr>
              <w:t xml:space="preserve">CMAX_L </w:t>
            </w:r>
            <w:r>
              <w:t>with P</w:t>
            </w:r>
            <w:r>
              <w:rPr>
                <w:vertAlign w:val="subscript"/>
              </w:rPr>
              <w:t xml:space="preserve">CMAX_L </w:t>
            </w:r>
            <w:r>
              <w:t>as defined in clause 6.2.5A.</w:t>
            </w:r>
          </w:p>
          <w:p>
            <w:pPr>
              <w:pStyle w:val="118"/>
              <w:rPr>
                <w:rFonts w:eastAsia="MS Mincho" w:cs="Arial"/>
              </w:rPr>
            </w:pPr>
            <w:r>
              <w:t>NOTE 2:</w:t>
            </w:r>
            <w:r>
              <w:tab/>
            </w:r>
            <w:r>
              <w:t xml:space="preserve">The interferer consists of the Reference measurement channel specified in Annex A.3.2 with </w:t>
            </w:r>
            <w:r>
              <w:rPr>
                <w:rFonts w:cs="Arial"/>
              </w:rPr>
              <w:t xml:space="preserve">one sided dynamic OCNG Pattern OP.1 FDD/TDD as described in Annex A.5.1.1/A.5.2.1 and </w:t>
            </w:r>
            <w:r>
              <w:t>set-up according to Annex C.3.1.</w:t>
            </w:r>
          </w:p>
        </w:tc>
      </w:tr>
    </w:tbl>
    <w:p>
      <w:pPr>
        <w:rPr>
          <w:lang w:eastAsia="zh-TW"/>
        </w:rPr>
      </w:pPr>
    </w:p>
    <w:p>
      <w:pPr>
        <w:pStyle w:val="4"/>
      </w:pPr>
      <w:bookmarkStart w:id="1282" w:name="_Toc13539"/>
      <w:bookmarkStart w:id="1283" w:name="_Toc22034"/>
      <w:bookmarkStart w:id="1284" w:name="_Toc23620"/>
      <w:bookmarkStart w:id="1285" w:name="_Toc24723"/>
      <w:bookmarkStart w:id="1286" w:name="_Toc26718"/>
      <w:bookmarkStart w:id="1287" w:name="_Toc18480"/>
      <w:bookmarkStart w:id="1288" w:name="_Toc6546"/>
      <w:r>
        <w:t>7.5B</w:t>
      </w:r>
      <w:r>
        <w:tab/>
      </w:r>
      <w:r>
        <w:t>Adjacent Channel Selectivity for category NB1 and NB2</w:t>
      </w:r>
      <w:bookmarkEnd w:id="1280"/>
      <w:bookmarkEnd w:id="1281"/>
      <w:bookmarkEnd w:id="1282"/>
      <w:bookmarkEnd w:id="1283"/>
      <w:bookmarkEnd w:id="1284"/>
      <w:bookmarkEnd w:id="1285"/>
      <w:bookmarkEnd w:id="1286"/>
      <w:bookmarkEnd w:id="1287"/>
      <w:bookmarkEnd w:id="1288"/>
    </w:p>
    <w:p>
      <w:pPr>
        <w:pStyle w:val="112"/>
        <w:rPr>
          <w:i w:val="0"/>
          <w:iCs w:val="0"/>
          <w:lang w:val="en-GB"/>
        </w:rPr>
      </w:pPr>
      <w:bookmarkStart w:id="1289" w:name="_Toc121162892"/>
      <w:bookmarkStart w:id="1290" w:name="_Toc120570100"/>
      <w:bookmarkStart w:id="1291" w:name="_Toc111062088"/>
      <w:bookmarkStart w:id="1292" w:name="_Toc368026376"/>
      <w:r>
        <w:t>Editor’s Note: Addition to applicability spec is pending.</w:t>
      </w:r>
    </w:p>
    <w:p>
      <w:pPr>
        <w:pStyle w:val="9"/>
      </w:pPr>
      <w:r>
        <w:t>7.5B.1</w:t>
      </w:r>
      <w:r>
        <w:tab/>
      </w:r>
      <w:r>
        <w:t>Test purpose</w:t>
      </w:r>
    </w:p>
    <w:p>
      <w:r>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r>
        <w:t>A UE unable to meet the throughput requirement under these conditions will decrease the coverage area when other e-NodeB transmitters exist in the adjacent channel.</w:t>
      </w:r>
    </w:p>
    <w:p>
      <w:pPr>
        <w:pStyle w:val="9"/>
      </w:pPr>
      <w:r>
        <w:t>7.5B.2</w:t>
      </w:r>
      <w:r>
        <w:tab/>
      </w:r>
      <w:r>
        <w:t>Test applicability</w:t>
      </w:r>
    </w:p>
    <w:p>
      <w:r>
        <w:t xml:space="preserve">This test case applies to all types of </w:t>
      </w:r>
      <w:r>
        <w:rPr>
          <w:lang w:eastAsia="zh-TW"/>
        </w:rPr>
        <w:t xml:space="preserve">E-UTRA HD-FDD </w:t>
      </w:r>
      <w:r>
        <w:t>UE release 17 and forward of category NB1 and NB2 that support satellite access.</w:t>
      </w:r>
    </w:p>
    <w:p>
      <w:pPr>
        <w:pStyle w:val="9"/>
      </w:pPr>
      <w:r>
        <w:t>7.5B.3</w:t>
      </w:r>
      <w:r>
        <w:tab/>
      </w:r>
      <w:r>
        <w:t>Minimum conformance requirements</w:t>
      </w:r>
    </w:p>
    <w:p>
      <w:r>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pPr>
        <w:rPr>
          <w:lang w:val="en-US" w:eastAsia="zh-CN"/>
        </w:rPr>
      </w:pPr>
      <w:r>
        <w:t xml:space="preserve">Category NB1 and NB2 UE shall fulfil the minimum requirement specified in Table 7.5B.3-1 for all values of an adjacent channel interferer up to </w:t>
      </w:r>
      <w:r>
        <w:rPr>
          <w:rFonts w:eastAsia="MS Mincho"/>
        </w:rPr>
        <w:t>-40</w:t>
      </w:r>
      <w:r>
        <w:t xml:space="preserve"> dBm. However it is not possible to directly measure the ACS, instead the lower and upper range of test parameters are chosen in Table 7.5B.3-1 where the </w:t>
      </w:r>
      <w:r>
        <w:rPr>
          <w:rFonts w:eastAsia="Osaka" w:cs="v5.0.0"/>
        </w:rPr>
        <w:t xml:space="preserve">throughput </w:t>
      </w:r>
      <w:r>
        <w:t xml:space="preserve">shall be ≥ 95% of the maximum throughput of the reference measurement channel as specified in </w:t>
      </w:r>
      <w:r>
        <w:rPr>
          <w:color w:val="000000" w:themeColor="text1"/>
          <w14:textFill>
            <w14:solidFill>
              <w14:schemeClr w14:val="tx1"/>
            </w14:solidFill>
          </w14:textFill>
        </w:rPr>
        <w:t>TS 36.101</w:t>
      </w:r>
      <w:r>
        <w:rPr>
          <w:rFonts w:hint="eastAsia"/>
          <w:color w:val="000000" w:themeColor="text1"/>
          <w:lang w:eastAsia="zh-TW"/>
          <w14:textFill>
            <w14:solidFill>
              <w14:schemeClr w14:val="tx1"/>
            </w14:solidFill>
          </w14:textFill>
        </w:rPr>
        <w:t xml:space="preserve"> </w:t>
      </w:r>
      <w:r>
        <w:rPr>
          <w:color w:val="000000" w:themeColor="text1"/>
          <w14:textFill>
            <w14:solidFill>
              <w14:schemeClr w14:val="tx1"/>
            </w14:solidFill>
          </w14:textFill>
        </w:rPr>
        <w:t xml:space="preserve">[7] </w:t>
      </w:r>
      <w:r>
        <w:t>Annex A.3.2.</w:t>
      </w:r>
    </w:p>
    <w:p>
      <w:pPr>
        <w:pStyle w:val="113"/>
      </w:pPr>
      <w:r>
        <w:t>Table 7.5B.3-1: Adjacent channel selectivity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29"/>
        <w:gridCol w:w="1742"/>
        <w:gridCol w:w="1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w:t>
            </w:r>
            <w:r>
              <w:rPr>
                <w:rFonts w:eastAsia="MS Mincho" w:cs="Arial"/>
                <w:lang w:val="fi-FI" w:eastAsia="ja-JP"/>
              </w:rPr>
              <w:t>1</w:t>
            </w:r>
            <w:r>
              <w:rPr>
                <w:rFonts w:eastAsia="MS Mincho" w:cs="Arial"/>
                <w:lang w:eastAsia="ja-JP"/>
              </w:rPr>
              <w:t xml:space="preserve">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+ 42 dB</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w:t>
            </w:r>
            <w:r>
              <w:rPr>
                <w:rFonts w:eastAsia="MS Mincho" w:cs="Arial"/>
                <w:lang w:val="fi-FI" w:eastAsia="ja-JP"/>
              </w:rPr>
              <w:t>7</w:t>
            </w:r>
            <w:r>
              <w:rPr>
                <w:rFonts w:eastAsia="MS Mincho" w:cs="Arial"/>
                <w:lang w:eastAsia="ja-JP"/>
              </w:rP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-68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val="fi-FI" w:eastAsia="ja-JP"/>
              </w:rPr>
              <w:t>-73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bl>
    <w:p/>
    <w:p>
      <w:r>
        <w:t>The normative reference for this requirement is TS 36.102 [11] clause 7.5B.</w:t>
      </w:r>
    </w:p>
    <w:p>
      <w:pPr>
        <w:pStyle w:val="9"/>
      </w:pPr>
      <w:r>
        <w:t>7.5B.4</w:t>
      </w:r>
      <w:r>
        <w:tab/>
      </w:r>
      <w:r>
        <w:t>Test description</w:t>
      </w:r>
    </w:p>
    <w:p>
      <w:pPr>
        <w:pStyle w:val="9"/>
      </w:pPr>
      <w:r>
        <w:t>7.5B.4.1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w:t>
      </w:r>
      <w:r>
        <w:rPr>
          <w:lang w:eastAsia="zh-TW"/>
        </w:rPr>
        <w:t xml:space="preserve"> operating</w:t>
      </w:r>
      <w:r>
        <w:t xml:space="preserve"> bands </w:t>
      </w:r>
      <w:r>
        <w:rPr>
          <w:lang w:eastAsia="zh-TW"/>
        </w:rPr>
        <w:t>defined for CAT NB1 and NB2 in clause</w:t>
      </w:r>
      <w:r>
        <w:t xml:space="preserve"> 5.2</w:t>
      </w:r>
      <w:r>
        <w:rPr>
          <w:lang w:eastAsia="zh-TW"/>
        </w:rPr>
        <w:t>E</w:t>
      </w:r>
      <w:r>
        <w:t>. All of these configurations shall be tested with applicable test parameters for each channel bandwidth, and are shown in table 7.</w:t>
      </w:r>
      <w:r>
        <w:rPr>
          <w:lang w:eastAsia="zh-TW"/>
        </w:rPr>
        <w:t>5B</w:t>
      </w:r>
      <w:r>
        <w:t xml:space="preserve">.4.1-1. The details of the uplink and downlink reference measurement channels (RMCs) are specified in Annexes A.2 and A.3 respectively. The details of the OCNG patterns used are specified in Annex A.5. </w:t>
      </w:r>
      <w:r>
        <w:rPr>
          <w:rFonts w:cs="v5.0.0"/>
        </w:rPr>
        <w:t xml:space="preserve">Configurations of PDSCH and </w:t>
      </w:r>
      <w:r>
        <w:rPr>
          <w:rFonts w:cs="v5.0.0"/>
          <w:lang w:eastAsia="zh-TW"/>
        </w:rPr>
        <w:t>M</w:t>
      </w:r>
      <w:r>
        <w:rPr>
          <w:rFonts w:cs="v5.0.0"/>
        </w:rPr>
        <w:t>PDCCH before measurement are specified in Annex C.2.</w:t>
      </w:r>
    </w:p>
    <w:p>
      <w:pPr>
        <w:pStyle w:val="113"/>
        <w:rPr>
          <w:lang w:eastAsia="zh-TW"/>
        </w:rPr>
      </w:pPr>
      <w:r>
        <w:t>Table 7.5B.4.1-1: Test Configuration Table</w:t>
      </w:r>
    </w:p>
    <w:tbl>
      <w:tblPr>
        <w:tblStyle w:val="89"/>
        <w:tblW w:w="84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70"/>
        <w:gridCol w:w="1165"/>
        <w:gridCol w:w="1355"/>
        <w:gridCol w:w="2140"/>
        <w:gridCol w:w="1165"/>
        <w:gridCol w:w="1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8490" w:type="dxa"/>
            <w:gridSpan w:val="6"/>
            <w:tcMar>
              <w:top w:w="0" w:type="dxa"/>
              <w:left w:w="108" w:type="dxa"/>
              <w:bottom w:w="0" w:type="dxa"/>
              <w:right w:w="108" w:type="dxa"/>
            </w:tcMa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990" w:type="dxa"/>
            <w:gridSpan w:val="3"/>
            <w:tcMar>
              <w:top w:w="0" w:type="dxa"/>
              <w:left w:w="108" w:type="dxa"/>
              <w:bottom w:w="0" w:type="dxa"/>
              <w:right w:w="108" w:type="dxa"/>
            </w:tcMar>
          </w:tcPr>
          <w:p>
            <w:pPr>
              <w:pStyle w:val="103"/>
            </w:pPr>
            <w:r>
              <w:t>Test Environment as specified in TS 36.508 [12] clause </w:t>
            </w:r>
            <w:r>
              <w:rPr>
                <w:rFonts w:eastAsia="MS Mincho"/>
              </w:rPr>
              <w:t>8.1</w:t>
            </w:r>
            <w:r>
              <w:t>.1</w:t>
            </w:r>
          </w:p>
        </w:tc>
        <w:tc>
          <w:tcPr>
            <w:tcW w:w="4500" w:type="dxa"/>
            <w:gridSpan w:val="3"/>
            <w:tcMar>
              <w:top w:w="0" w:type="dxa"/>
              <w:left w:w="108" w:type="dxa"/>
              <w:bottom w:w="0" w:type="dxa"/>
              <w:right w:w="108" w:type="dxa"/>
            </w:tcMar>
          </w:tcPr>
          <w:p>
            <w:pPr>
              <w:pStyle w:val="103"/>
            </w:pPr>
            <w: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990" w:type="dxa"/>
            <w:gridSpan w:val="3"/>
            <w:tcMar>
              <w:top w:w="0" w:type="dxa"/>
              <w:left w:w="108" w:type="dxa"/>
              <w:bottom w:w="0" w:type="dxa"/>
              <w:right w:w="108" w:type="dxa"/>
            </w:tcMar>
          </w:tcPr>
          <w:p>
            <w:pPr>
              <w:pStyle w:val="103"/>
            </w:pPr>
            <w:r>
              <w:t>Test Frequencies as specified in TS36.508 [12] clause </w:t>
            </w:r>
            <w:r>
              <w:rPr>
                <w:rFonts w:eastAsia="MS Mincho"/>
              </w:rPr>
              <w:t>8.1</w:t>
            </w:r>
            <w:r>
              <w:t>.3.1</w:t>
            </w:r>
          </w:p>
        </w:tc>
        <w:tc>
          <w:tcPr>
            <w:tcW w:w="4500" w:type="dxa"/>
            <w:gridSpan w:val="3"/>
            <w:tcMar>
              <w:top w:w="0" w:type="dxa"/>
              <w:left w:w="108" w:type="dxa"/>
              <w:bottom w:w="0" w:type="dxa"/>
              <w:right w:w="108" w:type="dxa"/>
            </w:tcMar>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70" w:type="dxa"/>
            <w:tcMar>
              <w:top w:w="0" w:type="dxa"/>
              <w:left w:w="108" w:type="dxa"/>
              <w:bottom w:w="0" w:type="dxa"/>
              <w:right w:w="108" w:type="dxa"/>
            </w:tcMar>
          </w:tcPr>
          <w:p>
            <w:pPr>
              <w:pStyle w:val="104"/>
            </w:pPr>
            <w:r>
              <w:t>Configuration ID</w:t>
            </w:r>
          </w:p>
        </w:tc>
        <w:tc>
          <w:tcPr>
            <w:tcW w:w="2520" w:type="dxa"/>
            <w:gridSpan w:val="2"/>
            <w:tcMar>
              <w:top w:w="0" w:type="dxa"/>
              <w:left w:w="108" w:type="dxa"/>
              <w:bottom w:w="0" w:type="dxa"/>
              <w:right w:w="108" w:type="dxa"/>
            </w:tcMar>
          </w:tcPr>
          <w:p>
            <w:pPr>
              <w:pStyle w:val="104"/>
            </w:pPr>
            <w:r>
              <w:t>Downlink Configuration</w:t>
            </w:r>
          </w:p>
        </w:tc>
        <w:tc>
          <w:tcPr>
            <w:tcW w:w="4500" w:type="dxa"/>
            <w:gridSpan w:val="3"/>
            <w:tcMar>
              <w:top w:w="0" w:type="dxa"/>
              <w:left w:w="108" w:type="dxa"/>
              <w:bottom w:w="0" w:type="dxa"/>
              <w:right w:w="108" w:type="dxa"/>
            </w:tcMa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70" w:type="dxa"/>
            <w:tcMar>
              <w:top w:w="0" w:type="dxa"/>
              <w:left w:w="108" w:type="dxa"/>
              <w:bottom w:w="0" w:type="dxa"/>
              <w:right w:w="108" w:type="dxa"/>
            </w:tcMar>
          </w:tcPr>
          <w:p>
            <w:pPr>
              <w:pStyle w:val="105"/>
            </w:pPr>
          </w:p>
        </w:tc>
        <w:tc>
          <w:tcPr>
            <w:tcW w:w="1165" w:type="dxa"/>
            <w:tcMar>
              <w:top w:w="0" w:type="dxa"/>
              <w:left w:w="108" w:type="dxa"/>
              <w:bottom w:w="0" w:type="dxa"/>
              <w:right w:w="108" w:type="dxa"/>
            </w:tcMar>
          </w:tcPr>
          <w:p>
            <w:pPr>
              <w:pStyle w:val="105"/>
            </w:pPr>
            <w:r>
              <w:t>Modulation</w:t>
            </w:r>
          </w:p>
        </w:tc>
        <w:tc>
          <w:tcPr>
            <w:tcW w:w="1355" w:type="dxa"/>
            <w:tcMar>
              <w:top w:w="0" w:type="dxa"/>
              <w:left w:w="108" w:type="dxa"/>
              <w:bottom w:w="0" w:type="dxa"/>
              <w:right w:w="108" w:type="dxa"/>
            </w:tcMar>
          </w:tcPr>
          <w:p>
            <w:pPr>
              <w:pStyle w:val="105"/>
            </w:pPr>
            <w:r>
              <w:t>Subcarriers</w:t>
            </w:r>
          </w:p>
        </w:tc>
        <w:tc>
          <w:tcPr>
            <w:tcW w:w="2140" w:type="dxa"/>
            <w:tcMar>
              <w:top w:w="0" w:type="dxa"/>
              <w:left w:w="108" w:type="dxa"/>
              <w:bottom w:w="0" w:type="dxa"/>
              <w:right w:w="108" w:type="dxa"/>
            </w:tcMar>
          </w:tcPr>
          <w:p>
            <w:pPr>
              <w:pStyle w:val="105"/>
            </w:pPr>
            <w:r>
              <w:t>Modulation</w:t>
            </w:r>
          </w:p>
        </w:tc>
        <w:tc>
          <w:tcPr>
            <w:tcW w:w="1165" w:type="dxa"/>
            <w:tcMar>
              <w:top w:w="0" w:type="dxa"/>
              <w:left w:w="108" w:type="dxa"/>
              <w:bottom w:w="0" w:type="dxa"/>
              <w:right w:w="108" w:type="dxa"/>
            </w:tcMar>
          </w:tcPr>
          <w:p>
            <w:pPr>
              <w:pStyle w:val="105"/>
            </w:pPr>
            <w:r>
              <w:t>N</w:t>
            </w:r>
            <w:r>
              <w:rPr>
                <w:vertAlign w:val="subscript"/>
              </w:rPr>
              <w:t>tones</w:t>
            </w:r>
          </w:p>
        </w:tc>
        <w:tc>
          <w:tcPr>
            <w:tcW w:w="1195" w:type="dxa"/>
            <w:tcMar>
              <w:top w:w="0" w:type="dxa"/>
              <w:left w:w="108" w:type="dxa"/>
              <w:bottom w:w="0" w:type="dxa"/>
              <w:right w:w="108" w:type="dxa"/>
            </w:tcMar>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70" w:type="dxa"/>
            <w:tcMar>
              <w:top w:w="0" w:type="dxa"/>
              <w:left w:w="108" w:type="dxa"/>
              <w:bottom w:w="0" w:type="dxa"/>
              <w:right w:w="108" w:type="dxa"/>
            </w:tcMar>
          </w:tcPr>
          <w:p>
            <w:pPr>
              <w:pStyle w:val="105"/>
            </w:pPr>
            <w:r>
              <w:t>1</w:t>
            </w:r>
          </w:p>
        </w:tc>
        <w:tc>
          <w:tcPr>
            <w:tcW w:w="1165" w:type="dxa"/>
            <w:tcMar>
              <w:top w:w="0" w:type="dxa"/>
              <w:left w:w="108" w:type="dxa"/>
              <w:bottom w:w="0" w:type="dxa"/>
              <w:right w:w="108" w:type="dxa"/>
            </w:tcMar>
          </w:tcPr>
          <w:p>
            <w:pPr>
              <w:pStyle w:val="105"/>
            </w:pPr>
            <w:r>
              <w:t>QPSK</w:t>
            </w:r>
          </w:p>
        </w:tc>
        <w:tc>
          <w:tcPr>
            <w:tcW w:w="1355" w:type="dxa"/>
            <w:tcMar>
              <w:top w:w="0" w:type="dxa"/>
              <w:left w:w="108" w:type="dxa"/>
              <w:bottom w:w="0" w:type="dxa"/>
              <w:right w:w="108" w:type="dxa"/>
            </w:tcMar>
          </w:tcPr>
          <w:p>
            <w:pPr>
              <w:pStyle w:val="105"/>
            </w:pPr>
            <w:r>
              <w:t>12</w:t>
            </w:r>
          </w:p>
        </w:tc>
        <w:tc>
          <w:tcPr>
            <w:tcW w:w="2140" w:type="dxa"/>
            <w:tcMar>
              <w:top w:w="0" w:type="dxa"/>
              <w:left w:w="108" w:type="dxa"/>
              <w:bottom w:w="0" w:type="dxa"/>
              <w:right w:w="108" w:type="dxa"/>
            </w:tcMar>
          </w:tcPr>
          <w:p>
            <w:pPr>
              <w:pStyle w:val="105"/>
            </w:pPr>
            <w:r>
              <w:t>BPSK</w:t>
            </w:r>
          </w:p>
        </w:tc>
        <w:tc>
          <w:tcPr>
            <w:tcW w:w="1165" w:type="dxa"/>
            <w:tcMar>
              <w:top w:w="0" w:type="dxa"/>
              <w:left w:w="108" w:type="dxa"/>
              <w:bottom w:w="0" w:type="dxa"/>
              <w:right w:w="108" w:type="dxa"/>
            </w:tcMar>
          </w:tcPr>
          <w:p>
            <w:pPr>
              <w:pStyle w:val="105"/>
            </w:pPr>
            <w:r>
              <w:t>1@0</w:t>
            </w:r>
          </w:p>
        </w:tc>
        <w:tc>
          <w:tcPr>
            <w:tcW w:w="1195" w:type="dxa"/>
            <w:tcMar>
              <w:top w:w="0" w:type="dxa"/>
              <w:left w:w="108" w:type="dxa"/>
              <w:bottom w:w="0" w:type="dxa"/>
              <w:right w:w="108" w:type="dxa"/>
            </w:tcMar>
          </w:tcPr>
          <w:p>
            <w:pPr>
              <w:pStyle w:val="105"/>
            </w:pPr>
            <w:r>
              <w:t>15kHz</w:t>
            </w:r>
          </w:p>
        </w:tc>
      </w:tr>
    </w:tbl>
    <w:p/>
    <w:p>
      <w:pPr>
        <w:pStyle w:val="111"/>
        <w:overflowPunct w:val="0"/>
        <w:autoSpaceDE w:val="0"/>
        <w:autoSpaceDN w:val="0"/>
        <w:adjustRightInd w:val="0"/>
        <w:contextualSpacing w:val="0"/>
        <w:textAlignment w:val="baseline"/>
      </w:pPr>
      <w:r>
        <w:rPr>
          <w:rFonts w:eastAsia="Malgun Gothic"/>
        </w:rPr>
        <w:t>1.</w:t>
      </w:r>
      <w:r>
        <w:rPr>
          <w:rFonts w:eastAsia="Malgun Gothic"/>
        </w:rPr>
        <w:tab/>
      </w:r>
      <w:r>
        <w:t>Connect the SS to the UE antenna connectors as shown in TS 36.508[7] Annex A Figure A.4 using only main UE Tx/Rx antenna.</w:t>
      </w:r>
    </w:p>
    <w:p>
      <w:pPr>
        <w:pStyle w:val="111"/>
        <w:overflowPunct w:val="0"/>
        <w:autoSpaceDE w:val="0"/>
        <w:autoSpaceDN w:val="0"/>
        <w:adjustRightInd w:val="0"/>
        <w:contextualSpacing w:val="0"/>
        <w:textAlignment w:val="baseline"/>
        <w:rPr>
          <w:lang w:eastAsia="zh-TW"/>
        </w:rPr>
      </w:pPr>
      <w:r>
        <w:rPr>
          <w:rFonts w:eastAsia="Malgun Gothic"/>
          <w:lang w:val="en-US"/>
        </w:rPr>
        <w:t>2</w:t>
      </w:r>
      <w:r>
        <w:rPr>
          <w:rFonts w:eastAsia="Malgun Gothic"/>
        </w:rPr>
        <w:t>.</w:t>
      </w:r>
      <w:r>
        <w:rPr>
          <w:rFonts w:eastAsia="Malgun Gothic"/>
        </w:rPr>
        <w:tab/>
      </w:r>
      <w:r>
        <w:t>The parameter settings for the cell are set up according to TS 36.508 [7] subclause 4.4.3.</w:t>
      </w:r>
    </w:p>
    <w:p>
      <w:pPr>
        <w:pStyle w:val="111"/>
        <w:overflowPunct w:val="0"/>
        <w:autoSpaceDE w:val="0"/>
        <w:autoSpaceDN w:val="0"/>
        <w:adjustRightInd w:val="0"/>
        <w:contextualSpacing w:val="0"/>
        <w:textAlignment w:val="baseline"/>
        <w:rPr>
          <w:lang w:eastAsia="zh-TW"/>
        </w:rPr>
      </w:pPr>
      <w:r>
        <w:rPr>
          <w:rFonts w:eastAsia="Malgun Gothic"/>
          <w:lang w:val="en-US"/>
        </w:rPr>
        <w:t>3</w:t>
      </w:r>
      <w:r>
        <w:rPr>
          <w:rFonts w:eastAsia="Malgun Gothic"/>
        </w:rPr>
        <w:t>.</w:t>
      </w:r>
      <w:r>
        <w:rPr>
          <w:rFonts w:eastAsia="Malgun Gothic"/>
        </w:rPr>
        <w:tab/>
      </w:r>
      <w:r>
        <w:t>Downlink signals are initially set up according to Annex C0, C.1 and C.3.1, and uplink signals according to Annex H.1 and H.3.1.</w:t>
      </w:r>
    </w:p>
    <w:p>
      <w:pPr>
        <w:pStyle w:val="111"/>
        <w:overflowPunct w:val="0"/>
        <w:autoSpaceDE w:val="0"/>
        <w:autoSpaceDN w:val="0"/>
        <w:adjustRightInd w:val="0"/>
        <w:contextualSpacing w:val="0"/>
        <w:textAlignment w:val="baseline"/>
        <w:rPr>
          <w:lang w:eastAsia="zh-TW"/>
        </w:rPr>
      </w:pPr>
      <w:r>
        <w:rPr>
          <w:rFonts w:eastAsia="Malgun Gothic"/>
          <w:lang w:val="en-US"/>
        </w:rPr>
        <w:t>4</w:t>
      </w:r>
      <w:r>
        <w:rPr>
          <w:rFonts w:eastAsia="Malgun Gothic"/>
        </w:rPr>
        <w:t>.</w:t>
      </w:r>
      <w:r>
        <w:rPr>
          <w:rFonts w:eastAsia="Malgun Gothic"/>
        </w:rPr>
        <w:tab/>
      </w:r>
      <w:r>
        <w:t>The UL and DL Reference Measurement channels are set according to Table 7.</w:t>
      </w:r>
      <w:r>
        <w:rPr>
          <w:lang w:eastAsia="zh-TW"/>
        </w:rPr>
        <w:t>5B</w:t>
      </w:r>
      <w:r>
        <w:t>.4.1-1.</w:t>
      </w:r>
    </w:p>
    <w:p>
      <w:pPr>
        <w:pStyle w:val="111"/>
        <w:overflowPunct w:val="0"/>
        <w:autoSpaceDE w:val="0"/>
        <w:autoSpaceDN w:val="0"/>
        <w:adjustRightInd w:val="0"/>
        <w:contextualSpacing w:val="0"/>
        <w:textAlignment w:val="baseline"/>
      </w:pPr>
      <w:r>
        <w:rPr>
          <w:rFonts w:eastAsia="Malgun Gothic"/>
          <w:lang w:val="en-US"/>
        </w:rPr>
        <w:t>5</w:t>
      </w:r>
      <w:r>
        <w:rPr>
          <w:rFonts w:eastAsia="Malgun Gothic"/>
        </w:rPr>
        <w:tab/>
      </w:r>
      <w:r>
        <w:t>Propagation conditions are set according to Annex B.0.</w:t>
      </w:r>
    </w:p>
    <w:p>
      <w:pPr>
        <w:pStyle w:val="111"/>
        <w:overflowPunct w:val="0"/>
        <w:autoSpaceDE w:val="0"/>
        <w:autoSpaceDN w:val="0"/>
        <w:adjustRightInd w:val="0"/>
        <w:contextualSpacing w:val="0"/>
        <w:textAlignment w:val="baseline"/>
      </w:pPr>
      <w:r>
        <w:rPr>
          <w:rFonts w:hint="eastAsia"/>
        </w:rPr>
        <w:t>6.</w:t>
      </w:r>
      <w:r>
        <w:rPr>
          <w:rFonts w:hint="eastAsia"/>
        </w:rPr>
        <w:tab/>
      </w:r>
      <w:r>
        <w:rPr>
          <w:rFonts w:hint="eastAsia"/>
        </w:rPr>
        <w:t xml:space="preserve">UE location according to TS 36.508 [12] clause </w:t>
      </w:r>
      <w:r>
        <w:t>8.2.6.1</w:t>
      </w:r>
      <w:r>
        <w:rPr>
          <w:rFonts w:hint="eastAsia"/>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rPr>
        <w:t>7.</w:t>
      </w:r>
      <w:r>
        <w:rPr>
          <w:rFonts w:hint="eastAsia"/>
        </w:rPr>
        <w:tab/>
      </w:r>
      <w:r>
        <w:t>Test equipment shall emula</w:t>
      </w:r>
      <w:r>
        <w:rPr>
          <w:color w:val="000000" w:themeColor="text1"/>
          <w14:textFill>
            <w14:solidFill>
              <w14:schemeClr w14:val="tx1"/>
            </w14:solidFill>
          </w14:textFill>
        </w:rPr>
        <w:t xml:space="preserve">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during the duration of the test as define in TS 36.508[12] clause 8.2.6.3.1</w:t>
      </w:r>
    </w:p>
    <w:p>
      <w:pPr>
        <w:pStyle w:val="111"/>
        <w:overflowPunct w:val="0"/>
        <w:autoSpaceDE w:val="0"/>
        <w:autoSpaceDN w:val="0"/>
        <w:adjustRightInd w:val="0"/>
        <w:contextualSpacing w:val="0"/>
        <w:textAlignment w:val="baseline"/>
      </w:pPr>
      <w:r>
        <w:t>8.</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zh-TW"/>
        </w:rPr>
      </w:pPr>
      <w:r>
        <w:t>9</w:t>
      </w:r>
      <w:r>
        <w:rPr>
          <w:rFonts w:hint="eastAsia"/>
        </w:rPr>
        <w:t>.</w:t>
      </w:r>
      <w:r>
        <w:rPr>
          <w:rFonts w:hint="eastAsia"/>
        </w:rPr>
        <w:tab/>
      </w:r>
      <w:r>
        <w:rPr>
          <w:rFonts w:hint="eastAsia"/>
        </w:rPr>
        <w:t>Ensure the UE is in State 2A-NB with CP CIoT Optimisation according to TS 36.508 [7] clause 8.1.5. Message contents are defined in clause 7.5B.4.3.</w:t>
      </w:r>
    </w:p>
    <w:p>
      <w:pPr>
        <w:pStyle w:val="9"/>
        <w:ind w:left="0" w:firstLine="0"/>
      </w:pPr>
      <w:r>
        <w:t>7.5B.4.2</w:t>
      </w:r>
      <w:r>
        <w:tab/>
      </w:r>
      <w:r>
        <w:t>Test procedure</w:t>
      </w:r>
    </w:p>
    <w:p>
      <w:pPr>
        <w:pStyle w:val="111"/>
        <w:overflowPunct w:val="0"/>
        <w:autoSpaceDE w:val="0"/>
        <w:autoSpaceDN w:val="0"/>
        <w:adjustRightInd w:val="0"/>
        <w:contextualSpacing w:val="0"/>
        <w:textAlignment w:val="baseline"/>
      </w:pPr>
      <w:r>
        <w:t>1.</w:t>
      </w:r>
      <w:r>
        <w:tab/>
      </w:r>
      <w:r>
        <w:t>SS transmits NPDSCH via NPDCCH DCI format N1 for C_RNTI to transmit the DL RMC according to Table 7.5B.4.1-1.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pPr>
      <w:r>
        <w:t>2.</w:t>
      </w:r>
      <w:r>
        <w:tab/>
      </w:r>
      <w:r>
        <w:t>Set the Downlink signal level to the value defined for ACS1, GSM in Table 7.5B.5-1. For steps 2 to 5 and 6 to 9, use the default message contents.</w:t>
      </w:r>
    </w:p>
    <w:p>
      <w:pPr>
        <w:pStyle w:val="111"/>
        <w:overflowPunct w:val="0"/>
        <w:autoSpaceDE w:val="0"/>
        <w:autoSpaceDN w:val="0"/>
        <w:adjustRightInd w:val="0"/>
        <w:contextualSpacing w:val="0"/>
        <w:textAlignment w:val="baseline"/>
      </w:pPr>
      <w:r>
        <w:t>3.</w:t>
      </w:r>
      <w:r>
        <w:tab/>
      </w:r>
      <w:r>
        <w:t>Set the Interferer signal level to the value defined for ACS1, GSM in Table 7.5B.5-1, with frequency below the wanted signal according to table 7.5B.5-1, using a modulated interferer bandwidth as defined in Annex D.2 of the present document.</w:t>
      </w:r>
    </w:p>
    <w:p>
      <w:pPr>
        <w:pStyle w:val="111"/>
        <w:overflowPunct w:val="0"/>
        <w:autoSpaceDE w:val="0"/>
        <w:autoSpaceDN w:val="0"/>
        <w:adjustRightInd w:val="0"/>
        <w:contextualSpacing w:val="0"/>
        <w:textAlignment w:val="baseline"/>
      </w:pPr>
      <w:r>
        <w:t>4.</w:t>
      </w:r>
      <w:r>
        <w:tab/>
      </w:r>
      <w:r>
        <w:t xml:space="preserve">Measure the average throughput for a duration sufficient to achieve statistical significance according to Annex G.2. </w:t>
      </w:r>
    </w:p>
    <w:p>
      <w:pPr>
        <w:pStyle w:val="111"/>
        <w:overflowPunct w:val="0"/>
        <w:autoSpaceDE w:val="0"/>
        <w:autoSpaceDN w:val="0"/>
        <w:adjustRightInd w:val="0"/>
        <w:contextualSpacing w:val="0"/>
        <w:textAlignment w:val="baseline"/>
      </w:pPr>
      <w:r>
        <w:t>5.</w:t>
      </w:r>
      <w:r>
        <w:tab/>
      </w:r>
      <w:r>
        <w:t xml:space="preserve">Repeat steps 2 to 4, using an interfering signal above the wanted signal at step 3. </w:t>
      </w:r>
    </w:p>
    <w:p>
      <w:pPr>
        <w:pStyle w:val="111"/>
        <w:overflowPunct w:val="0"/>
        <w:autoSpaceDE w:val="0"/>
        <w:autoSpaceDN w:val="0"/>
        <w:adjustRightInd w:val="0"/>
        <w:contextualSpacing w:val="0"/>
        <w:textAlignment w:val="baseline"/>
      </w:pPr>
      <w:r>
        <w:t>6.</w:t>
      </w:r>
      <w:r>
        <w:tab/>
      </w:r>
      <w:r>
        <w:t>Set the Downlink signal level to the value defined for ACS1, E-UTRA in Table 7.5B.5-1.</w:t>
      </w:r>
    </w:p>
    <w:p>
      <w:pPr>
        <w:pStyle w:val="111"/>
        <w:overflowPunct w:val="0"/>
        <w:autoSpaceDE w:val="0"/>
        <w:autoSpaceDN w:val="0"/>
        <w:adjustRightInd w:val="0"/>
        <w:contextualSpacing w:val="0"/>
        <w:textAlignment w:val="baseline"/>
      </w:pPr>
      <w:r>
        <w:t>7.</w:t>
      </w:r>
      <w:r>
        <w:tab/>
      </w:r>
      <w:r>
        <w:t>Set the Interferer signal level to the value defined for ACS1, E-UTRA in Table 7.5B.5-1, with frequency below the wanted signal according to table 7.5B.5-1, using a modulated interferer bandwidth as defined in Annex D.2 of the present document.</w:t>
      </w:r>
    </w:p>
    <w:p>
      <w:pPr>
        <w:pStyle w:val="111"/>
        <w:overflowPunct w:val="0"/>
        <w:autoSpaceDE w:val="0"/>
        <w:autoSpaceDN w:val="0"/>
        <w:adjustRightInd w:val="0"/>
        <w:contextualSpacing w:val="0"/>
        <w:textAlignment w:val="baseline"/>
      </w:pPr>
      <w:r>
        <w:t>8.</w:t>
      </w:r>
      <w:r>
        <w:tab/>
      </w:r>
      <w:r>
        <w:t xml:space="preserve">Measure the average throughput for a duration sufficient to achieve statistical significance according to Annex G.2. </w:t>
      </w:r>
    </w:p>
    <w:p>
      <w:pPr>
        <w:pStyle w:val="111"/>
        <w:overflowPunct w:val="0"/>
        <w:autoSpaceDE w:val="0"/>
        <w:autoSpaceDN w:val="0"/>
        <w:adjustRightInd w:val="0"/>
        <w:contextualSpacing w:val="0"/>
        <w:textAlignment w:val="baseline"/>
      </w:pPr>
      <w:r>
        <w:t>9.</w:t>
      </w:r>
      <w:r>
        <w:tab/>
      </w:r>
      <w:r>
        <w:t>Repeat steps 6 to 8, using an interfering signal above the wanted signal at step 7.</w:t>
      </w:r>
    </w:p>
    <w:p>
      <w:pPr>
        <w:pStyle w:val="111"/>
        <w:overflowPunct w:val="0"/>
        <w:autoSpaceDE w:val="0"/>
        <w:autoSpaceDN w:val="0"/>
        <w:adjustRightInd w:val="0"/>
        <w:contextualSpacing w:val="0"/>
        <w:textAlignment w:val="baseline"/>
      </w:pPr>
      <w:r>
        <w:t>10.</w:t>
      </w:r>
      <w:r>
        <w:tab/>
      </w:r>
      <w:r>
        <w:t>Release the connection through State 3A-NB.</w:t>
      </w:r>
    </w:p>
    <w:p>
      <w:pPr>
        <w:pStyle w:val="111"/>
        <w:overflowPunct w:val="0"/>
        <w:autoSpaceDE w:val="0"/>
        <w:autoSpaceDN w:val="0"/>
        <w:adjustRightInd w:val="0"/>
        <w:contextualSpacing w:val="0"/>
        <w:textAlignment w:val="baseline"/>
      </w:pPr>
      <w:r>
        <w:t>11.</w:t>
      </w:r>
      <w:r>
        <w:tab/>
      </w:r>
      <w:r>
        <w:t xml:space="preserve">Modify system information elements according to Table 7.5B.4.3-1 and notify the UE via paging message with </w:t>
      </w:r>
      <w:r>
        <w:rPr>
          <w:i/>
        </w:rPr>
        <w:t>SystemInformationModification</w:t>
      </w:r>
      <w:r>
        <w:t xml:space="preserve"> included.</w:t>
      </w:r>
    </w:p>
    <w:p>
      <w:pPr>
        <w:pStyle w:val="111"/>
        <w:overflowPunct w:val="0"/>
        <w:autoSpaceDE w:val="0"/>
        <w:autoSpaceDN w:val="0"/>
        <w:adjustRightInd w:val="0"/>
        <w:contextualSpacing w:val="0"/>
        <w:textAlignment w:val="baseline"/>
      </w:pPr>
      <w:r>
        <w:t>12.</w:t>
      </w:r>
      <w:r>
        <w:tab/>
      </w:r>
      <w:r>
        <w:t>Ensure the UE is in State 2A-NB with CP CIoT Optimisation according to TS 36.508 [7] clause 8.1.5 using the new UL power control setting.</w:t>
      </w:r>
    </w:p>
    <w:p>
      <w:pPr>
        <w:pStyle w:val="111"/>
        <w:overflowPunct w:val="0"/>
        <w:autoSpaceDE w:val="0"/>
        <w:autoSpaceDN w:val="0"/>
        <w:adjustRightInd w:val="0"/>
        <w:contextualSpacing w:val="0"/>
        <w:textAlignment w:val="baseline"/>
      </w:pPr>
      <w:r>
        <w:t>13.</w:t>
      </w:r>
      <w:r>
        <w:tab/>
      </w:r>
      <w:r>
        <w:t>SS transmits NPDSCH via NPDCCH DCI format N1 for C_RNTI to transmit the DL RMC according to Table 7.5B.4.1-1.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pPr>
      <w:r>
        <w:t>14.</w:t>
      </w:r>
      <w:r>
        <w:tab/>
      </w:r>
      <w:r>
        <w:t>Set the Downlink signal level to the value defined for ACS2, GSM in Table 7.5B.5-1. For steps 14 to 17 and 18 to 21, use message contents with the exceptions defined in Table 7.5B.4.3-1.</w:t>
      </w:r>
    </w:p>
    <w:p>
      <w:pPr>
        <w:pStyle w:val="111"/>
        <w:overflowPunct w:val="0"/>
        <w:autoSpaceDE w:val="0"/>
        <w:autoSpaceDN w:val="0"/>
        <w:adjustRightInd w:val="0"/>
        <w:contextualSpacing w:val="0"/>
        <w:textAlignment w:val="baseline"/>
      </w:pPr>
      <w:r>
        <w:t>15.</w:t>
      </w:r>
      <w:r>
        <w:tab/>
      </w:r>
      <w:r>
        <w:t>Set the Interferer signal level to the value defined for ACS2, GSM in Table 7.5B.5-1, with frequency below the wanted signal according to table 7.5B.5-1, using a modulated interferer of 5MHz bandwidth defined in Annex D.2 of the present document.</w:t>
      </w:r>
    </w:p>
    <w:p>
      <w:pPr>
        <w:pStyle w:val="111"/>
        <w:overflowPunct w:val="0"/>
        <w:autoSpaceDE w:val="0"/>
        <w:autoSpaceDN w:val="0"/>
        <w:adjustRightInd w:val="0"/>
        <w:contextualSpacing w:val="0"/>
        <w:textAlignment w:val="baseline"/>
      </w:pPr>
      <w:r>
        <w:t>16.</w:t>
      </w:r>
      <w:r>
        <w:tab/>
      </w:r>
      <w: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pPr>
      <w:r>
        <w:t>17.</w:t>
      </w:r>
      <w:r>
        <w:tab/>
      </w:r>
      <w:r>
        <w:t xml:space="preserve">Repeat steps 14 to 16, using an interfering signal above the wanted signal at step 15. </w:t>
      </w:r>
    </w:p>
    <w:p>
      <w:pPr>
        <w:pStyle w:val="111"/>
        <w:overflowPunct w:val="0"/>
        <w:autoSpaceDE w:val="0"/>
        <w:autoSpaceDN w:val="0"/>
        <w:adjustRightInd w:val="0"/>
        <w:contextualSpacing w:val="0"/>
        <w:textAlignment w:val="baseline"/>
      </w:pPr>
      <w:r>
        <w:t>18.</w:t>
      </w:r>
      <w:r>
        <w:tab/>
      </w:r>
      <w:r>
        <w:t>Set the Downlink signal level to the value defined for ACS2, E-UTRA in Table 7.5B.5-1.</w:t>
      </w:r>
    </w:p>
    <w:p>
      <w:pPr>
        <w:pStyle w:val="111"/>
        <w:overflowPunct w:val="0"/>
        <w:autoSpaceDE w:val="0"/>
        <w:autoSpaceDN w:val="0"/>
        <w:adjustRightInd w:val="0"/>
        <w:contextualSpacing w:val="0"/>
        <w:textAlignment w:val="baseline"/>
      </w:pPr>
      <w:r>
        <w:t>19.</w:t>
      </w:r>
      <w:r>
        <w:tab/>
      </w:r>
      <w:r>
        <w:t>Set the Interferer signal level to the value defined for ACS2, E-UTRA in Table 7.5B.5-1, with frequency below the wanted signal according to table 7.5B.5-1, using a modulated interferer of 5MHz bandwidth defined in Annex D.2 of the present document.</w:t>
      </w:r>
    </w:p>
    <w:p>
      <w:pPr>
        <w:pStyle w:val="111"/>
        <w:overflowPunct w:val="0"/>
        <w:autoSpaceDE w:val="0"/>
        <w:autoSpaceDN w:val="0"/>
        <w:adjustRightInd w:val="0"/>
        <w:contextualSpacing w:val="0"/>
        <w:textAlignment w:val="baseline"/>
      </w:pPr>
      <w:r>
        <w:t>20.</w:t>
      </w:r>
      <w:r>
        <w:tab/>
      </w:r>
      <w: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pPr>
      <w:r>
        <w:t>21.</w:t>
      </w:r>
      <w:r>
        <w:tab/>
      </w:r>
      <w:r>
        <w:t>Repeat steps 18 to 20, using an interfering signal above the wanted signal at step 19.</w:t>
      </w:r>
    </w:p>
    <w:p>
      <w:pPr>
        <w:pStyle w:val="9"/>
      </w:pPr>
      <w:r>
        <w:t>7.5B.4.3</w:t>
      </w:r>
      <w:r>
        <w:tab/>
      </w:r>
      <w:r>
        <w:rPr>
          <w:snapToGrid w:val="0"/>
        </w:rPr>
        <w:t>Message contents</w:t>
      </w:r>
    </w:p>
    <w:p>
      <w:r>
        <w:t xml:space="preserve">Message contents are according to TS 36.508 [7] clause 8.1.6 </w:t>
      </w:r>
      <w:r>
        <w:rPr>
          <w:rFonts w:eastAsia="宋体"/>
        </w:rPr>
        <w:t>w</w:t>
      </w:r>
      <w:r>
        <w:t xml:space="preserve">ith the </w:t>
      </w:r>
      <w:r>
        <w:rPr>
          <w:rFonts w:eastAsia="宋体"/>
        </w:rPr>
        <w:t xml:space="preserve">following </w:t>
      </w:r>
      <w:r>
        <w:t>exceptions:</w:t>
      </w:r>
    </w:p>
    <w:p>
      <w:pPr>
        <w:pStyle w:val="113"/>
      </w:pPr>
      <w:r>
        <w:t xml:space="preserve">Table </w:t>
      </w:r>
      <w:r>
        <w:rPr>
          <w:rFonts w:eastAsia="宋体"/>
        </w:rPr>
        <w:t>7.5B.4.</w:t>
      </w:r>
      <w:r>
        <w:t>3</w:t>
      </w:r>
      <w:r>
        <w:rPr>
          <w:rFonts w:eastAsia="宋体"/>
        </w:rPr>
        <w:t>-</w:t>
      </w:r>
      <w:r>
        <w:t>1: UplinkPowerControlCommon-NB-DEFAULT: ACS2</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635" w:type="dxa"/>
            <w:gridSpan w:val="4"/>
          </w:tcPr>
          <w:p>
            <w:pPr>
              <w:pStyle w:val="103"/>
            </w:pPr>
            <w:r>
              <w:t>Derivation Path: TS 36.508 [7]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UplinkPowerControlCommon-NB-DEFAULT ::= SEQUENCE {</w:t>
            </w:r>
          </w:p>
          <w:p>
            <w:pPr>
              <w:pStyle w:val="103"/>
            </w:pPr>
            <w:r>
              <w:t>p0-NominalNPUSCH-r13</w:t>
            </w:r>
          </w:p>
        </w:tc>
        <w:tc>
          <w:tcPr>
            <w:tcW w:w="2267" w:type="dxa"/>
          </w:tcPr>
          <w:p>
            <w:pPr>
              <w:pStyle w:val="103"/>
            </w:pPr>
            <w:r>
              <w:t>-70</w:t>
            </w:r>
          </w:p>
        </w:tc>
        <w:tc>
          <w:tcPr>
            <w:tcW w:w="1700" w:type="dxa"/>
          </w:tcPr>
          <w:p>
            <w:pPr>
              <w:pStyle w:val="103"/>
            </w:pPr>
          </w:p>
        </w:tc>
        <w:tc>
          <w:tcPr>
            <w:tcW w:w="1133" w:type="dxa"/>
          </w:tcPr>
          <w:p>
            <w:pPr>
              <w:pStyle w:val="103"/>
            </w:pPr>
          </w:p>
        </w:tc>
      </w:tr>
    </w:tbl>
    <w:p/>
    <w:p>
      <w:pPr>
        <w:pStyle w:val="9"/>
      </w:pPr>
      <w:r>
        <w:t>7.5B.5</w:t>
      </w:r>
      <w:r>
        <w:tab/>
      </w:r>
      <w:r>
        <w:t>Test requirement</w:t>
      </w:r>
    </w:p>
    <w:p>
      <w:pPr>
        <w:ind w:right="0"/>
      </w:pPr>
      <w:r>
        <w:t xml:space="preserve">The throughput shall be ≥ 95% of the maximum throughput of the reference measurement channels as specified in Annex A.3.2 with parameters specified in Table </w:t>
      </w:r>
      <w:r>
        <w:rPr>
          <w:rFonts w:eastAsia="Times New Roman"/>
        </w:rPr>
        <w:t>7.5B.5-1</w:t>
      </w:r>
      <w:r>
        <w:t xml:space="preserve">. </w:t>
      </w:r>
    </w:p>
    <w:p>
      <w:pPr>
        <w:pStyle w:val="113"/>
      </w:pPr>
      <w:r>
        <w:t>Table 7.5B.5-1: Test parameters for Adjacent channel selectivity,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29"/>
        <w:gridCol w:w="1742"/>
        <w:gridCol w:w="1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w:t>
            </w:r>
            <w:r>
              <w:rPr>
                <w:rFonts w:eastAsia="MS Mincho" w:cs="Arial"/>
                <w:lang w:val="fi-FI" w:eastAsia="ja-JP"/>
              </w:rPr>
              <w:t>1</w:t>
            </w:r>
            <w:r>
              <w:rPr>
                <w:rFonts w:eastAsia="MS Mincho" w:cs="Arial"/>
                <w:lang w:eastAsia="ja-JP"/>
              </w:rPr>
              <w:t xml:space="preserve">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+ 42 dB</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w:t>
            </w:r>
            <w:r>
              <w:rPr>
                <w:rFonts w:eastAsia="MS Mincho" w:cs="Arial"/>
                <w:lang w:val="fi-FI" w:eastAsia="ja-JP"/>
              </w:rPr>
              <w:t>7</w:t>
            </w:r>
            <w:r>
              <w:rPr>
                <w:rFonts w:eastAsia="MS Mincho" w:cs="Arial"/>
                <w:lang w:eastAsia="ja-JP"/>
              </w:rP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-68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val="fi-FI" w:eastAsia="ja-JP"/>
              </w:rPr>
              <w:t>-73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bl>
    <w:p>
      <w:pPr>
        <w:rPr>
          <w:lang w:eastAsia="zh-TW"/>
        </w:rPr>
      </w:pPr>
    </w:p>
    <w:p>
      <w:pPr>
        <w:pStyle w:val="4"/>
      </w:pPr>
      <w:bookmarkStart w:id="1293" w:name="_Toc2591"/>
      <w:bookmarkStart w:id="1294" w:name="_Toc19530"/>
      <w:bookmarkStart w:id="1295" w:name="_Toc2889"/>
      <w:bookmarkStart w:id="1296" w:name="_Toc23789"/>
      <w:bookmarkStart w:id="1297" w:name="_Toc6126"/>
      <w:bookmarkStart w:id="1298" w:name="_Toc3988"/>
      <w:bookmarkStart w:id="1299" w:name="_Toc4497"/>
      <w:r>
        <w:t>7.6</w:t>
      </w:r>
      <w:r>
        <w:tab/>
      </w:r>
      <w:r>
        <w:t>Blocking characteristics</w:t>
      </w:r>
      <w:bookmarkEnd w:id="1289"/>
      <w:bookmarkEnd w:id="1290"/>
      <w:bookmarkEnd w:id="1291"/>
      <w:bookmarkEnd w:id="1292"/>
      <w:bookmarkEnd w:id="1293"/>
      <w:bookmarkEnd w:id="1294"/>
      <w:bookmarkEnd w:id="1295"/>
      <w:bookmarkEnd w:id="1296"/>
      <w:bookmarkEnd w:id="1297"/>
      <w:bookmarkEnd w:id="1298"/>
      <w:bookmarkEnd w:id="1299"/>
    </w:p>
    <w:p>
      <w:pPr>
        <w:rPr>
          <w:rFonts w:eastAsiaTheme="minorEastAsia"/>
          <w:color w:val="000000" w:themeColor="text1"/>
          <w:lang w:eastAsia="zh-TW"/>
          <w14:textFill>
            <w14:solidFill>
              <w14:schemeClr w14:val="tx1"/>
            </w14:solidFill>
          </w14:textFill>
        </w:rPr>
      </w:pPr>
      <w:r>
        <w:rPr>
          <w:rFonts w:eastAsia="宋体"/>
          <w:color w:val="000000" w:themeColor="text1"/>
          <w14:textFill>
            <w14:solidFill>
              <w14:schemeClr w14:val="tx1"/>
            </w14:solidFill>
          </w14:textFill>
        </w:rPr>
        <w:t>This clause is reserved</w:t>
      </w:r>
      <w:r>
        <w:rPr>
          <w:rFonts w:hint="eastAsia" w:eastAsiaTheme="minorEastAsia"/>
          <w:color w:val="000000" w:themeColor="text1"/>
          <w:lang w:eastAsia="zh-TW"/>
          <w14:textFill>
            <w14:solidFill>
              <w14:schemeClr w14:val="tx1"/>
            </w14:solidFill>
          </w14:textFill>
        </w:rPr>
        <w:t>.</w:t>
      </w:r>
    </w:p>
    <w:p>
      <w:pPr>
        <w:pStyle w:val="4"/>
      </w:pPr>
      <w:bookmarkStart w:id="1300" w:name="_Toc19487"/>
      <w:bookmarkStart w:id="1301" w:name="_Toc23986"/>
      <w:bookmarkStart w:id="1302" w:name="_Toc692"/>
      <w:bookmarkStart w:id="1303" w:name="_Toc9545"/>
      <w:bookmarkStart w:id="1304" w:name="_Toc120570101"/>
      <w:bookmarkStart w:id="1305" w:name="_Toc10021"/>
      <w:bookmarkStart w:id="1306" w:name="_Toc22096"/>
      <w:bookmarkStart w:id="1307" w:name="_Toc23890"/>
      <w:bookmarkStart w:id="1308" w:name="_Toc121162893"/>
      <w:r>
        <w:t>7.6A</w:t>
      </w:r>
      <w:r>
        <w:tab/>
      </w:r>
      <w:r>
        <w:t>Blocking characteristics for category M1</w:t>
      </w:r>
      <w:bookmarkEnd w:id="1300"/>
      <w:bookmarkEnd w:id="1301"/>
      <w:bookmarkEnd w:id="1302"/>
      <w:bookmarkEnd w:id="1303"/>
      <w:bookmarkEnd w:id="1304"/>
      <w:bookmarkEnd w:id="1305"/>
      <w:bookmarkEnd w:id="1306"/>
      <w:bookmarkEnd w:id="1307"/>
      <w:bookmarkEnd w:id="1308"/>
    </w:p>
    <w:p>
      <w:pPr>
        <w:pStyle w:val="5"/>
      </w:pPr>
      <w:bookmarkStart w:id="1309" w:name="_Toc8696"/>
      <w:bookmarkStart w:id="1310" w:name="_Toc4047"/>
      <w:bookmarkStart w:id="1311" w:name="_Toc3398"/>
      <w:bookmarkStart w:id="1312" w:name="_Toc14724"/>
      <w:bookmarkStart w:id="1313" w:name="_Toc121162894"/>
      <w:bookmarkStart w:id="1314" w:name="_Toc8153"/>
      <w:bookmarkStart w:id="1315" w:name="_Toc15541"/>
      <w:bookmarkStart w:id="1316" w:name="_Toc8759"/>
      <w:bookmarkStart w:id="1317" w:name="_Toc120570102"/>
      <w:r>
        <w:t>7.6A.1</w:t>
      </w:r>
      <w:r>
        <w:tab/>
      </w:r>
      <w:r>
        <w:t>General</w:t>
      </w:r>
      <w:bookmarkEnd w:id="1309"/>
      <w:bookmarkEnd w:id="1310"/>
      <w:bookmarkEnd w:id="1311"/>
      <w:bookmarkEnd w:id="1312"/>
      <w:bookmarkEnd w:id="1313"/>
      <w:bookmarkEnd w:id="1314"/>
      <w:bookmarkEnd w:id="1315"/>
      <w:bookmarkEnd w:id="1316"/>
      <w:bookmarkEnd w:id="1317"/>
    </w:p>
    <w:p>
      <w:r>
        <w:rPr>
          <w:rFonts w:hint="eastAsia"/>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pPr>
        <w:pStyle w:val="5"/>
      </w:pPr>
      <w:bookmarkStart w:id="1318" w:name="_Toc8431"/>
      <w:bookmarkStart w:id="1319" w:name="_Toc20269"/>
      <w:bookmarkStart w:id="1320" w:name="_Toc1659"/>
      <w:bookmarkStart w:id="1321" w:name="_Toc120570103"/>
      <w:bookmarkStart w:id="1322" w:name="_Toc28297"/>
      <w:bookmarkStart w:id="1323" w:name="_Toc20472"/>
      <w:bookmarkStart w:id="1324" w:name="_Toc121162895"/>
      <w:bookmarkStart w:id="1325" w:name="_Toc9324"/>
      <w:bookmarkStart w:id="1326" w:name="_Toc23630"/>
      <w:r>
        <w:t>7.6A.2</w:t>
      </w:r>
      <w:r>
        <w:tab/>
      </w:r>
      <w:r>
        <w:t>In-band blocking for category M1</w:t>
      </w:r>
      <w:bookmarkEnd w:id="1318"/>
      <w:bookmarkEnd w:id="1319"/>
      <w:bookmarkEnd w:id="1320"/>
      <w:bookmarkEnd w:id="1321"/>
      <w:bookmarkEnd w:id="1322"/>
      <w:bookmarkEnd w:id="1323"/>
      <w:bookmarkEnd w:id="1324"/>
      <w:bookmarkEnd w:id="1325"/>
      <w:bookmarkEnd w:id="1326"/>
    </w:p>
    <w:p>
      <w:pPr>
        <w:pStyle w:val="112"/>
        <w:rPr>
          <w:i w:val="0"/>
          <w:iCs w:val="0"/>
          <w:lang w:val="en-GB"/>
        </w:rPr>
      </w:pPr>
      <w:r>
        <w:t>Editor’s Note: Addition to applicability spec is pending.</w:t>
      </w:r>
    </w:p>
    <w:p>
      <w:pPr>
        <w:pStyle w:val="9"/>
      </w:pPr>
      <w:r>
        <w:t>7.6A.2.1</w:t>
      </w:r>
      <w:r>
        <w:tab/>
      </w:r>
      <w:r>
        <w:t>Test Purpose</w:t>
      </w:r>
    </w:p>
    <w:p>
      <w:pPr>
        <w:rPr>
          <w:rFonts w:eastAsia="Osaka"/>
        </w:rPr>
      </w:pPr>
      <w:r>
        <w:rPr>
          <w:rFonts w:eastAsia="Osaka"/>
        </w:rPr>
        <w:t>In-band blocking is defined for an</w:t>
      </w:r>
      <w:r>
        <w:t xml:space="preserve"> unwanted interfering signal falling into the UE receive band or into the first 15 MHz below or above the UE receive band </w:t>
      </w:r>
      <w:r>
        <w:rPr>
          <w:rFonts w:cs="v5.0.0"/>
        </w:rPr>
        <w:t xml:space="preserve">at which the relative throughput shall </w:t>
      </w:r>
      <w:r>
        <w:t>meet or exceed the minimum requirement for the specified measurement channels</w:t>
      </w:r>
      <w:r>
        <w:rPr>
          <w:rFonts w:cs="v5.0.0"/>
        </w:rPr>
        <w:t>.</w:t>
      </w:r>
    </w:p>
    <w:p>
      <w:r>
        <w:t>The lack of in-band blocking ability will decrease the coverage area when other e-NodeB transmitters exist (except in the adjacent channels and spurious response).</w:t>
      </w:r>
    </w:p>
    <w:p>
      <w:pPr>
        <w:pStyle w:val="9"/>
      </w:pPr>
      <w:r>
        <w:t>7.6A.2.2</w:t>
      </w:r>
      <w:r>
        <w:tab/>
      </w:r>
      <w:r>
        <w:t>Test Applicability</w:t>
      </w:r>
    </w:p>
    <w:p>
      <w:r>
        <w:t>This test case applies to all types of E-UTRA UE release 17 and forward of category M1</w:t>
      </w:r>
      <w:r>
        <w:rPr>
          <w:rFonts w:ascii="宋体" w:hAnsi="宋体" w:cs="宋体"/>
          <w:lang w:eastAsia="zh-TW"/>
        </w:rPr>
        <w:t xml:space="preserve"> </w:t>
      </w:r>
      <w:r>
        <w:t>that support satellite access operation.</w:t>
      </w:r>
    </w:p>
    <w:p>
      <w:pPr>
        <w:pStyle w:val="9"/>
      </w:pPr>
      <w:r>
        <w:t>7.6A.2.3</w:t>
      </w:r>
      <w:r>
        <w:tab/>
      </w:r>
      <w:r>
        <w:t>Minimum Conformance Requirements</w:t>
      </w:r>
    </w:p>
    <w:p>
      <w:pPr>
        <w:rPr>
          <w:color w:val="000000" w:themeColor="text1"/>
          <w14:textFill>
            <w14:solidFill>
              <w14:schemeClr w14:val="tx1"/>
            </w14:solidFill>
          </w14:textFill>
        </w:rPr>
      </w:pPr>
      <w:r>
        <w:rPr>
          <w:color w:val="000000" w:themeColor="text1"/>
          <w14:textFill>
            <w14:solidFill>
              <w14:schemeClr w14:val="tx1"/>
            </w14:solidFill>
          </w14:textFill>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pPr>
        <w:pStyle w:val="113"/>
        <w:rPr>
          <w:color w:val="000000" w:themeColor="text1"/>
          <w14:textFill>
            <w14:solidFill>
              <w14:schemeClr w14:val="tx1"/>
            </w14:solidFill>
          </w14:textFill>
        </w:rPr>
      </w:pPr>
      <w:r>
        <w:rPr>
          <w:color w:val="000000" w:themeColor="text1"/>
          <w14:textFill>
            <w14:solidFill>
              <w14:schemeClr w14:val="tx1"/>
            </w14:solidFill>
          </w14:textFill>
        </w:rPr>
        <w:t>Table 7.6A.2.3-1: In band blocking parameters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1"/>
        <w:gridCol w:w="707"/>
        <w:gridCol w:w="6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Rx parameter</w:t>
            </w:r>
          </w:p>
        </w:tc>
        <w:tc>
          <w:tcPr>
            <w:tcW w:w="707"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Units </w:t>
            </w: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vAlign w:val="center"/>
          </w:tcPr>
          <w:p>
            <w:pPr>
              <w:pStyle w:val="103"/>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Power in Transmission Bandwidth Configuration</w:t>
            </w:r>
          </w:p>
        </w:tc>
        <w:tc>
          <w:tcPr>
            <w:tcW w:w="707" w:type="dxa"/>
            <w:vMerge w:val="restart"/>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BW</w:t>
            </w:r>
            <w:r>
              <w:rPr>
                <w:rFonts w:cs="Arial"/>
                <w:bCs/>
                <w:color w:val="000000" w:themeColor="text1"/>
                <w:vertAlign w:val="subscript"/>
                <w14:textFill>
                  <w14:solidFill>
                    <w14:schemeClr w14:val="tx1"/>
                  </w14:solidFill>
                </w14:textFill>
              </w:rPr>
              <w:t xml:space="preserve">Interferer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i/>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1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2.1+0.0125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2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3.5+0.0075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642" w:type="dxa"/>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 xml:space="preserve">NOTE 1: </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p>
            <w:pPr>
              <w:pStyle w:val="118"/>
              <w:rPr>
                <w:rFonts w:eastAsia="MS Mincho" w:cs="Arial"/>
              </w:rPr>
            </w:pPr>
            <w:r>
              <w:rPr>
                <w:rFonts w:eastAsia="MS Mincho" w:cs="Arial"/>
              </w:rPr>
              <w:t>NOTE 3:</w:t>
            </w:r>
            <w:r>
              <w:rPr>
                <w:rFonts w:eastAsia="MS Mincho" w:cs="Arial"/>
              </w:rPr>
              <w:tab/>
            </w:r>
            <w:r>
              <w:rPr>
                <w:rFonts w:eastAsia="MS Mincho" w:cs="Arial"/>
              </w:rPr>
              <w:t>For DL category M1 UE, the reference sensitivity for category M1 in table 7.3A-1 should be used as REFSENS for the power in Transmission Bandwidth Configuration.</w:t>
            </w:r>
          </w:p>
          <w:p>
            <w:pPr>
              <w:pStyle w:val="118"/>
              <w:rPr>
                <w:rFonts w:eastAsia="MS Mincho" w:cs="Arial"/>
                <w:color w:val="000000" w:themeColor="text1"/>
                <w14:textFill>
                  <w14:solidFill>
                    <w14:schemeClr w14:val="tx1"/>
                  </w14:solidFill>
                </w14:textFill>
              </w:rPr>
            </w:pPr>
            <w:r>
              <w:rPr>
                <w:rFonts w:eastAsia="MS Mincho" w:cs="Arial"/>
              </w:rPr>
              <w:t>NOTE 4:</w:t>
            </w:r>
            <w:r>
              <w:rPr>
                <w:rFonts w:eastAsia="MS Mincho" w:cs="Arial"/>
              </w:rPr>
              <w:tab/>
            </w:r>
            <w:r>
              <w:rPr>
                <w:rFonts w:cs="Arial"/>
              </w:rPr>
              <w:t>For DL category M1 UE, the parameters for the applicable channel bandwidth apply.</w:t>
            </w:r>
          </w:p>
        </w:tc>
      </w:tr>
    </w:tbl>
    <w:p>
      <w:pPr>
        <w:rPr>
          <w:rFonts w:eastAsiaTheme="minorEastAsia"/>
          <w:lang w:eastAsia="zh-TW"/>
        </w:rPr>
      </w:pPr>
    </w:p>
    <w:p>
      <w:pPr>
        <w:pStyle w:val="113"/>
        <w:rPr>
          <w:color w:val="000000" w:themeColor="text1"/>
          <w14:textFill>
            <w14:solidFill>
              <w14:schemeClr w14:val="tx1"/>
            </w14:solidFill>
          </w14:textFill>
        </w:rPr>
      </w:pPr>
      <w:r>
        <w:rPr>
          <w:color w:val="000000" w:themeColor="text1"/>
          <w14:textFill>
            <w14:solidFill>
              <w14:schemeClr w14:val="tx1"/>
            </w14:solidFill>
          </w14:textFill>
        </w:rPr>
        <w:t>Table 7.6A.2.3-2: In-band blocking</w:t>
      </w:r>
    </w:p>
    <w:tbl>
      <w:tblPr>
        <w:tblStyle w:val="89"/>
        <w:tblW w:w="920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00"/>
        <w:gridCol w:w="1134"/>
        <w:gridCol w:w="724"/>
        <w:gridCol w:w="3074"/>
        <w:gridCol w:w="30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restart"/>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E-UTRA band</w:t>
            </w:r>
          </w:p>
        </w:tc>
        <w:tc>
          <w:tcPr>
            <w:tcW w:w="113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Parameter</w:t>
            </w:r>
          </w:p>
        </w:tc>
        <w:tc>
          <w:tcPr>
            <w:tcW w:w="72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Unit</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1</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-56</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-44</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r>
              <w:rPr>
                <w:rFonts w:cs="Arial"/>
                <w:color w:val="000000" w:themeColor="text1"/>
                <w14:textFill>
                  <w14:solidFill>
                    <w14:schemeClr w14:val="tx1"/>
                  </w14:solidFill>
                </w14:textFill>
              </w:rPr>
              <w:t xml:space="preserve"> (offset)</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30"/>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30"/>
              <w:rPr>
                <w:rFonts w:cs="Arial"/>
                <w:color w:val="000000" w:themeColor="text1"/>
                <w:vertAlign w:val="subscript"/>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256, 255</w:t>
            </w: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(NOTE 2)</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DL_low </w:t>
            </w:r>
            <w:r>
              <w:rPr>
                <w:rFonts w:cs="Arial"/>
                <w:color w:val="000000" w:themeColor="text1"/>
                <w14:textFill>
                  <w14:solidFill>
                    <w14:schemeClr w14:val="tx1"/>
                  </w14:solidFill>
                </w14:textFill>
              </w:rPr>
              <w:t>– 15</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to</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DL_high </w:t>
            </w:r>
            <w:r>
              <w:rPr>
                <w:rFonts w:cs="Arial"/>
                <w:color w:val="000000" w:themeColor="text1"/>
                <w14:textFill>
                  <w14:solidFill>
                    <w14:schemeClr w14:val="tx1"/>
                  </w14:solidFill>
                </w14:textFill>
              </w:rPr>
              <w:t>+ 15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9206" w:type="dxa"/>
            <w:gridSpan w:val="5"/>
            <w:tcBorders>
              <w:top w:val="single" w:color="000000" w:sz="6" w:space="0"/>
              <w:left w:val="single" w:color="000000" w:sz="6" w:space="0"/>
              <w:bottom w:val="single" w:color="000000" w:sz="6" w:space="0"/>
              <w:right w:val="single" w:color="000000" w:sz="6" w:space="0"/>
            </w:tcBorders>
            <w:vAlign w:val="center"/>
          </w:tcPr>
          <w:p>
            <w:pPr>
              <w:pStyle w:val="118"/>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pPr>
              <w:pStyle w:val="118"/>
              <w:rPr>
                <w:rFonts w:eastAsia="MS Mincho" w:cs="Arial"/>
              </w:rPr>
            </w:pPr>
            <w:r>
              <w:rPr>
                <w:rFonts w:cs="Arial"/>
              </w:rPr>
              <w:t>NOTE 2:</w:t>
            </w:r>
            <w:r>
              <w:rPr>
                <w:rFonts w:cs="Arial"/>
              </w:rPr>
              <w:tab/>
            </w:r>
            <w:r>
              <w:rPr>
                <w:rFonts w:eastAsia="MS Mincho" w:cs="Arial"/>
              </w:rPr>
              <w:t>For each carrier frequency the requirement is valid for two frequencies:</w:t>
            </w:r>
          </w:p>
          <w:p>
            <w:pPr>
              <w:pStyle w:val="118"/>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pPr>
              <w:pStyle w:val="118"/>
              <w:ind w:left="1987"/>
              <w:rPr>
                <w:rFonts w:eastAsia="MS Mincho" w:cs="Arial"/>
              </w:rPr>
            </w:pPr>
            <w:r>
              <w:rPr>
                <w:rFonts w:eastAsia="MS Mincho" w:cs="Arial"/>
              </w:rPr>
              <w:t>b. the carrier frequency +BW/2 + F</w:t>
            </w:r>
            <w:r>
              <w:rPr>
                <w:rFonts w:eastAsia="MS Mincho" w:cs="Arial"/>
                <w:vertAlign w:val="subscript"/>
              </w:rPr>
              <w:t>Ioffset, case 1</w:t>
            </w:r>
          </w:p>
          <w:p>
            <w:pPr>
              <w:pStyle w:val="105"/>
              <w:jc w:val="left"/>
              <w:rPr>
                <w:rFonts w:cs="Arial" w:eastAsiaTheme="minorEastAsia"/>
                <w:color w:val="000000" w:themeColor="text1"/>
                <w14:textFill>
                  <w14:solidFill>
                    <w14:schemeClr w14:val="tx1"/>
                  </w14:solidFill>
                </w14:textFill>
              </w:rPr>
            </w:pPr>
            <w:r>
              <w:rPr>
                <w:rFonts w:cs="Arial"/>
              </w:rPr>
              <w:t>NOTE 3:</w:t>
            </w:r>
            <w:r>
              <w:rPr>
                <w:rFonts w:cs="Arial"/>
              </w:rPr>
              <w:tab/>
            </w:r>
            <w:r>
              <w:rPr>
                <w:rFonts w:cs="Arial"/>
              </w:rPr>
              <w:t>F</w:t>
            </w:r>
            <w:r>
              <w:rPr>
                <w:rFonts w:cs="Arial"/>
                <w:vertAlign w:val="subscript"/>
              </w:rPr>
              <w:t>Interferer</w:t>
            </w:r>
            <w:r>
              <w:rPr>
                <w:rFonts w:cs="Arial"/>
              </w:rPr>
              <w:t xml:space="preserve"> range values for unwanted modulated interfering signal are interferer center frequencies </w:t>
            </w:r>
          </w:p>
        </w:tc>
      </w:tr>
    </w:tbl>
    <w:p/>
    <w:p>
      <w:pPr>
        <w:rPr>
          <w:rFonts w:eastAsia="Osaka"/>
        </w:rPr>
      </w:pPr>
      <w:r>
        <w:t>The normative reference for this requirement is TS 36.102 [11] clause 7.6A.2.</w:t>
      </w:r>
    </w:p>
    <w:p>
      <w:pPr>
        <w:pStyle w:val="9"/>
      </w:pPr>
      <w:r>
        <w:t>7.6A.2.4</w:t>
      </w:r>
      <w:r>
        <w:tab/>
      </w:r>
      <w:r>
        <w:t>Test Description</w:t>
      </w:r>
    </w:p>
    <w:p>
      <w:pPr>
        <w:pStyle w:val="9"/>
      </w:pPr>
      <w:r>
        <w:t>7.6A.2.4.1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Annexes A.2 and A.3. The details of the OCNG patterns used are specified in Annex A.5. </w:t>
      </w:r>
      <w:r>
        <w:rPr>
          <w:rFonts w:cs="v5.0.0"/>
        </w:rPr>
        <w:t>Configurations of PDSCH and MPDCCH before measurement are specified in Annex C.2.</w:t>
      </w:r>
    </w:p>
    <w:p>
      <w:pPr>
        <w:pStyle w:val="113"/>
        <w:rPr>
          <w:lang w:eastAsia="ko-KR"/>
        </w:rPr>
      </w:pPr>
      <w:r>
        <w:t>Table 7.6A.2.4.1-1: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6"/>
        <w:gridCol w:w="1166"/>
        <w:gridCol w:w="1749"/>
        <w:gridCol w:w="1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w:t>
            </w:r>
            <w:r>
              <w:rPr>
                <w:rFonts w:hint="eastAsia" w:ascii="Arial" w:hAnsi="Arial"/>
                <w:sz w:val="18"/>
              </w:rPr>
              <w:t>ormal</w:t>
            </w:r>
            <w:r>
              <w:rPr>
                <w:rFonts w:ascii="Arial" w:hAnsi="Arial"/>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TS36.508 [12] subclause 4.3.1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Channel Bandwidths as specified in TS 36.508 [12] subclause 4.3.1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w:t>
            </w:r>
            <w:r>
              <w:t xml:space="preserve"> </w:t>
            </w:r>
            <w:r>
              <w:rPr>
                <w:rFonts w:ascii="Arial" w:hAnsi="Arial"/>
                <w:b/>
                <w:sz w:val="18"/>
              </w:rPr>
              <w:t>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 ID</w:t>
            </w:r>
          </w:p>
        </w:tc>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4664"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t>Modulation</w:t>
            </w:r>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t>Modulation</w:t>
            </w:r>
          </w:p>
        </w:tc>
        <w:tc>
          <w:tcPr>
            <w:tcW w:w="174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74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cs="Arial"/>
                <w:sz w:val="18"/>
                <w:szCs w:val="18"/>
                <w:lang w:eastAsia="sv-SE"/>
              </w:rPr>
              <w:t>Narrowband index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w:t>
            </w: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zh-CN"/>
              </w:rPr>
            </w:pPr>
            <w:r>
              <w:rPr>
                <w:rFonts w:hint="eastAsia" w:ascii="Arial" w:hAnsi="Arial" w:eastAsia="宋体"/>
                <w:sz w:val="18"/>
                <w:lang w:val="en-US" w:eastAsia="zh-CN"/>
              </w:rPr>
              <w:t>4</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74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zh-CN"/>
              </w:rPr>
            </w:pPr>
            <w:r>
              <w:rPr>
                <w:rFonts w:hint="eastAsia" w:ascii="Arial" w:hAnsi="Arial" w:eastAsia="宋体"/>
                <w:sz w:val="18"/>
                <w:lang w:val="en-US" w:eastAsia="zh-CN"/>
              </w:rPr>
              <w:t>6</w:t>
            </w:r>
          </w:p>
        </w:tc>
        <w:tc>
          <w:tcPr>
            <w:tcW w:w="174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7"/>
            <w:tcBorders>
              <w:top w:val="single" w:color="auto" w:sz="4" w:space="0"/>
              <w:left w:val="single" w:color="auto" w:sz="4" w:space="0"/>
              <w:bottom w:val="single" w:color="auto" w:sz="4" w:space="0"/>
              <w:right w:val="single" w:color="auto" w:sz="4" w:space="0"/>
            </w:tcBorders>
          </w:tcPr>
          <w:p>
            <w:pPr>
              <w:pStyle w:val="118"/>
              <w:rPr>
                <w:lang w:eastAsia="en-GB"/>
              </w:rPr>
            </w:pPr>
            <w:r>
              <w:rPr>
                <w:lang w:eastAsia="en-GB"/>
              </w:rPr>
              <w:t>Note 1:</w:t>
            </w:r>
            <w:r>
              <w:rPr>
                <w:lang w:eastAsia="en-GB"/>
              </w:rPr>
              <w:tab/>
            </w:r>
            <w:r>
              <w:rPr>
                <w:lang w:eastAsia="en-GB"/>
              </w:rPr>
              <w:t>Denotes where in the channel Bandwidth the narrowband shall be placed. Narrowband and Narrowband index are defined in TS36.211</w:t>
            </w:r>
            <w:r>
              <w:t>[3]</w:t>
            </w:r>
            <w:r>
              <w:rPr>
                <w:lang w:eastAsia="en-GB"/>
              </w:rPr>
              <w:t>, 5.2.4.</w:t>
            </w:r>
          </w:p>
          <w:p>
            <w:pPr>
              <w:pStyle w:val="118"/>
              <w:keepNext/>
              <w:keepLines/>
              <w:spacing w:after="0"/>
              <w:jc w:val="center"/>
              <w:rPr>
                <w:rFonts w:eastAsia="宋体"/>
                <w:lang w:val="en-US" w:eastAsia="zh-CN"/>
              </w:rPr>
            </w:pPr>
            <w:r>
              <w:t>Note 2:</w:t>
            </w:r>
            <w:r>
              <w:tab/>
            </w:r>
            <w:r>
              <w:t>Downlink RB position shall be RB</w:t>
            </w:r>
            <w:r>
              <w:rPr>
                <w:vertAlign w:val="subscript"/>
              </w:rPr>
              <w:t>start</w:t>
            </w:r>
            <w:r>
              <w:t xml:space="preserve"> = 0 within the narrowband.</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36.508[12] Annex A Figure A.</w:t>
      </w:r>
      <w:r>
        <w:rPr>
          <w:rFonts w:eastAsia="Malgun Gothic"/>
          <w:lang w:eastAsia="ko-KR"/>
        </w:rPr>
        <w:t>4</w:t>
      </w:r>
      <w:r>
        <w:rPr>
          <w:rFonts w:eastAsia="Malgun Gothic"/>
        </w:rPr>
        <w:t xml:space="preserve"> </w:t>
      </w:r>
      <w:bookmarkStart w:id="1327" w:name="_Hlk134608608"/>
      <w:r>
        <w:rPr>
          <w:rFonts w:eastAsia="Malgun Gothic"/>
        </w:rPr>
        <w:t>using only main UE Tx/Rx antenna</w:t>
      </w:r>
      <w:bookmarkEnd w:id="1327"/>
      <w:r>
        <w:rPr>
          <w:rFonts w:eastAsia="Malgun Gothic"/>
        </w:rPr>
        <w:t>.</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C.3.1, and uplink signals according to Annex H.1 and H.3.1.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UL and DL Reference Measurement channels are set according to Table 7.6A.2.4.1-1.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color w:val="000000" w:themeColor="text1"/>
          <w14:textFill>
            <w14:solidFill>
              <w14:schemeClr w14:val="tx1"/>
            </w14:solidFill>
          </w14:textFill>
        </w:rPr>
      </w:pPr>
      <w:r>
        <w:rPr>
          <w:rFonts w:eastAsia="Malgun Gothic"/>
        </w:rPr>
        <w:t>6.</w:t>
      </w:r>
      <w:r>
        <w:rPr>
          <w:rFonts w:eastAsia="Malgun Gothic"/>
        </w:rPr>
        <w:tab/>
      </w:r>
      <w:r>
        <w:rPr>
          <w:rFonts w:eastAsia="Malgun Gothic"/>
          <w:lang w:eastAsia="en-GB"/>
        </w:rPr>
        <w:t>UE location according to T</w:t>
      </w:r>
      <w:r>
        <w:rPr>
          <w:rFonts w:eastAsia="Malgun Gothic"/>
          <w:color w:val="000000" w:themeColor="text1"/>
          <w:lang w:eastAsia="en-GB"/>
          <w14:textFill>
            <w14:solidFill>
              <w14:schemeClr w14:val="tx1"/>
            </w14:solidFill>
          </w14:textFill>
        </w:rPr>
        <w:t>S 36.508 [12] clause 5.6.1 is provided to the UE through any preconfigured means</w:t>
      </w:r>
      <w:r>
        <w:rPr>
          <w:rFonts w:eastAsia="Malgun Gothic"/>
          <w:color w:val="000000" w:themeColor="text1"/>
          <w14:textFill>
            <w14:solidFill>
              <w14:schemeClr w14:val="tx1"/>
            </w14:solidFill>
          </w14:textFill>
        </w:rPr>
        <w:t>.</w:t>
      </w:r>
    </w:p>
    <w:p>
      <w:pPr>
        <w:pStyle w:val="111"/>
        <w:overflowPunct w:val="0"/>
        <w:autoSpaceDE w:val="0"/>
        <w:autoSpaceDN w:val="0"/>
        <w:adjustRightInd w:val="0"/>
        <w:contextualSpacing w:val="0"/>
        <w:textAlignment w:val="baseline"/>
        <w:rPr>
          <w:color w:val="000000" w:themeColor="text1"/>
          <w14:textFill>
            <w14:solidFill>
              <w14:schemeClr w14:val="tx1"/>
            </w14:solidFill>
          </w14:textFill>
        </w:rPr>
      </w:pPr>
      <w:r>
        <w:rPr>
          <w:rFonts w:hint="eastAsia" w:eastAsia="Malgun Gothic"/>
          <w:color w:val="000000" w:themeColor="text1"/>
          <w14:textFill>
            <w14:solidFill>
              <w14:schemeClr w14:val="tx1"/>
            </w14:solidFill>
          </w14:textFill>
        </w:rPr>
        <w:t>7.</w:t>
      </w:r>
      <w:r>
        <w:rPr>
          <w:rFonts w:hint="eastAsia" w:eastAsia="Malgun Gothic"/>
          <w:color w:val="000000" w:themeColor="text1"/>
          <w14:textFill>
            <w14:solidFill>
              <w14:schemeClr w14:val="tx1"/>
            </w14:solidFill>
          </w14:textFill>
        </w:rPr>
        <w:tab/>
      </w:r>
      <w:r>
        <w:rPr>
          <w:color w:val="000000" w:themeColor="text1"/>
          <w14:textFill>
            <w14:solidFill>
              <w14:schemeClr w14:val="tx1"/>
            </w14:solidFill>
          </w14:textFill>
        </w:rPr>
        <w:t xml:space="preserve">Test equipment shall emulate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duration of the test as define in TS 36.508[12] clause 5.6.3.1</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hint="eastAsia" w:eastAsia="Malgun Gothic"/>
        </w:rPr>
        <w:t>.</w:t>
      </w:r>
      <w:r>
        <w:rPr>
          <w:rFonts w:hint="eastAsia" w:eastAsia="Malgun Gothic"/>
        </w:rPr>
        <w:tab/>
      </w:r>
      <w:r>
        <w:rPr>
          <w:rFonts w:hint="eastAsia" w:eastAsia="Malgun Gothic"/>
        </w:rPr>
        <w:t>Ensure the UE is in State 3A-RF-CE according to TS 36.508 [12] clause 5.2A.2AA. Message contents are defined in clause 7.6A.2.4.3.</w:t>
      </w:r>
    </w:p>
    <w:p>
      <w:pPr>
        <w:pStyle w:val="9"/>
      </w:pPr>
      <w:r>
        <w:t>7.6A.2.4.2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 xml:space="preserve">SS transmits PDSCH via MPDCCH DCI format 6-1A for C_RNTI to transmit the DL RMC according to Table 7.6A.2.4.1-1. The SS sends downlink MAC padding bits on the DL RMC. The SS sends one sided dynamic OCNG Pattern OP.1 FDD for the DL-signal as described in Annex A.5.1.1. </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SS sends uplink scheduling information for each UL HARQ process via MPDCCH DCI format 6-0A for C_RNTI to schedule the UL RMC according to Table 7.6A.2.4.1-1.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Set the parameters of the signal generator for an interfering signal below the wanted signal in Case 1 according to Tables 7.6A.2.5-1 and 7.6A.2.5-2.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w:t>
      </w:r>
      <w:r>
        <w:rPr>
          <w:rFonts w:hint="eastAsia" w:eastAsia="宋体"/>
          <w:lang w:val="en-US" w:eastAsia="zh-CN"/>
        </w:rPr>
        <w:t>t</w:t>
      </w:r>
      <w:r>
        <w:rPr>
          <w:rFonts w:eastAsia="Malgun Gothic"/>
        </w:rPr>
        <w:t>hroughput measurement, where:</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MU is the test system uplink power measurement uncertainty and is specified in Table F.1.3-1 for the carrier frequency f and the channel bandwidth BW</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w:t>
      </w:r>
      <w:r>
        <w:rPr>
          <w:rFonts w:hint="eastAsia" w:eastAsia="宋体"/>
          <w:lang w:val="en-US" w:eastAsia="zh-CN"/>
        </w:rPr>
        <w:t>2</w:t>
      </w:r>
      <w:r>
        <w:rPr>
          <w:rFonts w:eastAsia="Malgun Gothic"/>
        </w:rPr>
        <w:t>-1.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Measure the average throughput for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Repeat steps from 3 to 5, using an interfering signal above the wanted signal in Case 1 at step 3.</w:t>
      </w:r>
    </w:p>
    <w:p>
      <w:pPr>
        <w:pStyle w:val="111"/>
        <w:overflowPunct w:val="0"/>
        <w:autoSpaceDE w:val="0"/>
        <w:autoSpaceDN w:val="0"/>
        <w:adjustRightInd w:val="0"/>
        <w:contextualSpacing w:val="0"/>
        <w:textAlignment w:val="baseline"/>
        <w:rPr>
          <w:rFonts w:eastAsia="Malgun Gothic"/>
        </w:rPr>
      </w:pPr>
      <w:r>
        <w:rPr>
          <w:rFonts w:eastAsia="Malgun Gothic"/>
        </w:rPr>
        <w:t>7.</w:t>
      </w:r>
      <w:r>
        <w:rPr>
          <w:rFonts w:eastAsia="Malgun Gothic"/>
        </w:rPr>
        <w:tab/>
      </w:r>
      <w:r>
        <w:rPr>
          <w:rFonts w:eastAsia="Malgun Gothic"/>
        </w:rPr>
        <w:t>Repeat steps from 3 to 6, using interfering signals in Case 2 at step 3</w:t>
      </w:r>
      <w:r>
        <w:rPr>
          <w:rFonts w:eastAsia="Malgun Gothic"/>
          <w:lang w:eastAsia="ko-KR"/>
        </w:rPr>
        <w:t xml:space="preserve"> </w:t>
      </w:r>
      <w:r>
        <w:rPr>
          <w:rFonts w:eastAsia="Malgun Gothic"/>
        </w:rPr>
        <w:t>and 6. The ranges of case 2 are covered in steps equal to the interferer bandwidth. The test frequencies are chosen in analogy to Table 7.6A.2.4.2-1.</w:t>
      </w:r>
    </w:p>
    <w:p>
      <w:pPr>
        <w:pStyle w:val="113"/>
      </w:pPr>
      <w:r>
        <w:t>Table 7.6A.2.4.2-1: Example for interferer frequencies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0"/>
        <w:gridCol w:w="3071"/>
        <w:gridCol w:w="3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p>
        </w:tc>
        <w:tc>
          <w:tcPr>
            <w:tcW w:w="3071" w:type="dxa"/>
          </w:tcPr>
          <w:p>
            <w:pPr>
              <w:pStyle w:val="104"/>
            </w:pPr>
            <w:r>
              <w:t>Lower frequency</w:t>
            </w:r>
          </w:p>
        </w:tc>
        <w:tc>
          <w:tcPr>
            <w:tcW w:w="3071" w:type="dxa"/>
          </w:tcPr>
          <w:p>
            <w:pPr>
              <w:pStyle w:val="104"/>
            </w:pPr>
            <w:r>
              <w:t>Upper 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Band 256 DL</w:t>
            </w:r>
          </w:p>
        </w:tc>
        <w:tc>
          <w:tcPr>
            <w:tcW w:w="3071" w:type="dxa"/>
          </w:tcPr>
          <w:p>
            <w:pPr>
              <w:pStyle w:val="105"/>
            </w:pPr>
            <w:r>
              <w:t>2170 MHz</w:t>
            </w:r>
          </w:p>
        </w:tc>
        <w:tc>
          <w:tcPr>
            <w:tcW w:w="3071" w:type="dxa"/>
          </w:tcPr>
          <w:p>
            <w:pPr>
              <w:pStyle w:val="105"/>
            </w:pPr>
            <w:r>
              <w:t>2200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 xml:space="preserve">Band </w:t>
            </w:r>
            <w:r>
              <w:rPr>
                <w:rFonts w:hint="eastAsia" w:eastAsia="宋体"/>
                <w:lang w:val="en-US" w:eastAsia="zh-CN"/>
              </w:rPr>
              <w:t>256</w:t>
            </w:r>
            <w:r>
              <w:rPr>
                <w:rFonts w:eastAsia="??"/>
              </w:rPr>
              <w:t xml:space="preserve"> Midrange</w:t>
            </w:r>
          </w:p>
        </w:tc>
        <w:tc>
          <w:tcPr>
            <w:tcW w:w="6142" w:type="dxa"/>
            <w:gridSpan w:val="2"/>
          </w:tcPr>
          <w:p>
            <w:pPr>
              <w:pStyle w:val="105"/>
            </w:pPr>
            <w:r>
              <w:t>2185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Receive band wanted signal</w:t>
            </w:r>
          </w:p>
          <w:p>
            <w:pPr>
              <w:pStyle w:val="103"/>
            </w:pPr>
            <w:r>
              <w:t>(BW 1.4MHz)</w:t>
            </w:r>
          </w:p>
        </w:tc>
        <w:tc>
          <w:tcPr>
            <w:tcW w:w="3071" w:type="dxa"/>
          </w:tcPr>
          <w:p>
            <w:pPr>
              <w:pStyle w:val="105"/>
            </w:pPr>
            <w:r>
              <w:t>2184.3 MHz</w:t>
            </w:r>
          </w:p>
        </w:tc>
        <w:tc>
          <w:tcPr>
            <w:tcW w:w="3071" w:type="dxa"/>
          </w:tcPr>
          <w:p>
            <w:pPr>
              <w:pStyle w:val="105"/>
            </w:pPr>
            <w:r>
              <w:t>21</w:t>
            </w:r>
            <w:r>
              <w:rPr>
                <w:rFonts w:hint="eastAsia" w:eastAsia="宋体"/>
                <w:lang w:val="en-US" w:eastAsia="zh-CN"/>
              </w:rPr>
              <w:t>8</w:t>
            </w:r>
            <w:r>
              <w:t>5.7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Interferer case 1</w:t>
            </w:r>
          </w:p>
        </w:tc>
        <w:tc>
          <w:tcPr>
            <w:tcW w:w="3071" w:type="dxa"/>
          </w:tcPr>
          <w:p>
            <w:pPr>
              <w:pStyle w:val="105"/>
            </w:pPr>
            <w:r>
              <w:t>2182.1875 MHz</w:t>
            </w:r>
          </w:p>
        </w:tc>
        <w:tc>
          <w:tcPr>
            <w:tcW w:w="3071" w:type="dxa"/>
          </w:tcPr>
          <w:p>
            <w:pPr>
              <w:pStyle w:val="105"/>
            </w:pPr>
            <w:r>
              <w:t>21</w:t>
            </w:r>
            <w:r>
              <w:rPr>
                <w:rFonts w:hint="eastAsia" w:eastAsia="宋体"/>
                <w:lang w:val="en-US" w:eastAsia="zh-CN"/>
              </w:rPr>
              <w:t>8</w:t>
            </w:r>
            <w:r>
              <w:t>7.8125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Interferer case 2 (inner frequency)</w:t>
            </w:r>
          </w:p>
        </w:tc>
        <w:tc>
          <w:tcPr>
            <w:tcW w:w="3071" w:type="dxa"/>
          </w:tcPr>
          <w:p>
            <w:pPr>
              <w:pStyle w:val="105"/>
            </w:pPr>
            <w:r>
              <w:t>2180.7925 MHz</w:t>
            </w:r>
          </w:p>
        </w:tc>
        <w:tc>
          <w:tcPr>
            <w:tcW w:w="3071" w:type="dxa"/>
          </w:tcPr>
          <w:p>
            <w:pPr>
              <w:pStyle w:val="105"/>
            </w:pPr>
            <w:r>
              <w:t>21</w:t>
            </w:r>
            <w:r>
              <w:rPr>
                <w:rFonts w:hint="eastAsia" w:eastAsia="宋体"/>
                <w:lang w:val="en-US" w:eastAsia="zh-CN"/>
              </w:rPr>
              <w:t>8</w:t>
            </w:r>
            <w:r>
              <w:t>9.2075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Interferer case 2 (outer frequency)</w:t>
            </w:r>
          </w:p>
        </w:tc>
        <w:tc>
          <w:tcPr>
            <w:tcW w:w="3071" w:type="dxa"/>
          </w:tcPr>
          <w:p>
            <w:pPr>
              <w:pStyle w:val="105"/>
            </w:pPr>
            <w:r>
              <w:t>21</w:t>
            </w:r>
            <w:r>
              <w:rPr>
                <w:rFonts w:hint="eastAsia" w:eastAsia="宋体"/>
                <w:lang w:val="en-US" w:eastAsia="zh-CN"/>
              </w:rPr>
              <w:t>55</w:t>
            </w:r>
            <w:r>
              <w:t>.</w:t>
            </w:r>
            <w:r>
              <w:rPr>
                <w:rFonts w:hint="eastAsia" w:eastAsia="宋体"/>
                <w:lang w:val="en-US" w:eastAsia="zh-CN"/>
              </w:rPr>
              <w:t>5</w:t>
            </w:r>
            <w:r>
              <w:t>925 MHz</w:t>
            </w:r>
          </w:p>
        </w:tc>
        <w:tc>
          <w:tcPr>
            <w:tcW w:w="3071" w:type="dxa"/>
          </w:tcPr>
          <w:p>
            <w:pPr>
              <w:pStyle w:val="105"/>
            </w:pPr>
            <w:r>
              <w:t>22</w:t>
            </w:r>
            <w:r>
              <w:rPr>
                <w:rFonts w:hint="eastAsia" w:eastAsia="宋体"/>
                <w:lang w:val="en-US" w:eastAsia="zh-CN"/>
              </w:rPr>
              <w:t>14</w:t>
            </w:r>
            <w:r>
              <w:t>.</w:t>
            </w:r>
            <w:r>
              <w:rPr>
                <w:rFonts w:hint="eastAsia" w:eastAsia="宋体"/>
                <w:lang w:val="en-US" w:eastAsia="zh-CN"/>
              </w:rPr>
              <w:t>4</w:t>
            </w:r>
            <w:r>
              <w:t>075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Outer limit for in band blocking</w:t>
            </w:r>
          </w:p>
        </w:tc>
        <w:tc>
          <w:tcPr>
            <w:tcW w:w="3071" w:type="dxa"/>
          </w:tcPr>
          <w:p>
            <w:pPr>
              <w:pStyle w:val="105"/>
            </w:pPr>
            <w:r>
              <w:t>2155MHz</w:t>
            </w:r>
          </w:p>
        </w:tc>
        <w:tc>
          <w:tcPr>
            <w:tcW w:w="3071" w:type="dxa"/>
          </w:tcPr>
          <w:p>
            <w:pPr>
              <w:pStyle w:val="105"/>
            </w:pPr>
            <w:r>
              <w:t>2215MHz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Number of test frequencies case 2</w:t>
            </w:r>
          </w:p>
        </w:tc>
        <w:tc>
          <w:tcPr>
            <w:tcW w:w="3071" w:type="dxa"/>
          </w:tcPr>
          <w:p>
            <w:pPr>
              <w:pStyle w:val="105"/>
              <w:rPr>
                <w:rFonts w:eastAsia="宋体"/>
                <w:lang w:eastAsia="zh-CN"/>
              </w:rPr>
            </w:pPr>
            <w:r>
              <w:t>1</w:t>
            </w:r>
            <w:r>
              <w:rPr>
                <w:rFonts w:hint="eastAsia" w:eastAsia="宋体"/>
                <w:lang w:val="en-US" w:eastAsia="zh-CN"/>
              </w:rPr>
              <w:t>9</w:t>
            </w:r>
          </w:p>
        </w:tc>
        <w:tc>
          <w:tcPr>
            <w:tcW w:w="3071" w:type="dxa"/>
          </w:tcPr>
          <w:p>
            <w:pPr>
              <w:pStyle w:val="105"/>
              <w:rPr>
                <w:rFonts w:eastAsia="宋体"/>
                <w:lang w:eastAsia="zh-CN"/>
              </w:rPr>
            </w:pPr>
            <w:r>
              <w:t>1</w:t>
            </w:r>
            <w:r>
              <w:rPr>
                <w:rFonts w:hint="eastAsia" w:eastAsia="宋体"/>
                <w:lang w:val="en-US" w:eastAsia="zh-CN"/>
              </w:rPr>
              <w:t>9</w:t>
            </w:r>
          </w:p>
        </w:tc>
      </w:tr>
    </w:tbl>
    <w:p/>
    <w:p>
      <w:pPr>
        <w:pStyle w:val="9"/>
      </w:pPr>
      <w:r>
        <w:t>7.6A.2.4.3</w:t>
      </w:r>
      <w:r>
        <w:tab/>
      </w:r>
      <w:r>
        <w:t>Message Contents</w:t>
      </w:r>
    </w:p>
    <w:p>
      <w:r>
        <w:t xml:space="preserve">Message contents are according to TS 36.508 [12] subclause 4.6 with the condition CEModeA </w:t>
      </w:r>
      <w:r>
        <w:rPr>
          <w:rFonts w:eastAsia="Batang"/>
        </w:rPr>
        <w:t xml:space="preserve">and the </w:t>
      </w:r>
      <w:r>
        <w:t>following exception.</w:t>
      </w:r>
    </w:p>
    <w:p>
      <w:pPr>
        <w:pStyle w:val="113"/>
      </w:pPr>
      <w:r>
        <w:t>Table 7.6A.2.4.3-1: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w:t>
            </w:r>
            <w:r>
              <w:rPr>
                <w:lang w:eastAsia="ko-KR"/>
              </w:rPr>
              <w:t>E-</w:t>
            </w:r>
            <w:r>
              <w:t xml:space="preserve">PUSCH </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w:t>
            </w:r>
            <w:r>
              <w:rPr>
                <w:lang w:eastAsia="ko-KR"/>
              </w:rPr>
              <w:t>UE-</w:t>
            </w:r>
            <w:r>
              <w:t>PUCCH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
          <w:p>
            <w:pPr>
              <w:pStyle w:val="103"/>
            </w:pPr>
            <w:r>
              <w:t>fc8</w:t>
            </w:r>
          </w:p>
        </w:tc>
        <w:tc>
          <w:tcPr>
            <w:tcW w:w="1701" w:type="dxa"/>
            <w:tcBorders>
              <w:top w:val="single" w:color="auto" w:sz="4" w:space="0"/>
              <w:left w:val="single" w:color="auto" w:sz="4" w:space="0"/>
              <w:bottom w:val="single" w:color="auto" w:sz="4" w:space="0"/>
              <w:right w:val="single" w:color="auto" w:sz="4" w:space="0"/>
            </w:tcBorders>
          </w:tcPr>
          <w:p>
            <w:pPr>
              <w:pStyle w:val="103"/>
            </w:pPr>
            <w:r>
              <w:t>larger filter length is used to reduce the RSRP measurement variation</w:t>
            </w: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7.6A.2.5</w:t>
      </w:r>
      <w:r>
        <w:tab/>
      </w:r>
      <w:r>
        <w:t>Test Requirement</w:t>
      </w:r>
    </w:p>
    <w:p>
      <w:r>
        <w:t>The throughput measurement derived in test procedure shall be ≥ 95% of the maximum throughput of the reference measurement channels as specified in Annex A.3.2 with parameters specified in Tables 7.6A.2.5-1 and 7.6A.2.5-2.</w:t>
      </w:r>
    </w:p>
    <w:p>
      <w:pPr>
        <w:pStyle w:val="113"/>
        <w:rPr>
          <w:lang w:eastAsia="ko-KR"/>
        </w:rPr>
      </w:pPr>
      <w:r>
        <w:t xml:space="preserve">Table </w:t>
      </w:r>
      <w:r>
        <w:rPr>
          <w:rFonts w:eastAsia="MS Mincho"/>
        </w:rPr>
        <w:t>7.6A.2.5-1</w:t>
      </w:r>
      <w:r>
        <w:t>: In band blocking parameters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1"/>
        <w:gridCol w:w="707"/>
        <w:gridCol w:w="6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Rx parameter</w:t>
            </w:r>
          </w:p>
        </w:tc>
        <w:tc>
          <w:tcPr>
            <w:tcW w:w="707"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Units </w:t>
            </w: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vAlign w:val="center"/>
          </w:tcPr>
          <w:p>
            <w:pPr>
              <w:pStyle w:val="103"/>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Power in Transmission Bandwidth Configuration</w:t>
            </w:r>
          </w:p>
        </w:tc>
        <w:tc>
          <w:tcPr>
            <w:tcW w:w="707" w:type="dxa"/>
            <w:vMerge w:val="restart"/>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BW</w:t>
            </w:r>
            <w:r>
              <w:rPr>
                <w:rFonts w:cs="Arial"/>
                <w:bCs/>
                <w:color w:val="000000" w:themeColor="text1"/>
                <w:vertAlign w:val="subscript"/>
                <w14:textFill>
                  <w14:solidFill>
                    <w14:schemeClr w14:val="tx1"/>
                  </w14:solidFill>
                </w14:textFill>
              </w:rPr>
              <w:t xml:space="preserve">Interferer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i/>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1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2.1+0.0125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2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3.5+0.0075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642" w:type="dxa"/>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 xml:space="preserve">NOTE 1: </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p>
            <w:pPr>
              <w:pStyle w:val="118"/>
              <w:rPr>
                <w:rFonts w:eastAsia="MS Mincho" w:cs="Arial"/>
              </w:rPr>
            </w:pPr>
            <w:r>
              <w:rPr>
                <w:rFonts w:eastAsia="MS Mincho" w:cs="Arial"/>
              </w:rPr>
              <w:t>NOTE 3:</w:t>
            </w:r>
            <w:r>
              <w:rPr>
                <w:rFonts w:eastAsia="MS Mincho" w:cs="Arial"/>
              </w:rPr>
              <w:tab/>
            </w:r>
            <w:r>
              <w:rPr>
                <w:rFonts w:eastAsia="MS Mincho" w:cs="Arial"/>
              </w:rPr>
              <w:t>For DL category M1 UE, the reference sensitivity for category M1 in table 7.3A-1 should be used as REFSENS for the power in Transmission Bandwidth Configuration.</w:t>
            </w:r>
          </w:p>
          <w:p>
            <w:pPr>
              <w:pStyle w:val="118"/>
              <w:rPr>
                <w:rFonts w:eastAsia="MS Mincho" w:cs="Arial"/>
                <w:color w:val="000000" w:themeColor="text1"/>
                <w14:textFill>
                  <w14:solidFill>
                    <w14:schemeClr w14:val="tx1"/>
                  </w14:solidFill>
                </w14:textFill>
              </w:rPr>
            </w:pPr>
            <w:r>
              <w:rPr>
                <w:rFonts w:eastAsia="MS Mincho" w:cs="Arial"/>
              </w:rPr>
              <w:t>NOTE 4:</w:t>
            </w:r>
            <w:r>
              <w:rPr>
                <w:rFonts w:eastAsia="MS Mincho" w:cs="Arial"/>
              </w:rPr>
              <w:tab/>
            </w:r>
            <w:r>
              <w:rPr>
                <w:rFonts w:cs="Arial"/>
              </w:rPr>
              <w:t>For DL category M1 UE, the parameters for the applicable channel bandwidth apply.</w:t>
            </w:r>
          </w:p>
        </w:tc>
      </w:tr>
    </w:tbl>
    <w:p>
      <w:pPr>
        <w:rPr>
          <w:rFonts w:eastAsiaTheme="minorEastAsia"/>
          <w:lang w:eastAsia="zh-TW"/>
        </w:rPr>
      </w:pPr>
    </w:p>
    <w:p>
      <w:pPr>
        <w:pStyle w:val="113"/>
      </w:pPr>
      <w:r>
        <w:t>Table 7.6A.2.5-2: In-band blocking</w:t>
      </w:r>
    </w:p>
    <w:tbl>
      <w:tblPr>
        <w:tblStyle w:val="89"/>
        <w:tblW w:w="920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00"/>
        <w:gridCol w:w="1134"/>
        <w:gridCol w:w="724"/>
        <w:gridCol w:w="3074"/>
        <w:gridCol w:w="30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restart"/>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E-UTRA band</w:t>
            </w:r>
          </w:p>
        </w:tc>
        <w:tc>
          <w:tcPr>
            <w:tcW w:w="113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Parameter</w:t>
            </w:r>
          </w:p>
        </w:tc>
        <w:tc>
          <w:tcPr>
            <w:tcW w:w="72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Unit</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1</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-56</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-44</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r>
              <w:rPr>
                <w:rFonts w:cs="Arial"/>
                <w:color w:val="000000" w:themeColor="text1"/>
                <w14:textFill>
                  <w14:solidFill>
                    <w14:schemeClr w14:val="tx1"/>
                  </w14:solidFill>
                </w14:textFill>
              </w:rPr>
              <w:t xml:space="preserve"> (offset)</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30"/>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30"/>
              <w:rPr>
                <w:rFonts w:cs="Arial"/>
                <w:color w:val="000000" w:themeColor="text1"/>
                <w:vertAlign w:val="subscript"/>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256, 255</w:t>
            </w: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(NOTE 2)</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DL_low </w:t>
            </w:r>
            <w:r>
              <w:rPr>
                <w:rFonts w:cs="Arial"/>
                <w:color w:val="000000" w:themeColor="text1"/>
                <w14:textFill>
                  <w14:solidFill>
                    <w14:schemeClr w14:val="tx1"/>
                  </w14:solidFill>
                </w14:textFill>
              </w:rPr>
              <w:t>– 15</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to</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DL_high </w:t>
            </w:r>
            <w:r>
              <w:rPr>
                <w:rFonts w:cs="Arial"/>
                <w:color w:val="000000" w:themeColor="text1"/>
                <w14:textFill>
                  <w14:solidFill>
                    <w14:schemeClr w14:val="tx1"/>
                  </w14:solidFill>
                </w14:textFill>
              </w:rPr>
              <w:t>+ 15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9206" w:type="dxa"/>
            <w:gridSpan w:val="5"/>
            <w:tcBorders>
              <w:top w:val="single" w:color="000000" w:sz="6" w:space="0"/>
              <w:left w:val="single" w:color="000000" w:sz="6" w:space="0"/>
              <w:bottom w:val="single" w:color="000000" w:sz="6" w:space="0"/>
              <w:right w:val="single" w:color="000000" w:sz="6" w:space="0"/>
            </w:tcBorders>
            <w:vAlign w:val="center"/>
          </w:tcPr>
          <w:p>
            <w:pPr>
              <w:pStyle w:val="118"/>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pPr>
              <w:pStyle w:val="118"/>
              <w:rPr>
                <w:rFonts w:eastAsia="MS Mincho" w:cs="Arial"/>
              </w:rPr>
            </w:pPr>
            <w:r>
              <w:rPr>
                <w:rFonts w:cs="Arial"/>
              </w:rPr>
              <w:t>NOTE 2:</w:t>
            </w:r>
            <w:r>
              <w:rPr>
                <w:rFonts w:cs="Arial"/>
              </w:rPr>
              <w:tab/>
            </w:r>
            <w:r>
              <w:rPr>
                <w:rFonts w:eastAsia="MS Mincho" w:cs="Arial"/>
              </w:rPr>
              <w:t>For each carrier frequency the requirement is valid for two frequencies:</w:t>
            </w:r>
          </w:p>
          <w:p>
            <w:pPr>
              <w:pStyle w:val="118"/>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pPr>
              <w:pStyle w:val="118"/>
              <w:ind w:left="1987"/>
              <w:rPr>
                <w:rFonts w:eastAsia="MS Mincho" w:cs="Arial"/>
              </w:rPr>
            </w:pPr>
            <w:r>
              <w:rPr>
                <w:rFonts w:eastAsia="MS Mincho" w:cs="Arial"/>
              </w:rPr>
              <w:t>b. the carrier frequency +BW/2 + F</w:t>
            </w:r>
            <w:r>
              <w:rPr>
                <w:rFonts w:eastAsia="MS Mincho" w:cs="Arial"/>
                <w:vertAlign w:val="subscript"/>
              </w:rPr>
              <w:t>Ioffset, case 1</w:t>
            </w:r>
          </w:p>
          <w:p>
            <w:pPr>
              <w:pStyle w:val="105"/>
              <w:jc w:val="left"/>
              <w:rPr>
                <w:rFonts w:cs="Arial" w:eastAsiaTheme="minorEastAsia"/>
                <w:color w:val="000000" w:themeColor="text1"/>
                <w14:textFill>
                  <w14:solidFill>
                    <w14:schemeClr w14:val="tx1"/>
                  </w14:solidFill>
                </w14:textFill>
              </w:rPr>
            </w:pPr>
            <w:r>
              <w:rPr>
                <w:rFonts w:cs="Arial"/>
              </w:rPr>
              <w:t>NOTE 3:</w:t>
            </w:r>
            <w:r>
              <w:rPr>
                <w:rFonts w:cs="Arial"/>
              </w:rPr>
              <w:tab/>
            </w:r>
            <w:r>
              <w:rPr>
                <w:rFonts w:cs="Arial"/>
              </w:rPr>
              <w:t>F</w:t>
            </w:r>
            <w:r>
              <w:rPr>
                <w:rFonts w:cs="Arial"/>
                <w:vertAlign w:val="subscript"/>
              </w:rPr>
              <w:t>Interferer</w:t>
            </w:r>
            <w:r>
              <w:rPr>
                <w:rFonts w:cs="Arial"/>
              </w:rPr>
              <w:t xml:space="preserve"> range values for unwanted modulated interfering signal are interferer center frequencies </w:t>
            </w:r>
          </w:p>
        </w:tc>
      </w:tr>
    </w:tbl>
    <w:p>
      <w:pPr>
        <w:rPr>
          <w:lang w:eastAsia="zh-TW"/>
        </w:rPr>
      </w:pPr>
    </w:p>
    <w:p>
      <w:pPr>
        <w:pStyle w:val="5"/>
      </w:pPr>
      <w:bookmarkStart w:id="1328" w:name="_Toc10706"/>
      <w:bookmarkStart w:id="1329" w:name="_Toc14752"/>
      <w:bookmarkStart w:id="1330" w:name="_Toc2049"/>
      <w:bookmarkStart w:id="1331" w:name="_Toc120570104"/>
      <w:bookmarkStart w:id="1332" w:name="_Toc10609"/>
      <w:bookmarkStart w:id="1333" w:name="_Toc21242"/>
      <w:bookmarkStart w:id="1334" w:name="_Toc121162896"/>
      <w:bookmarkStart w:id="1335" w:name="_Toc18682"/>
      <w:bookmarkStart w:id="1336" w:name="_Toc20931"/>
      <w:r>
        <w:t>7.6A.3</w:t>
      </w:r>
      <w:r>
        <w:tab/>
      </w:r>
      <w:r>
        <w:t>Out-of-band blocking for category M1</w:t>
      </w:r>
      <w:bookmarkEnd w:id="1328"/>
      <w:bookmarkEnd w:id="1329"/>
      <w:bookmarkEnd w:id="1330"/>
      <w:bookmarkEnd w:id="1331"/>
      <w:bookmarkEnd w:id="1332"/>
      <w:bookmarkEnd w:id="1333"/>
      <w:bookmarkEnd w:id="1334"/>
      <w:bookmarkEnd w:id="1335"/>
      <w:bookmarkEnd w:id="1336"/>
    </w:p>
    <w:p>
      <w:pPr>
        <w:pStyle w:val="112"/>
        <w:rPr>
          <w:i w:val="0"/>
          <w:iCs w:val="0"/>
          <w:lang w:val="en-GB"/>
        </w:rPr>
      </w:pPr>
      <w:r>
        <w:t>Editor’s Note: Addition to applicability spec is pending.</w:t>
      </w:r>
    </w:p>
    <w:p>
      <w:pPr>
        <w:pStyle w:val="9"/>
      </w:pPr>
      <w:r>
        <w:t>7.6A.3.1</w:t>
      </w:r>
      <w:r>
        <w:tab/>
      </w:r>
      <w:r>
        <w:t>Test Purpose</w:t>
      </w:r>
    </w:p>
    <w:p>
      <w:r>
        <w:t>Out-of-band band blocking is defined for an unwanted CW interfering signal falling more than 15 MHz below or above the</w:t>
      </w:r>
      <w:r>
        <w:rPr>
          <w:rFonts w:eastAsia="??"/>
        </w:rPr>
        <w:t xml:space="preserve"> </w:t>
      </w:r>
      <w:r>
        <w:rPr>
          <w:lang w:eastAsia="ko-KR"/>
        </w:rPr>
        <w:t xml:space="preserve">category M1 </w:t>
      </w:r>
      <w:r>
        <w:rPr>
          <w:rFonts w:eastAsia="??"/>
        </w:rPr>
        <w:t>UE</w:t>
      </w:r>
      <w:r>
        <w:t xml:space="preserve"> receive band, at which a given average throughput shall meet or exceed the requirement for the specified measurement channels.</w:t>
      </w:r>
    </w:p>
    <w:p>
      <w:r>
        <w:t xml:space="preserve">For the first 15 MHz below or above the </w:t>
      </w:r>
      <w:r>
        <w:rPr>
          <w:rFonts w:eastAsia="??"/>
        </w:rPr>
        <w:t xml:space="preserve">UE </w:t>
      </w:r>
      <w:r>
        <w:t>receive band the appropriate in-band blocking or adjacent channel selectivity in sub-clause 7.5A and sub-clause 7.6A.2 shall be applied.</w:t>
      </w:r>
    </w:p>
    <w:p>
      <w:r>
        <w:t>The lack of out-of-band blocking ability will decrease the coverage area when other e-NodeB transmitters exist (except in the adjacent channels and spurious response).</w:t>
      </w:r>
    </w:p>
    <w:p>
      <w:pPr>
        <w:pStyle w:val="9"/>
      </w:pPr>
      <w:r>
        <w:t>7.6A.3.2</w:t>
      </w:r>
      <w:r>
        <w:tab/>
      </w:r>
      <w:r>
        <w:t>Test Applicability</w:t>
      </w:r>
    </w:p>
    <w:p>
      <w:r>
        <w:t>This test case applies to all types of E-UTRA UE release 17 and forward of category M1</w:t>
      </w:r>
      <w:r>
        <w:rPr>
          <w:rFonts w:ascii="宋体" w:hAnsi="宋体" w:cs="宋体"/>
          <w:lang w:eastAsia="zh-TW"/>
        </w:rPr>
        <w:t xml:space="preserve"> </w:t>
      </w:r>
      <w:r>
        <w:t>that support satellite access operation.</w:t>
      </w:r>
    </w:p>
    <w:p>
      <w:pPr>
        <w:pStyle w:val="9"/>
      </w:pPr>
      <w:r>
        <w:t>7.6A.3.3</w:t>
      </w:r>
      <w:r>
        <w:tab/>
      </w:r>
      <w:r>
        <w:t>Minimum Conformance Requirements</w:t>
      </w:r>
    </w:p>
    <w:p>
      <w:r>
        <w:rPr>
          <w:rFonts w:eastAsia="Times New Roman"/>
        </w:rPr>
        <w:t>Out-of-band band blocking is defined for an</w:t>
      </w:r>
      <w:r>
        <w:t xml:space="preserve"> unwanted CW interfering signal falling more than 15 MHz below or above the UE receive band. For the first 15 MHz below or above the UE receive band the appropriate in-band blocking or adjacent channel selectivity in subclause 7.5A and subclause 7.6A.2 shall be applied.</w:t>
      </w:r>
    </w:p>
    <w:p>
      <w: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7.6A.3-1 and 7.6A.3-2.</w:t>
      </w:r>
    </w:p>
    <w:p>
      <w:pPr>
        <w:pStyle w:val="113"/>
      </w:pPr>
      <w:r>
        <w:t>Table 7.6A.3-1: Out-of-band blocking parameters for category M1 UE</w:t>
      </w:r>
    </w:p>
    <w:tbl>
      <w:tblPr>
        <w:tblStyle w:val="89"/>
        <w:tblW w:w="45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7"/>
        <w:gridCol w:w="908"/>
        <w:gridCol w:w="2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7" w:type="dxa"/>
            <w:tcBorders>
              <w:top w:val="single" w:color="auto" w:sz="4" w:space="0"/>
              <w:left w:val="single" w:color="auto" w:sz="4" w:space="0"/>
              <w:bottom w:val="nil"/>
              <w:right w:val="single" w:color="auto" w:sz="4" w:space="0"/>
            </w:tcBorders>
            <w:vAlign w:val="center"/>
          </w:tcPr>
          <w:p>
            <w:pPr>
              <w:pStyle w:val="104"/>
            </w:pPr>
            <w:r>
              <w:t>RX parameter</w:t>
            </w:r>
          </w:p>
        </w:tc>
        <w:tc>
          <w:tcPr>
            <w:tcW w:w="908" w:type="dxa"/>
            <w:tcBorders>
              <w:top w:val="single" w:color="auto" w:sz="4" w:space="0"/>
              <w:left w:val="single" w:color="auto" w:sz="4" w:space="0"/>
              <w:bottom w:val="nil"/>
              <w:right w:val="single" w:color="auto" w:sz="4" w:space="0"/>
            </w:tcBorders>
            <w:vAlign w:val="center"/>
          </w:tcPr>
          <w:p>
            <w:pPr>
              <w:pStyle w:val="104"/>
            </w:pPr>
            <w:r>
              <w:t>Units</w:t>
            </w:r>
          </w:p>
        </w:tc>
        <w:tc>
          <w:tcPr>
            <w:tcW w:w="2171" w:type="dxa"/>
            <w:tcBorders>
              <w:top w:val="single" w:color="auto" w:sz="4" w:space="0"/>
              <w:left w:val="single" w:color="auto" w:sz="4" w:space="0"/>
              <w:bottom w:val="single" w:color="auto" w:sz="4" w:space="0"/>
              <w:right w:val="single" w:color="auto" w:sz="4" w:space="0"/>
            </w:tcBorders>
            <w:vAlign w:val="center"/>
          </w:tcPr>
          <w:p>
            <w:pPr>
              <w:pStyle w:val="104"/>
            </w:pPr>
            <w:r>
              <w:t>Channel bandwidth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7" w:type="dxa"/>
            <w:tcBorders>
              <w:top w:val="nil"/>
              <w:left w:val="single" w:color="auto" w:sz="4" w:space="0"/>
              <w:bottom w:val="single" w:color="auto" w:sz="4" w:space="0"/>
              <w:right w:val="single" w:color="auto" w:sz="4" w:space="0"/>
            </w:tcBorders>
            <w:vAlign w:val="center"/>
          </w:tcPr>
          <w:p>
            <w:pPr>
              <w:pStyle w:val="104"/>
            </w:pPr>
          </w:p>
        </w:tc>
        <w:tc>
          <w:tcPr>
            <w:tcW w:w="908" w:type="dxa"/>
            <w:tcBorders>
              <w:top w:val="nil"/>
              <w:left w:val="single" w:color="auto" w:sz="4" w:space="0"/>
              <w:bottom w:val="single" w:color="auto" w:sz="4" w:space="0"/>
              <w:right w:val="single" w:color="auto" w:sz="4" w:space="0"/>
            </w:tcBorders>
            <w:vAlign w:val="center"/>
          </w:tcPr>
          <w:p>
            <w:pPr>
              <w:pStyle w:val="104"/>
            </w:pPr>
          </w:p>
        </w:tc>
        <w:tc>
          <w:tcPr>
            <w:tcW w:w="2171" w:type="dxa"/>
            <w:tcBorders>
              <w:top w:val="single" w:color="auto" w:sz="4" w:space="0"/>
              <w:left w:val="single" w:color="auto" w:sz="4" w:space="0"/>
              <w:bottom w:val="single" w:color="auto" w:sz="4" w:space="0"/>
              <w:right w:val="single" w:color="auto" w:sz="4" w:space="0"/>
            </w:tcBorders>
            <w:vAlign w:val="center"/>
          </w:tcPr>
          <w:p>
            <w:pPr>
              <w:pStyle w:val="104"/>
            </w:pPr>
            <w: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7" w:type="dxa"/>
            <w:tcBorders>
              <w:top w:val="single" w:color="auto" w:sz="4" w:space="0"/>
              <w:left w:val="single" w:color="auto" w:sz="4" w:space="0"/>
              <w:bottom w:val="single" w:color="auto" w:sz="4" w:space="0"/>
              <w:right w:val="single" w:color="auto" w:sz="4" w:space="0"/>
            </w:tcBorders>
            <w:vAlign w:val="center"/>
          </w:tcPr>
          <w:p>
            <w:pPr>
              <w:pStyle w:val="105"/>
            </w:pPr>
            <w:r>
              <w:t>Power in transmission bandwidth configuration</w:t>
            </w:r>
          </w:p>
        </w:tc>
        <w:tc>
          <w:tcPr>
            <w:tcW w:w="908" w:type="dxa"/>
            <w:tcBorders>
              <w:top w:val="single" w:color="auto" w:sz="4" w:space="0"/>
              <w:left w:val="single" w:color="auto" w:sz="4" w:space="0"/>
              <w:bottom w:val="single" w:color="auto" w:sz="4" w:space="0"/>
              <w:right w:val="single" w:color="auto" w:sz="4" w:space="0"/>
            </w:tcBorders>
            <w:vAlign w:val="center"/>
          </w:tcPr>
          <w:p>
            <w:pPr>
              <w:pStyle w:val="105"/>
            </w:pPr>
            <w:r>
              <w:t>dBm</w:t>
            </w:r>
          </w:p>
        </w:tc>
        <w:tc>
          <w:tcPr>
            <w:tcW w:w="2171" w:type="dxa"/>
            <w:tcBorders>
              <w:top w:val="single" w:color="auto" w:sz="4" w:space="0"/>
              <w:left w:val="single" w:color="auto" w:sz="4" w:space="0"/>
              <w:bottom w:val="single" w:color="auto" w:sz="4" w:space="0"/>
              <w:right w:val="single" w:color="auto" w:sz="4" w:space="0"/>
            </w:tcBorders>
            <w:vAlign w:val="center"/>
          </w:tcPr>
          <w:p>
            <w:pPr>
              <w:pStyle w:val="105"/>
            </w:pPr>
            <w: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66" w:type="dxa"/>
            <w:gridSpan w:val="3"/>
            <w:tcBorders>
              <w:top w:val="single" w:color="auto" w:sz="4" w:space="0"/>
              <w:left w:val="single" w:color="auto" w:sz="4" w:space="0"/>
              <w:bottom w:val="single" w:color="auto" w:sz="4" w:space="0"/>
              <w:right w:val="single" w:color="auto" w:sz="4" w:space="0"/>
            </w:tcBorders>
            <w:vAlign w:val="center"/>
          </w:tcPr>
          <w:p>
            <w:pPr>
              <w:pStyle w:val="118"/>
              <w:rPr>
                <w:rFonts w:eastAsia="MS Mincho"/>
              </w:rPr>
            </w:pPr>
            <w:r>
              <w:rPr>
                <w:rFonts w:eastAsia="MS Mincho"/>
              </w:rPr>
              <w:t>NOTE 1:</w:t>
            </w:r>
            <w:r>
              <w:rPr>
                <w:rFonts w:eastAsia="MS Mincho"/>
              </w:rPr>
              <w:tab/>
            </w:r>
            <w:r>
              <w:rPr>
                <w:rFonts w:eastAsia="MS Mincho"/>
              </w:rPr>
              <w:t xml:space="preserve">The transmitter shall be set to 4dB below </w:t>
            </w:r>
            <w:r>
              <w:t>P</w:t>
            </w:r>
            <w:r>
              <w:rPr>
                <w:sz w:val="12"/>
                <w:szCs w:val="12"/>
              </w:rPr>
              <w:t>CMAX_L</w:t>
            </w:r>
            <w:r>
              <w:rPr>
                <w:rFonts w:eastAsia="MS Mincho"/>
              </w:rPr>
              <w:t xml:space="preserve"> at the minimum uplink configuration specified in Table 7.3.1-2 in TS 36.101 [7] with </w:t>
            </w:r>
            <w:r>
              <w:t>P</w:t>
            </w:r>
            <w:r>
              <w:rPr>
                <w:sz w:val="12"/>
                <w:szCs w:val="12"/>
              </w:rPr>
              <w:t>CMAX_L</w:t>
            </w:r>
            <w:r>
              <w:rPr>
                <w:rFonts w:eastAsia="MS Mincho"/>
              </w:rPr>
              <w:t xml:space="preserve"> as defined in subclause 6.2.5.</w:t>
            </w:r>
          </w:p>
        </w:tc>
      </w:tr>
    </w:tbl>
    <w:p/>
    <w:p>
      <w:pPr>
        <w:pStyle w:val="113"/>
      </w:pPr>
      <w:r>
        <w:t>Table 7.6A.3-2: Out of-band blocking for category M1 UE</w:t>
      </w:r>
    </w:p>
    <w:tbl>
      <w:tblPr>
        <w:tblStyle w:val="89"/>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6"/>
        <w:gridCol w:w="1488"/>
        <w:gridCol w:w="799"/>
        <w:gridCol w:w="1939"/>
        <w:gridCol w:w="1939"/>
        <w:gridCol w:w="1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4"/>
            </w:pPr>
            <w:r>
              <w:rPr>
                <w:lang w:val="en-US"/>
              </w:rPr>
              <w:t>Operating Band</w:t>
            </w:r>
          </w:p>
        </w:tc>
        <w:tc>
          <w:tcPr>
            <w:tcW w:w="1488" w:type="dxa"/>
            <w:tcBorders>
              <w:top w:val="single" w:color="auto" w:sz="4" w:space="0"/>
              <w:left w:val="single" w:color="auto" w:sz="4" w:space="0"/>
              <w:bottom w:val="single" w:color="auto" w:sz="4" w:space="0"/>
              <w:right w:val="single" w:color="auto" w:sz="4" w:space="0"/>
            </w:tcBorders>
          </w:tcPr>
          <w:p>
            <w:pPr>
              <w:pStyle w:val="104"/>
            </w:pPr>
            <w:r>
              <w:t>Parameter</w:t>
            </w:r>
          </w:p>
        </w:tc>
        <w:tc>
          <w:tcPr>
            <w:tcW w:w="799" w:type="dxa"/>
            <w:tcBorders>
              <w:top w:val="single" w:color="auto" w:sz="4" w:space="0"/>
              <w:left w:val="single" w:color="auto" w:sz="4" w:space="0"/>
              <w:bottom w:val="single" w:color="auto" w:sz="4" w:space="0"/>
              <w:right w:val="single" w:color="auto" w:sz="4" w:space="0"/>
            </w:tcBorders>
          </w:tcPr>
          <w:p>
            <w:pPr>
              <w:pStyle w:val="104"/>
            </w:pPr>
            <w:r>
              <w:t>Unit</w:t>
            </w:r>
          </w:p>
        </w:tc>
        <w:tc>
          <w:tcPr>
            <w:tcW w:w="1939" w:type="dxa"/>
            <w:tcBorders>
              <w:top w:val="single" w:color="auto" w:sz="4" w:space="0"/>
              <w:left w:val="single" w:color="auto" w:sz="4" w:space="0"/>
              <w:bottom w:val="single" w:color="auto" w:sz="4" w:space="0"/>
              <w:right w:val="single" w:color="auto" w:sz="4" w:space="0"/>
            </w:tcBorders>
          </w:tcPr>
          <w:p>
            <w:pPr>
              <w:pStyle w:val="104"/>
            </w:pPr>
            <w:r>
              <w:t>Range 1</w:t>
            </w:r>
          </w:p>
        </w:tc>
        <w:tc>
          <w:tcPr>
            <w:tcW w:w="1939" w:type="dxa"/>
            <w:tcBorders>
              <w:top w:val="single" w:color="auto" w:sz="4" w:space="0"/>
              <w:left w:val="single" w:color="auto" w:sz="4" w:space="0"/>
              <w:bottom w:val="single" w:color="auto" w:sz="4" w:space="0"/>
              <w:right w:val="single" w:color="auto" w:sz="4" w:space="0"/>
            </w:tcBorders>
          </w:tcPr>
          <w:p>
            <w:pPr>
              <w:pStyle w:val="104"/>
            </w:pPr>
            <w:r>
              <w:t>Range 2</w:t>
            </w:r>
          </w:p>
        </w:tc>
        <w:tc>
          <w:tcPr>
            <w:tcW w:w="1939" w:type="dxa"/>
            <w:tcBorders>
              <w:top w:val="single" w:color="auto" w:sz="4" w:space="0"/>
              <w:left w:val="single" w:color="auto" w:sz="4" w:space="0"/>
              <w:bottom w:val="single" w:color="auto" w:sz="4" w:space="0"/>
              <w:right w:val="single" w:color="auto" w:sz="4" w:space="0"/>
            </w:tcBorders>
          </w:tcPr>
          <w:p>
            <w:pPr>
              <w:pStyle w:val="104"/>
            </w:pPr>
            <w:r>
              <w:t>Range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P</w:t>
            </w:r>
            <w:r>
              <w:rPr>
                <w:vertAlign w:val="subscript"/>
                <w:lang w:val="sv-SE"/>
              </w:rPr>
              <w:t>interferer</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dBm</w:t>
            </w:r>
          </w:p>
        </w:tc>
        <w:tc>
          <w:tcPr>
            <w:tcW w:w="1939" w:type="dxa"/>
            <w:tcBorders>
              <w:top w:val="single" w:color="auto" w:sz="4" w:space="0"/>
              <w:left w:val="single" w:color="auto" w:sz="4" w:space="0"/>
              <w:bottom w:val="single" w:color="auto" w:sz="4" w:space="0"/>
              <w:right w:val="single" w:color="auto" w:sz="4" w:space="0"/>
            </w:tcBorders>
          </w:tcPr>
          <w:p>
            <w:pPr>
              <w:pStyle w:val="105"/>
            </w:pPr>
            <w:r>
              <w:t>-44</w:t>
            </w:r>
          </w:p>
        </w:tc>
        <w:tc>
          <w:tcPr>
            <w:tcW w:w="1939" w:type="dxa"/>
            <w:tcBorders>
              <w:top w:val="single" w:color="auto" w:sz="4" w:space="0"/>
              <w:left w:val="single" w:color="auto" w:sz="4" w:space="0"/>
              <w:bottom w:val="single" w:color="auto" w:sz="4" w:space="0"/>
              <w:right w:val="single" w:color="auto" w:sz="4" w:space="0"/>
            </w:tcBorders>
          </w:tcPr>
          <w:p>
            <w:pPr>
              <w:pStyle w:val="105"/>
            </w:pPr>
            <w:r>
              <w:t>-30</w:t>
            </w:r>
          </w:p>
        </w:tc>
        <w:tc>
          <w:tcPr>
            <w:tcW w:w="1939"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r>
              <w:t>255</w:t>
            </w: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F</w:t>
            </w:r>
            <w:r>
              <w:rPr>
                <w:vertAlign w:val="subscript"/>
                <w:lang w:val="sv-SE"/>
              </w:rPr>
              <w:t>interferer</w:t>
            </w:r>
            <w:r>
              <w:rPr>
                <w:lang w:val="sv-SE"/>
              </w:rPr>
              <w:t xml:space="preserve"> (C`W)</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MHz</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-60 &lt; f – F</w:t>
            </w:r>
            <w:r>
              <w:rPr>
                <w:rFonts w:cs="Arial"/>
                <w:vertAlign w:val="subscript"/>
              </w:rPr>
              <w:t>DL_low</w:t>
            </w:r>
            <w:r>
              <w:rPr>
                <w:rFonts w:cs="Arial"/>
              </w:rPr>
              <w:t xml:space="preserve"> &lt; -15</w:t>
            </w:r>
          </w:p>
          <w:p>
            <w:pPr>
              <w:pStyle w:val="105"/>
              <w:rPr>
                <w:rFonts w:cs="Arial"/>
              </w:rPr>
            </w:pPr>
            <w:r>
              <w:rPr>
                <w:rFonts w:cs="Arial"/>
              </w:rPr>
              <w:t>or</w:t>
            </w:r>
          </w:p>
          <w:p>
            <w:pPr>
              <w:pStyle w:val="105"/>
              <w:rPr>
                <w:rFonts w:cs="Arial"/>
              </w:rPr>
            </w:pPr>
            <w:r>
              <w:rPr>
                <w:rFonts w:cs="Arial"/>
              </w:rPr>
              <w:t>15 &lt; f – F</w:t>
            </w:r>
            <w:r>
              <w:rPr>
                <w:rFonts w:cs="Arial"/>
                <w:vertAlign w:val="subscript"/>
              </w:rPr>
              <w:t>DL_high</w:t>
            </w:r>
            <w:r>
              <w:rPr>
                <w:rFonts w:cs="Arial"/>
              </w:rPr>
              <w:t xml:space="preserve"> &lt; 60</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-85 &lt; f – F</w:t>
            </w:r>
            <w:r>
              <w:rPr>
                <w:rFonts w:cs="Arial"/>
                <w:vertAlign w:val="subscript"/>
              </w:rPr>
              <w:t>DL_low</w:t>
            </w:r>
            <w:r>
              <w:rPr>
                <w:rFonts w:cs="Arial"/>
              </w:rPr>
              <w:t xml:space="preserve"> ≤ -60</w:t>
            </w:r>
          </w:p>
          <w:p>
            <w:pPr>
              <w:pStyle w:val="105"/>
              <w:rPr>
                <w:rFonts w:cs="Arial"/>
              </w:rPr>
            </w:pPr>
            <w:r>
              <w:rPr>
                <w:rFonts w:cs="Arial"/>
              </w:rPr>
              <w:t>or</w:t>
            </w:r>
          </w:p>
          <w:p>
            <w:pPr>
              <w:pStyle w:val="105"/>
              <w:rPr>
                <w:rFonts w:cs="Arial"/>
              </w:rPr>
            </w:pPr>
            <w:r>
              <w:rPr>
                <w:rFonts w:cs="Arial"/>
              </w:rPr>
              <w:t>60 ≤ f – F</w:t>
            </w:r>
            <w:r>
              <w:rPr>
                <w:rFonts w:cs="Arial"/>
                <w:vertAlign w:val="subscript"/>
              </w:rPr>
              <w:t>DL_high</w:t>
            </w:r>
            <w:r>
              <w:rPr>
                <w:rFonts w:cs="Arial"/>
              </w:rPr>
              <w:t xml:space="preserve"> &lt; 85</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 ≤ f ≤ F</w:t>
            </w:r>
            <w:r>
              <w:rPr>
                <w:rFonts w:cs="Arial"/>
                <w:vertAlign w:val="subscript"/>
              </w:rPr>
              <w:t>DL_low</w:t>
            </w:r>
            <w:r>
              <w:rPr>
                <w:rFonts w:cs="Arial"/>
              </w:rPr>
              <w:t xml:space="preserve"> – 85</w:t>
            </w:r>
          </w:p>
          <w:p>
            <w:pPr>
              <w:pStyle w:val="105"/>
              <w:rPr>
                <w:rFonts w:cs="Arial"/>
              </w:rPr>
            </w:pPr>
            <w:r>
              <w:rPr>
                <w:rFonts w:cs="Arial"/>
              </w:rPr>
              <w:t>or</w:t>
            </w:r>
          </w:p>
          <w:p>
            <w:pPr>
              <w:pStyle w:val="105"/>
              <w:rPr>
                <w:rFonts w:cs="Arial"/>
              </w:rPr>
            </w:pPr>
            <w:r>
              <w:rPr>
                <w:rFonts w:cs="Arial"/>
              </w:rPr>
              <w:t>F</w:t>
            </w:r>
            <w:r>
              <w:rPr>
                <w:rFonts w:cs="Arial"/>
                <w:vertAlign w:val="subscript"/>
              </w:rPr>
              <w:t>DL_high</w:t>
            </w:r>
            <w:r>
              <w:rPr>
                <w:rFonts w:cs="Arial"/>
              </w:rPr>
              <w:t xml:space="preserve"> + 85 ≤ f</w:t>
            </w:r>
          </w:p>
          <w:p>
            <w:pPr>
              <w:pStyle w:val="105"/>
              <w:rPr>
                <w:rFonts w:cs="Arial"/>
              </w:rPr>
            </w:pPr>
            <w:r>
              <w:rPr>
                <w:rFonts w:cs="Arial"/>
              </w:rPr>
              <w:t>≤ 12750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r>
              <w:t>256</w:t>
            </w:r>
            <w:r>
              <w:rPr>
                <w:vertAlign w:val="superscript"/>
              </w:rPr>
              <w:t>1</w:t>
            </w: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F</w:t>
            </w:r>
            <w:r>
              <w:rPr>
                <w:vertAlign w:val="subscript"/>
                <w:lang w:val="sv-SE"/>
              </w:rPr>
              <w:t>interferer</w:t>
            </w:r>
            <w:r>
              <w:rPr>
                <w:lang w:val="sv-SE"/>
              </w:rPr>
              <w:t xml:space="preserve"> (CW)</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MHz</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-100 &lt; f – F</w:t>
            </w:r>
            <w:r>
              <w:rPr>
                <w:rFonts w:cs="Arial"/>
                <w:vertAlign w:val="subscript"/>
              </w:rPr>
              <w:t>DL_low</w:t>
            </w:r>
            <w:r>
              <w:rPr>
                <w:rFonts w:cs="Arial"/>
              </w:rPr>
              <w:t xml:space="preserve"> &lt; -15</w:t>
            </w:r>
          </w:p>
          <w:p>
            <w:pPr>
              <w:pStyle w:val="105"/>
              <w:rPr>
                <w:rFonts w:cs="Arial"/>
              </w:rPr>
            </w:pPr>
            <w:r>
              <w:rPr>
                <w:rFonts w:cs="Arial"/>
              </w:rPr>
              <w:t>or</w:t>
            </w:r>
          </w:p>
          <w:p>
            <w:pPr>
              <w:pStyle w:val="105"/>
              <w:rPr>
                <w:rFonts w:cs="Arial"/>
              </w:rPr>
            </w:pPr>
            <w:r>
              <w:rPr>
                <w:rFonts w:cs="Arial"/>
              </w:rPr>
              <w:t>15 &lt; f – F</w:t>
            </w:r>
            <w:r>
              <w:rPr>
                <w:rFonts w:cs="Arial"/>
                <w:vertAlign w:val="subscript"/>
              </w:rPr>
              <w:t>DL_high</w:t>
            </w:r>
            <w:r>
              <w:rPr>
                <w:rFonts w:cs="Arial"/>
              </w:rPr>
              <w:t xml:space="preserve"> &lt; 60</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-145 &lt; f – F</w:t>
            </w:r>
            <w:r>
              <w:rPr>
                <w:rFonts w:cs="Arial"/>
                <w:vertAlign w:val="subscript"/>
              </w:rPr>
              <w:t>DL_low</w:t>
            </w:r>
            <w:r>
              <w:rPr>
                <w:rFonts w:cs="Arial"/>
              </w:rPr>
              <w:t xml:space="preserve"> ≤ -100</w:t>
            </w:r>
          </w:p>
          <w:p>
            <w:pPr>
              <w:pStyle w:val="105"/>
              <w:rPr>
                <w:rFonts w:cs="Arial"/>
              </w:rPr>
            </w:pPr>
            <w:r>
              <w:rPr>
                <w:rFonts w:cs="Arial"/>
              </w:rPr>
              <w:t>or</w:t>
            </w:r>
          </w:p>
          <w:p>
            <w:pPr>
              <w:pStyle w:val="105"/>
              <w:rPr>
                <w:rFonts w:cs="Arial"/>
              </w:rPr>
            </w:pPr>
            <w:r>
              <w:rPr>
                <w:rFonts w:cs="Arial"/>
              </w:rPr>
              <w:t>60 ≤ f – F</w:t>
            </w:r>
            <w:r>
              <w:rPr>
                <w:rFonts w:cs="Arial"/>
                <w:vertAlign w:val="subscript"/>
              </w:rPr>
              <w:t>DL_high</w:t>
            </w:r>
            <w:r>
              <w:rPr>
                <w:rFonts w:cs="Arial"/>
              </w:rPr>
              <w:t xml:space="preserve"> &lt; 85</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 ≤ f ≤ F</w:t>
            </w:r>
            <w:r>
              <w:rPr>
                <w:rFonts w:cs="Arial"/>
                <w:vertAlign w:val="subscript"/>
              </w:rPr>
              <w:t>DL_low</w:t>
            </w:r>
            <w:r>
              <w:rPr>
                <w:rFonts w:cs="Arial"/>
              </w:rPr>
              <w:t xml:space="preserve"> – 145</w:t>
            </w:r>
          </w:p>
          <w:p>
            <w:pPr>
              <w:pStyle w:val="105"/>
              <w:rPr>
                <w:rFonts w:cs="Arial"/>
              </w:rPr>
            </w:pPr>
            <w:r>
              <w:rPr>
                <w:rFonts w:cs="Arial"/>
              </w:rPr>
              <w:t>or</w:t>
            </w:r>
          </w:p>
          <w:p>
            <w:pPr>
              <w:pStyle w:val="105"/>
              <w:rPr>
                <w:rFonts w:cs="Arial"/>
              </w:rPr>
            </w:pPr>
            <w:r>
              <w:rPr>
                <w:rFonts w:cs="Arial"/>
              </w:rPr>
              <w:t>F</w:t>
            </w:r>
            <w:r>
              <w:rPr>
                <w:rFonts w:cs="Arial"/>
                <w:vertAlign w:val="subscript"/>
              </w:rPr>
              <w:t>DL_high</w:t>
            </w:r>
            <w:r>
              <w:rPr>
                <w:rFonts w:cs="Arial"/>
              </w:rPr>
              <w:t xml:space="preserve"> + 85 ≤ f</w:t>
            </w:r>
          </w:p>
          <w:p>
            <w:pPr>
              <w:pStyle w:val="105"/>
              <w:rPr>
                <w:rFonts w:cs="Arial"/>
              </w:rPr>
            </w:pPr>
            <w:r>
              <w:rPr>
                <w:rFonts w:cs="Arial"/>
              </w:rPr>
              <w:t>≤ 12750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0" w:type="dxa"/>
            <w:gridSpan w:val="6"/>
            <w:tcBorders>
              <w:top w:val="single" w:color="auto" w:sz="4" w:space="0"/>
              <w:left w:val="single" w:color="auto" w:sz="4" w:space="0"/>
              <w:bottom w:val="single" w:color="auto" w:sz="4" w:space="0"/>
              <w:right w:val="single" w:color="auto" w:sz="4" w:space="0"/>
            </w:tcBorders>
          </w:tcPr>
          <w:p>
            <w:pPr>
              <w:pStyle w:val="118"/>
              <w:rPr>
                <w:lang w:val="en-US"/>
              </w:rPr>
            </w:pPr>
            <w:r>
              <w:t xml:space="preserve">NOTE </w:t>
            </w:r>
            <w:r>
              <w:rPr>
                <w:lang w:val="en-US"/>
              </w:rPr>
              <w:t>1</w:t>
            </w:r>
            <w:r>
              <w:t>:</w:t>
            </w:r>
            <w:r>
              <w:tab/>
            </w:r>
            <w:r>
              <w:rPr>
                <w:rFonts w:eastAsia="MS Mincho"/>
                <w:lang w:val="en-US"/>
              </w:rPr>
              <w:t>Band 256 lower frequency ranges are modified to enable specific implementations.</w:t>
            </w:r>
          </w:p>
        </w:tc>
      </w:tr>
    </w:tbl>
    <w:p>
      <w:pPr>
        <w:rPr>
          <w:rFonts w:eastAsia="等线"/>
        </w:rPr>
      </w:pPr>
    </w:p>
    <w:p>
      <w:r>
        <w:rPr>
          <w:rFonts w:eastAsia="Osaka"/>
        </w:rPr>
        <w:t xml:space="preserve">For Table 7.6A.3-2 in frequency range 1, 2 and 3, up to </w:t>
      </w:r>
      <w:r>
        <w:rPr>
          <w:rFonts w:eastAsia="Osaka"/>
          <w:position w:val="-16"/>
        </w:rPr>
        <w:object>
          <v:shape id="_x0000_i1078" o:spt="75" type="#_x0000_t75" style="height:20.4pt;width:107.4pt;" o:ole="t" filled="f" o:preferrelative="t" stroked="f" coordsize="21600,21600">
            <v:path/>
            <v:fill on="f" focussize="0,0"/>
            <v:stroke on="f" joinstyle="miter"/>
            <v:imagedata r:id="rId104" o:title=""/>
            <o:lock v:ext="edit" aspectratio="t"/>
            <w10:wrap type="none"/>
            <w10:anchorlock/>
          </v:shape>
          <o:OLEObject Type="Embed" ProgID="Equation.3" ShapeID="_x0000_i1078" DrawAspect="Content" ObjectID="_1468075778" r:id="rId103">
            <o:LockedField>false</o:LockedField>
          </o:OLEObject>
        </w:object>
      </w:r>
      <w:r>
        <w:rPr>
          <w:rFonts w:eastAsia="Osaka"/>
        </w:rPr>
        <w:t xml:space="preserve">exceptions are allowed for spurious response frequencies in each assigned frequency channel when measured using a 1MHz step size, where </w:t>
      </w:r>
      <w:r>
        <w:rPr>
          <w:rFonts w:eastAsia="Osaka"/>
          <w:position w:val="-10"/>
        </w:rPr>
        <w:object>
          <v:shape id="_x0000_i1079" o:spt="75" type="#_x0000_t75" style="height:13.8pt;width:20.4pt;" o:ole="t" filled="f" o:preferrelative="t" stroked="f" coordsize="21600,21600">
            <v:path/>
            <v:fill on="f" focussize="0,0"/>
            <v:stroke on="f" joinstyle="miter"/>
            <v:imagedata r:id="rId106" o:title=""/>
            <o:lock v:ext="edit" aspectratio="t"/>
            <w10:wrap type="none"/>
            <w10:anchorlock/>
          </v:shape>
          <o:OLEObject Type="Embed" ProgID="Equation.3" ShapeID="_x0000_i1079" DrawAspect="Content" ObjectID="_1468075779" r:id="rId105">
            <o:LockedField>false</o:LockedField>
          </o:OLEObject>
        </w:object>
      </w:r>
      <w:r>
        <w:rPr>
          <w:rFonts w:eastAsia="Osaka"/>
        </w:rPr>
        <w:t xml:space="preserve"> is the number of resource blocks in the downlink transmission bandwidth configuration. </w:t>
      </w:r>
      <w:r>
        <w:t>For these exceptions the requirements of subclause 7.7A spurious response are applicable.</w:t>
      </w:r>
    </w:p>
    <w:p>
      <w:r>
        <w:t>The normative reference for this requirement is TS 36.102 [11] clause 7.6A.3.</w:t>
      </w:r>
    </w:p>
    <w:p>
      <w:pPr>
        <w:pStyle w:val="9"/>
      </w:pPr>
      <w:r>
        <w:t>7.6A.3.4</w:t>
      </w:r>
      <w:r>
        <w:tab/>
      </w:r>
      <w:r>
        <w:t>Test Description</w:t>
      </w:r>
    </w:p>
    <w:p>
      <w:pPr>
        <w:pStyle w:val="9"/>
      </w:pPr>
      <w:r>
        <w:t>7.6A.3.4.1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7.6A.3.4.1-1. The details of the downlink and uplink reference measurement channels (RMCs) are specified in Annexes A.2 and A.3. The details of the OCNG patterns used are specified in Annex A.5. </w:t>
      </w:r>
      <w:r>
        <w:rPr>
          <w:rFonts w:cs="v5.0.0"/>
        </w:rPr>
        <w:t>Configurations of PDSCH and MPDCCH before measurement are specified in Annex C.2.</w:t>
      </w:r>
    </w:p>
    <w:p>
      <w:pPr>
        <w:pStyle w:val="113"/>
      </w:pPr>
      <w:r>
        <w:t>Table 7.6A.3.4.1-1: Test Configuration Table</w:t>
      </w:r>
    </w:p>
    <w:tbl>
      <w:tblPr>
        <w:tblStyle w:val="89"/>
        <w:tblW w:w="93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745"/>
        <w:gridCol w:w="1275"/>
        <w:gridCol w:w="1985"/>
        <w:gridCol w:w="18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9330"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5834"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t>N</w:t>
            </w:r>
            <w:r>
              <w:rPr>
                <w:rFonts w:hint="eastAsia"/>
              </w:rPr>
              <w:t>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TS36.508 [12] subclause 4.3.1</w:t>
            </w:r>
          </w:p>
        </w:tc>
        <w:tc>
          <w:tcPr>
            <w:tcW w:w="5834"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One frequency chosen arbitrarily from low or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Channel Bandwidths as specified in TS 36.508 [12] subclause 4.3.1</w:t>
            </w:r>
          </w:p>
        </w:tc>
        <w:tc>
          <w:tcPr>
            <w:tcW w:w="5834"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30"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w:t>
            </w:r>
            <w:r>
              <w:t xml:space="preserve"> </w:t>
            </w:r>
            <w:r>
              <w:rPr>
                <w:rFonts w:ascii="Arial" w:hAnsi="Arial"/>
                <w:b/>
                <w:sz w:val="18"/>
              </w:rPr>
              <w:t>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 ID</w:t>
            </w:r>
          </w:p>
        </w:tc>
        <w:tc>
          <w:tcPr>
            <w:tcW w:w="3075"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5089"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t>Modulation</w:t>
            </w:r>
          </w:p>
        </w:tc>
        <w:tc>
          <w:tcPr>
            <w:tcW w:w="1910"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t>Modulation</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82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cs="Arial"/>
                <w:sz w:val="18"/>
                <w:szCs w:val="18"/>
                <w:lang w:eastAsia="sv-SE"/>
              </w:rPr>
              <w:t>Narrowband index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910"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p>
        </w:tc>
        <w:tc>
          <w:tcPr>
            <w:tcW w:w="182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ko-KR"/>
              </w:rPr>
            </w:pPr>
            <w:r>
              <w:rPr>
                <w:rFonts w:ascii="Arial" w:hAnsi="Arial"/>
                <w:sz w:val="18"/>
                <w:lang w:eastAsia="ko-K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30" w:type="dxa"/>
            <w:gridSpan w:val="7"/>
            <w:tcBorders>
              <w:top w:val="single" w:color="auto" w:sz="4" w:space="0"/>
              <w:left w:val="single" w:color="auto" w:sz="4" w:space="0"/>
              <w:bottom w:val="single" w:color="auto" w:sz="4" w:space="0"/>
              <w:right w:val="single" w:color="auto" w:sz="4" w:space="0"/>
            </w:tcBorders>
          </w:tcPr>
          <w:p>
            <w:pPr>
              <w:pStyle w:val="118"/>
            </w:pPr>
            <w:r>
              <w:t>Note 1:</w:t>
            </w:r>
            <w:r>
              <w:tab/>
            </w:r>
            <w:r>
              <w:t>Denotes where in the channel Bandwidth the narrowband shall be placed. Narrowband and Narrowband index are defined in TS36.211[3], 5.2.4</w:t>
            </w:r>
            <w:r>
              <w:rPr>
                <w:lang w:eastAsia="ko-KR"/>
              </w:rPr>
              <w:t>.</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36.508[12] Annex A Figure A.</w:t>
      </w:r>
      <w:r>
        <w:rPr>
          <w:rFonts w:eastAsia="Malgun Gothic"/>
          <w:lang w:eastAsia="en-US"/>
        </w:rPr>
        <w:t>5</w:t>
      </w:r>
      <w:r>
        <w:rPr>
          <w:rFonts w:eastAsia="Malgun Gothic"/>
        </w:rPr>
        <w:t xml:space="preserve">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C.3.1, and uplink signals according to Annex H.1 and H.3.1.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UL and DL Reference Measurement channels are set according to Table 7.6A.3.4.1-1.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hint="eastAsia" w:eastAsia="Malgun Gothic"/>
        </w:rPr>
        <w:t>6.</w:t>
      </w:r>
      <w:r>
        <w:rPr>
          <w:rFonts w:hint="eastAsia" w:eastAsia="Malgun Gothic"/>
          <w:lang w:val="en-GB" w:eastAsia="en-US"/>
        </w:rPr>
        <w:tab/>
      </w:r>
      <w:r>
        <w:rPr>
          <w:rFonts w:hint="eastAsia" w:eastAsia="Malgun Gothic"/>
        </w:rPr>
        <w:t>UE location according to TS 36.508 [12] clause 5.6.1 is provided to the UE through any preconfigured means.</w:t>
      </w:r>
    </w:p>
    <w:p>
      <w:pPr>
        <w:pStyle w:val="111"/>
        <w:overflowPunct w:val="0"/>
        <w:autoSpaceDE w:val="0"/>
        <w:autoSpaceDN w:val="0"/>
        <w:adjustRightInd w:val="0"/>
        <w:contextualSpacing w:val="0"/>
        <w:textAlignment w:val="baseline"/>
        <w:rPr>
          <w:rFonts w:eastAsia="Malgun Gothic"/>
        </w:rPr>
      </w:pPr>
      <w:r>
        <w:rPr>
          <w:rFonts w:hint="eastAsia" w:eastAsia="Malgun Gothic"/>
        </w:rPr>
        <w:t>7.</w:t>
      </w:r>
      <w:r>
        <w:rPr>
          <w:rFonts w:hint="eastAsia" w:eastAsia="Malgun Gothic"/>
          <w:lang w:val="en-GB" w:eastAsia="en-US"/>
        </w:rPr>
        <w:tab/>
      </w:r>
      <w:r>
        <w:rPr>
          <w:rFonts w:hint="eastAsia" w:eastAsia="Malgun Gothic"/>
        </w:rPr>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pPr>
        <w:pStyle w:val="111"/>
        <w:overflowPunct w:val="0"/>
        <w:autoSpaceDE w:val="0"/>
        <w:autoSpaceDN w:val="0"/>
        <w:adjustRightInd w:val="0"/>
        <w:contextualSpacing w:val="0"/>
        <w:textAlignment w:val="baseline"/>
        <w:rPr>
          <w:rFonts w:eastAsia="Malgun Gothic"/>
        </w:rPr>
      </w:pPr>
      <w:r>
        <w:rPr>
          <w:rFonts w:hint="eastAsia" w:eastAsia="Malgun Gothic"/>
        </w:rPr>
        <w:t>8.</w:t>
      </w:r>
      <w:r>
        <w:rPr>
          <w:rFonts w:hint="eastAsia" w:eastAsia="Malgun Gothic"/>
          <w:lang w:val="en-GB" w:eastAsia="en-US"/>
        </w:rPr>
        <w:tab/>
      </w:r>
      <w:r>
        <w:rPr>
          <w:rFonts w:hint="eastAsia" w:eastAsia="Malgun Gothic"/>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hint="eastAsia" w:eastAsia="Malgun Gothic"/>
        </w:rPr>
        <w:t>.</w:t>
      </w:r>
      <w:r>
        <w:rPr>
          <w:rFonts w:hint="eastAsia" w:eastAsia="Malgun Gothic"/>
        </w:rPr>
        <w:tab/>
      </w:r>
      <w:r>
        <w:rPr>
          <w:rFonts w:eastAsia="Malgun Gothic"/>
        </w:rPr>
        <w:t>Ensure the UE is in State 3A-RF-CE according to TS 36.508 [12] clause 5.2A.2AA. Message contents are defined in clause 7.6A.3.4.3.</w:t>
      </w:r>
    </w:p>
    <w:p>
      <w:pPr>
        <w:pStyle w:val="9"/>
      </w:pPr>
      <w:r>
        <w:t>7.6A.3.4.2</w:t>
      </w:r>
      <w:r>
        <w:tab/>
      </w:r>
      <w:r>
        <w:t>Test Procedure</w:t>
      </w:r>
    </w:p>
    <w:p>
      <w:pPr>
        <w:pStyle w:val="111"/>
        <w:overflowPunct w:val="0"/>
        <w:autoSpaceDE w:val="0"/>
        <w:autoSpaceDN w:val="0"/>
        <w:adjustRightInd w:val="0"/>
        <w:contextualSpacing w:val="0"/>
        <w:textAlignment w:val="baseline"/>
        <w:rPr>
          <w:rFonts w:eastAsia="Malgun Gothic"/>
          <w:lang w:eastAsia="en-US"/>
        </w:rPr>
      </w:pPr>
      <w:r>
        <w:rPr>
          <w:rFonts w:eastAsia="Malgun Gothic"/>
        </w:rPr>
        <w:t>1.</w:t>
      </w:r>
      <w:r>
        <w:rPr>
          <w:rFonts w:eastAsia="Malgun Gothic"/>
        </w:rPr>
        <w:tab/>
      </w:r>
      <w:r>
        <w:rPr>
          <w:rFonts w:eastAsia="Malgun Gothic"/>
        </w:rPr>
        <w:t>SS transmits PDSCH via MPDCCH DCI format 6-1A for C_RNTI to transmit the DL RMC according to Table 7.6A.3.4.1-1. The SS sends downlink MAC padding bits on the DL RMC. The SS sends one sided dynamic OCNG Pattern OP.1 FDD for the DL-signal as described in Annex A.5.1.1.</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SS sends uplink scheduling information for each UL HARQ process via MPDCCH DCI format 6-0A for C_RNTI to schedule the UL RMC according to Table 7.6A.3.4.1-1.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Set the parameters of the CW signal generator for an interfering signal below the wanted signal according to Table 7.6A.3.5-2. The frequency step size is 1MHz.</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Set the Downlink signal level to the value as defined in Table 7.6A.3.5-1. Send uplink power control commands to the UE using 1dB power step size to ensure that the UE output power measured by the test system is within the Uplink power control window, defined as -MU to -(MU + Uplink power control window size) dB of the target power level in Table 7.6A.3.5-1 for at least the duration of the </w:t>
      </w:r>
      <w:r>
        <w:rPr>
          <w:rFonts w:hint="eastAsia" w:eastAsia="Malgun Gothic"/>
        </w:rPr>
        <w:t>t</w:t>
      </w:r>
      <w:r>
        <w:rPr>
          <w:rFonts w:eastAsia="Malgun Gothic"/>
        </w:rPr>
        <w:t>hroughput measurement, where:</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MU is the test system uplink power measurement uncertainty and is specified in Table F.1.3-1 for the carrier frequency f and the channel bandwidth BW</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Measure the average throughput for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Record the frequencies for which the throughput doesn't meet the requirements.</w:t>
      </w:r>
    </w:p>
    <w:p>
      <w:pPr>
        <w:pStyle w:val="111"/>
        <w:overflowPunct w:val="0"/>
        <w:autoSpaceDE w:val="0"/>
        <w:autoSpaceDN w:val="0"/>
        <w:adjustRightInd w:val="0"/>
        <w:contextualSpacing w:val="0"/>
        <w:textAlignment w:val="baseline"/>
        <w:rPr>
          <w:rFonts w:eastAsia="Malgun Gothic"/>
        </w:rPr>
      </w:pPr>
      <w:r>
        <w:rPr>
          <w:rFonts w:eastAsia="Malgun Gothic"/>
        </w:rPr>
        <w:t>7.</w:t>
      </w:r>
      <w:r>
        <w:rPr>
          <w:rFonts w:eastAsia="Malgun Gothic"/>
        </w:rPr>
        <w:tab/>
      </w:r>
      <w:r>
        <w:rPr>
          <w:rFonts w:eastAsia="Malgun Gothic"/>
        </w:rPr>
        <w:t>Repeat steps from 3 to 6, using an interfering signal above the wanted signal at step 3.</w:t>
      </w:r>
    </w:p>
    <w:p>
      <w:pPr>
        <w:pStyle w:val="9"/>
      </w:pPr>
      <w:r>
        <w:t>7.6A.3.4.3</w:t>
      </w:r>
      <w:r>
        <w:tab/>
      </w:r>
      <w:r>
        <w:t>Message Contents</w:t>
      </w:r>
    </w:p>
    <w:p>
      <w:r>
        <w:t xml:space="preserve">Message contents are according to TS 36.508 [12] subclause 4.6 with the condition CEModeA </w:t>
      </w:r>
      <w:r>
        <w:rPr>
          <w:rFonts w:eastAsia="Batang"/>
        </w:rPr>
        <w:t xml:space="preserve">and the </w:t>
      </w:r>
      <w:r>
        <w:t>following exception.</w:t>
      </w:r>
    </w:p>
    <w:p>
      <w:pPr>
        <w:pStyle w:val="113"/>
      </w:pPr>
      <w:r>
        <w:t>Table 7.6A.3.4.3-1: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p0-U</w:t>
            </w:r>
            <w:r>
              <w:rPr>
                <w:lang w:eastAsia="ko-KR"/>
              </w:rPr>
              <w:t>E-</w:t>
            </w:r>
            <w:r>
              <w:t xml:space="preserve">PUSCH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en0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w:t>
            </w:r>
            <w:r>
              <w:rPr>
                <w:lang w:eastAsia="ko-KR"/>
              </w:rPr>
              <w:t>UE-</w:t>
            </w:r>
            <w:r>
              <w:t>PUCCH</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fc8</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larger filter length is used to reduce the RSRP measurement variation</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9"/>
      </w:pPr>
      <w:r>
        <w:t>7.6A.3.5</w:t>
      </w:r>
      <w:r>
        <w:tab/>
      </w:r>
      <w:r>
        <w:t>Test Requirement</w:t>
      </w:r>
    </w:p>
    <w:p>
      <w:r>
        <w:t>Except for the spurious response frequencies recorded at the final step of test procedure, the throughput measurement derived in test procedure shall be ≥ 95% of the maximum throughput of the reference measurement channels as specified in Annex A.3.2 with parameters specified in Tables 7.6A.3.5-1 and 7.6A.3.5-2.</w:t>
      </w:r>
    </w:p>
    <w:p>
      <w:r>
        <w:t xml:space="preserve">For frequency range 1, 2, and 3, the number of spurious response frequencies recorded in the final step of test procedure shall not exceed </w:t>
      </w:r>
      <w:r>
        <w:rPr>
          <w:rFonts w:eastAsia="Osaka"/>
          <w:position w:val="-16"/>
        </w:rPr>
        <w:object>
          <v:shape id="_x0000_i1080" o:spt="75" type="#_x0000_t75" style="height:22.8pt;width:115.8pt;" o:ole="t" filled="f" o:preferrelative="t" stroked="f" coordsize="21600,21600">
            <v:path/>
            <v:fill on="f" focussize="0,0"/>
            <v:stroke on="f" joinstyle="miter"/>
            <v:imagedata r:id="rId108" o:title=""/>
            <o:lock v:ext="edit" aspectratio="t"/>
            <w10:wrap type="none"/>
            <w10:anchorlock/>
          </v:shape>
          <o:OLEObject Type="Embed" ProgID="Equation.3" ShapeID="_x0000_i1080" DrawAspect="Content" ObjectID="_1468075780" r:id="rId107">
            <o:LockedField>false</o:LockedField>
          </o:OLEObject>
        </w:object>
      </w:r>
      <w:r>
        <w:t xml:space="preserve">in each assigned frequency channel </w:t>
      </w:r>
      <w:r>
        <w:rPr>
          <w:rFonts w:eastAsia="Osaka"/>
        </w:rPr>
        <w:t>when measured using a 1MHz step size</w:t>
      </w:r>
      <w:r>
        <w:t>. For these exceptions the requirements of clause 7.7A Spurious Response are applicable.</w:t>
      </w:r>
    </w:p>
    <w:p>
      <w:pPr>
        <w:pStyle w:val="113"/>
      </w:pPr>
      <w:r>
        <w:t xml:space="preserve">Table </w:t>
      </w:r>
      <w:r>
        <w:rPr>
          <w:rFonts w:eastAsia="MS Mincho"/>
        </w:rPr>
        <w:t>7.6A.3.5-1</w:t>
      </w:r>
      <w:r>
        <w:t>: Out-of-band blocking parameters for category M1 UE</w:t>
      </w:r>
    </w:p>
    <w:tbl>
      <w:tblPr>
        <w:tblStyle w:val="89"/>
        <w:tblW w:w="45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7"/>
        <w:gridCol w:w="908"/>
        <w:gridCol w:w="2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7" w:type="dxa"/>
            <w:tcBorders>
              <w:top w:val="single" w:color="auto" w:sz="4" w:space="0"/>
              <w:left w:val="single" w:color="auto" w:sz="4" w:space="0"/>
              <w:bottom w:val="nil"/>
              <w:right w:val="single" w:color="auto" w:sz="4" w:space="0"/>
            </w:tcBorders>
            <w:vAlign w:val="center"/>
          </w:tcPr>
          <w:p>
            <w:pPr>
              <w:pStyle w:val="104"/>
            </w:pPr>
            <w:r>
              <w:t>RX parameter</w:t>
            </w:r>
          </w:p>
        </w:tc>
        <w:tc>
          <w:tcPr>
            <w:tcW w:w="908" w:type="dxa"/>
            <w:tcBorders>
              <w:top w:val="single" w:color="auto" w:sz="4" w:space="0"/>
              <w:left w:val="single" w:color="auto" w:sz="4" w:space="0"/>
              <w:bottom w:val="nil"/>
              <w:right w:val="single" w:color="auto" w:sz="4" w:space="0"/>
            </w:tcBorders>
            <w:vAlign w:val="center"/>
          </w:tcPr>
          <w:p>
            <w:pPr>
              <w:pStyle w:val="104"/>
            </w:pPr>
            <w:r>
              <w:t>Units</w:t>
            </w:r>
          </w:p>
        </w:tc>
        <w:tc>
          <w:tcPr>
            <w:tcW w:w="2171" w:type="dxa"/>
            <w:tcBorders>
              <w:top w:val="single" w:color="auto" w:sz="4" w:space="0"/>
              <w:left w:val="single" w:color="auto" w:sz="4" w:space="0"/>
              <w:bottom w:val="single" w:color="auto" w:sz="4" w:space="0"/>
              <w:right w:val="single" w:color="auto" w:sz="4" w:space="0"/>
            </w:tcBorders>
            <w:vAlign w:val="center"/>
          </w:tcPr>
          <w:p>
            <w:pPr>
              <w:pStyle w:val="104"/>
            </w:pPr>
            <w:r>
              <w:t>Channel bandwidth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7" w:type="dxa"/>
            <w:tcBorders>
              <w:top w:val="nil"/>
              <w:left w:val="single" w:color="auto" w:sz="4" w:space="0"/>
              <w:bottom w:val="single" w:color="auto" w:sz="4" w:space="0"/>
              <w:right w:val="single" w:color="auto" w:sz="4" w:space="0"/>
            </w:tcBorders>
            <w:vAlign w:val="center"/>
          </w:tcPr>
          <w:p>
            <w:pPr>
              <w:pStyle w:val="104"/>
            </w:pPr>
          </w:p>
        </w:tc>
        <w:tc>
          <w:tcPr>
            <w:tcW w:w="908" w:type="dxa"/>
            <w:tcBorders>
              <w:top w:val="nil"/>
              <w:left w:val="single" w:color="auto" w:sz="4" w:space="0"/>
              <w:bottom w:val="single" w:color="auto" w:sz="4" w:space="0"/>
              <w:right w:val="single" w:color="auto" w:sz="4" w:space="0"/>
            </w:tcBorders>
            <w:vAlign w:val="center"/>
          </w:tcPr>
          <w:p>
            <w:pPr>
              <w:pStyle w:val="104"/>
            </w:pPr>
          </w:p>
        </w:tc>
        <w:tc>
          <w:tcPr>
            <w:tcW w:w="2171" w:type="dxa"/>
            <w:tcBorders>
              <w:top w:val="single" w:color="auto" w:sz="4" w:space="0"/>
              <w:left w:val="single" w:color="auto" w:sz="4" w:space="0"/>
              <w:bottom w:val="single" w:color="auto" w:sz="4" w:space="0"/>
              <w:right w:val="single" w:color="auto" w:sz="4" w:space="0"/>
            </w:tcBorders>
            <w:vAlign w:val="center"/>
          </w:tcPr>
          <w:p>
            <w:pPr>
              <w:pStyle w:val="104"/>
            </w:pPr>
            <w: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7" w:type="dxa"/>
            <w:tcBorders>
              <w:top w:val="single" w:color="auto" w:sz="4" w:space="0"/>
              <w:left w:val="single" w:color="auto" w:sz="4" w:space="0"/>
              <w:bottom w:val="single" w:color="auto" w:sz="4" w:space="0"/>
              <w:right w:val="single" w:color="auto" w:sz="4" w:space="0"/>
            </w:tcBorders>
            <w:vAlign w:val="center"/>
          </w:tcPr>
          <w:p>
            <w:pPr>
              <w:pStyle w:val="105"/>
            </w:pPr>
            <w:r>
              <w:t>Power in transmission bandwidth configuration</w:t>
            </w:r>
          </w:p>
        </w:tc>
        <w:tc>
          <w:tcPr>
            <w:tcW w:w="908" w:type="dxa"/>
            <w:tcBorders>
              <w:top w:val="single" w:color="auto" w:sz="4" w:space="0"/>
              <w:left w:val="single" w:color="auto" w:sz="4" w:space="0"/>
              <w:bottom w:val="single" w:color="auto" w:sz="4" w:space="0"/>
              <w:right w:val="single" w:color="auto" w:sz="4" w:space="0"/>
            </w:tcBorders>
            <w:vAlign w:val="center"/>
          </w:tcPr>
          <w:p>
            <w:pPr>
              <w:pStyle w:val="105"/>
            </w:pPr>
            <w:r>
              <w:t>dBm</w:t>
            </w:r>
          </w:p>
        </w:tc>
        <w:tc>
          <w:tcPr>
            <w:tcW w:w="2171" w:type="dxa"/>
            <w:tcBorders>
              <w:top w:val="single" w:color="auto" w:sz="4" w:space="0"/>
              <w:left w:val="single" w:color="auto" w:sz="4" w:space="0"/>
              <w:bottom w:val="single" w:color="auto" w:sz="4" w:space="0"/>
              <w:right w:val="single" w:color="auto" w:sz="4" w:space="0"/>
            </w:tcBorders>
            <w:vAlign w:val="center"/>
          </w:tcPr>
          <w:p>
            <w:pPr>
              <w:pStyle w:val="105"/>
            </w:pPr>
            <w: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66" w:type="dxa"/>
            <w:gridSpan w:val="3"/>
            <w:tcBorders>
              <w:top w:val="single" w:color="auto" w:sz="4" w:space="0"/>
              <w:left w:val="single" w:color="auto" w:sz="4" w:space="0"/>
              <w:bottom w:val="single" w:color="auto" w:sz="4" w:space="0"/>
              <w:right w:val="single" w:color="auto" w:sz="4" w:space="0"/>
            </w:tcBorders>
            <w:vAlign w:val="center"/>
          </w:tcPr>
          <w:p>
            <w:pPr>
              <w:pStyle w:val="118"/>
              <w:rPr>
                <w:rFonts w:eastAsia="MS Mincho"/>
              </w:rPr>
            </w:pPr>
            <w:r>
              <w:rPr>
                <w:rFonts w:eastAsia="MS Mincho"/>
              </w:rPr>
              <w:t>NOTE 1:</w:t>
            </w:r>
            <w:r>
              <w:rPr>
                <w:rFonts w:eastAsia="MS Mincho"/>
              </w:rPr>
              <w:tab/>
            </w:r>
            <w:r>
              <w:rPr>
                <w:rFonts w:eastAsia="MS Mincho"/>
              </w:rPr>
              <w:t xml:space="preserve">The transmitter shall be set to 4dB below </w:t>
            </w:r>
            <w:r>
              <w:t>P</w:t>
            </w:r>
            <w:r>
              <w:rPr>
                <w:sz w:val="12"/>
                <w:szCs w:val="12"/>
              </w:rPr>
              <w:t>CMAX_L</w:t>
            </w:r>
            <w:r>
              <w:rPr>
                <w:rFonts w:eastAsia="MS Mincho"/>
              </w:rPr>
              <w:t xml:space="preserve"> at the minimum uplink configuration specified in Table 7.3.1-2 in TS 36.101 [7] with </w:t>
            </w:r>
            <w:r>
              <w:t>P</w:t>
            </w:r>
            <w:r>
              <w:rPr>
                <w:sz w:val="12"/>
                <w:szCs w:val="12"/>
              </w:rPr>
              <w:t>CMAX_L</w:t>
            </w:r>
            <w:r>
              <w:rPr>
                <w:rFonts w:eastAsia="MS Mincho"/>
              </w:rPr>
              <w:t xml:space="preserve"> as defined in subclause 6.2.5.</w:t>
            </w:r>
          </w:p>
        </w:tc>
      </w:tr>
    </w:tbl>
    <w:p/>
    <w:p>
      <w:pPr>
        <w:pStyle w:val="113"/>
      </w:pPr>
      <w:r>
        <w:t>Table 7.6A.3.5-2: Out of-band blocking for category M1 UE</w:t>
      </w:r>
    </w:p>
    <w:tbl>
      <w:tblPr>
        <w:tblStyle w:val="89"/>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6"/>
        <w:gridCol w:w="1488"/>
        <w:gridCol w:w="799"/>
        <w:gridCol w:w="1939"/>
        <w:gridCol w:w="1939"/>
        <w:gridCol w:w="1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4"/>
            </w:pPr>
            <w:r>
              <w:rPr>
                <w:lang w:val="en-US"/>
              </w:rPr>
              <w:t>Operating Band</w:t>
            </w:r>
          </w:p>
        </w:tc>
        <w:tc>
          <w:tcPr>
            <w:tcW w:w="1488" w:type="dxa"/>
            <w:tcBorders>
              <w:top w:val="single" w:color="auto" w:sz="4" w:space="0"/>
              <w:left w:val="single" w:color="auto" w:sz="4" w:space="0"/>
              <w:bottom w:val="single" w:color="auto" w:sz="4" w:space="0"/>
              <w:right w:val="single" w:color="auto" w:sz="4" w:space="0"/>
            </w:tcBorders>
          </w:tcPr>
          <w:p>
            <w:pPr>
              <w:pStyle w:val="104"/>
            </w:pPr>
            <w:r>
              <w:t>Parameter</w:t>
            </w:r>
          </w:p>
        </w:tc>
        <w:tc>
          <w:tcPr>
            <w:tcW w:w="799" w:type="dxa"/>
            <w:tcBorders>
              <w:top w:val="single" w:color="auto" w:sz="4" w:space="0"/>
              <w:left w:val="single" w:color="auto" w:sz="4" w:space="0"/>
              <w:bottom w:val="single" w:color="auto" w:sz="4" w:space="0"/>
              <w:right w:val="single" w:color="auto" w:sz="4" w:space="0"/>
            </w:tcBorders>
          </w:tcPr>
          <w:p>
            <w:pPr>
              <w:pStyle w:val="104"/>
            </w:pPr>
            <w:r>
              <w:t>Unit</w:t>
            </w:r>
          </w:p>
        </w:tc>
        <w:tc>
          <w:tcPr>
            <w:tcW w:w="1939" w:type="dxa"/>
            <w:tcBorders>
              <w:top w:val="single" w:color="auto" w:sz="4" w:space="0"/>
              <w:left w:val="single" w:color="auto" w:sz="4" w:space="0"/>
              <w:bottom w:val="single" w:color="auto" w:sz="4" w:space="0"/>
              <w:right w:val="single" w:color="auto" w:sz="4" w:space="0"/>
            </w:tcBorders>
          </w:tcPr>
          <w:p>
            <w:pPr>
              <w:pStyle w:val="104"/>
            </w:pPr>
            <w:r>
              <w:t>Range 1</w:t>
            </w:r>
          </w:p>
        </w:tc>
        <w:tc>
          <w:tcPr>
            <w:tcW w:w="1939" w:type="dxa"/>
            <w:tcBorders>
              <w:top w:val="single" w:color="auto" w:sz="4" w:space="0"/>
              <w:left w:val="single" w:color="auto" w:sz="4" w:space="0"/>
              <w:bottom w:val="single" w:color="auto" w:sz="4" w:space="0"/>
              <w:right w:val="single" w:color="auto" w:sz="4" w:space="0"/>
            </w:tcBorders>
          </w:tcPr>
          <w:p>
            <w:pPr>
              <w:pStyle w:val="104"/>
            </w:pPr>
            <w:r>
              <w:t>Range 2</w:t>
            </w:r>
          </w:p>
        </w:tc>
        <w:tc>
          <w:tcPr>
            <w:tcW w:w="1939" w:type="dxa"/>
            <w:tcBorders>
              <w:top w:val="single" w:color="auto" w:sz="4" w:space="0"/>
              <w:left w:val="single" w:color="auto" w:sz="4" w:space="0"/>
              <w:bottom w:val="single" w:color="auto" w:sz="4" w:space="0"/>
              <w:right w:val="single" w:color="auto" w:sz="4" w:space="0"/>
            </w:tcBorders>
          </w:tcPr>
          <w:p>
            <w:pPr>
              <w:pStyle w:val="104"/>
            </w:pPr>
            <w:r>
              <w:t>Range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P</w:t>
            </w:r>
            <w:r>
              <w:rPr>
                <w:vertAlign w:val="subscript"/>
                <w:lang w:val="sv-SE"/>
              </w:rPr>
              <w:t>interferer</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dBm</w:t>
            </w:r>
          </w:p>
        </w:tc>
        <w:tc>
          <w:tcPr>
            <w:tcW w:w="1939" w:type="dxa"/>
            <w:tcBorders>
              <w:top w:val="single" w:color="auto" w:sz="4" w:space="0"/>
              <w:left w:val="single" w:color="auto" w:sz="4" w:space="0"/>
              <w:bottom w:val="single" w:color="auto" w:sz="4" w:space="0"/>
              <w:right w:val="single" w:color="auto" w:sz="4" w:space="0"/>
            </w:tcBorders>
          </w:tcPr>
          <w:p>
            <w:pPr>
              <w:pStyle w:val="105"/>
            </w:pPr>
            <w:r>
              <w:t>-44</w:t>
            </w:r>
          </w:p>
        </w:tc>
        <w:tc>
          <w:tcPr>
            <w:tcW w:w="1939" w:type="dxa"/>
            <w:tcBorders>
              <w:top w:val="single" w:color="auto" w:sz="4" w:space="0"/>
              <w:left w:val="single" w:color="auto" w:sz="4" w:space="0"/>
              <w:bottom w:val="single" w:color="auto" w:sz="4" w:space="0"/>
              <w:right w:val="single" w:color="auto" w:sz="4" w:space="0"/>
            </w:tcBorders>
          </w:tcPr>
          <w:p>
            <w:pPr>
              <w:pStyle w:val="105"/>
            </w:pPr>
            <w:r>
              <w:t>-30</w:t>
            </w:r>
          </w:p>
        </w:tc>
        <w:tc>
          <w:tcPr>
            <w:tcW w:w="1939"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r>
              <w:t>255</w:t>
            </w: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F</w:t>
            </w:r>
            <w:r>
              <w:rPr>
                <w:vertAlign w:val="subscript"/>
                <w:lang w:val="sv-SE"/>
              </w:rPr>
              <w:t>interferer</w:t>
            </w:r>
            <w:r>
              <w:rPr>
                <w:lang w:val="sv-SE"/>
              </w:rPr>
              <w:t xml:space="preserve"> (C`W)</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MHz</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-60 &lt; f – F</w:t>
            </w:r>
            <w:r>
              <w:rPr>
                <w:rFonts w:cs="Arial"/>
                <w:vertAlign w:val="subscript"/>
              </w:rPr>
              <w:t>DL_low</w:t>
            </w:r>
            <w:r>
              <w:rPr>
                <w:rFonts w:cs="Arial"/>
              </w:rPr>
              <w:t xml:space="preserve"> &lt; -15</w:t>
            </w:r>
          </w:p>
          <w:p>
            <w:pPr>
              <w:pStyle w:val="105"/>
              <w:rPr>
                <w:rFonts w:cs="Arial"/>
              </w:rPr>
            </w:pPr>
            <w:r>
              <w:rPr>
                <w:rFonts w:cs="Arial"/>
              </w:rPr>
              <w:t>or</w:t>
            </w:r>
          </w:p>
          <w:p>
            <w:pPr>
              <w:pStyle w:val="105"/>
              <w:rPr>
                <w:rFonts w:cs="Arial"/>
              </w:rPr>
            </w:pPr>
            <w:r>
              <w:rPr>
                <w:rFonts w:cs="Arial"/>
              </w:rPr>
              <w:t>15 &lt; f – F</w:t>
            </w:r>
            <w:r>
              <w:rPr>
                <w:rFonts w:cs="Arial"/>
                <w:vertAlign w:val="subscript"/>
              </w:rPr>
              <w:t>DL_high</w:t>
            </w:r>
            <w:r>
              <w:rPr>
                <w:rFonts w:cs="Arial"/>
              </w:rPr>
              <w:t xml:space="preserve"> &lt; 60</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-85 &lt; f – F</w:t>
            </w:r>
            <w:r>
              <w:rPr>
                <w:rFonts w:cs="Arial"/>
                <w:vertAlign w:val="subscript"/>
              </w:rPr>
              <w:t>DL_low</w:t>
            </w:r>
            <w:r>
              <w:rPr>
                <w:rFonts w:cs="Arial"/>
              </w:rPr>
              <w:t xml:space="preserve"> ≤ -60</w:t>
            </w:r>
          </w:p>
          <w:p>
            <w:pPr>
              <w:pStyle w:val="105"/>
              <w:rPr>
                <w:rFonts w:cs="Arial"/>
              </w:rPr>
            </w:pPr>
            <w:r>
              <w:rPr>
                <w:rFonts w:cs="Arial"/>
              </w:rPr>
              <w:t>or</w:t>
            </w:r>
          </w:p>
          <w:p>
            <w:pPr>
              <w:pStyle w:val="105"/>
              <w:rPr>
                <w:rFonts w:cs="Arial"/>
              </w:rPr>
            </w:pPr>
            <w:r>
              <w:rPr>
                <w:rFonts w:cs="Arial"/>
              </w:rPr>
              <w:t>60 ≤ f – F</w:t>
            </w:r>
            <w:r>
              <w:rPr>
                <w:rFonts w:cs="Arial"/>
                <w:vertAlign w:val="subscript"/>
              </w:rPr>
              <w:t>DL_high</w:t>
            </w:r>
            <w:r>
              <w:rPr>
                <w:rFonts w:cs="Arial"/>
              </w:rPr>
              <w:t xml:space="preserve"> &lt; 85</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 ≤ f ≤ F</w:t>
            </w:r>
            <w:r>
              <w:rPr>
                <w:rFonts w:cs="Arial"/>
                <w:vertAlign w:val="subscript"/>
              </w:rPr>
              <w:t>DL_low</w:t>
            </w:r>
            <w:r>
              <w:rPr>
                <w:rFonts w:cs="Arial"/>
              </w:rPr>
              <w:t xml:space="preserve"> – 85</w:t>
            </w:r>
          </w:p>
          <w:p>
            <w:pPr>
              <w:pStyle w:val="105"/>
              <w:rPr>
                <w:rFonts w:cs="Arial"/>
              </w:rPr>
            </w:pPr>
            <w:r>
              <w:rPr>
                <w:rFonts w:cs="Arial"/>
              </w:rPr>
              <w:t>or</w:t>
            </w:r>
          </w:p>
          <w:p>
            <w:pPr>
              <w:pStyle w:val="105"/>
              <w:rPr>
                <w:rFonts w:cs="Arial"/>
              </w:rPr>
            </w:pPr>
            <w:r>
              <w:rPr>
                <w:rFonts w:cs="Arial"/>
              </w:rPr>
              <w:t>F</w:t>
            </w:r>
            <w:r>
              <w:rPr>
                <w:rFonts w:cs="Arial"/>
                <w:vertAlign w:val="subscript"/>
              </w:rPr>
              <w:t>DL_high</w:t>
            </w:r>
            <w:r>
              <w:rPr>
                <w:rFonts w:cs="Arial"/>
              </w:rPr>
              <w:t xml:space="preserve"> + 85 ≤ f</w:t>
            </w:r>
          </w:p>
          <w:p>
            <w:pPr>
              <w:pStyle w:val="105"/>
              <w:rPr>
                <w:rFonts w:cs="Arial"/>
              </w:rPr>
            </w:pPr>
            <w:r>
              <w:rPr>
                <w:rFonts w:cs="Arial"/>
              </w:rPr>
              <w:t>≤ 12750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r>
              <w:t>256</w:t>
            </w:r>
            <w:r>
              <w:rPr>
                <w:vertAlign w:val="superscript"/>
              </w:rPr>
              <w:t>1</w:t>
            </w: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F</w:t>
            </w:r>
            <w:r>
              <w:rPr>
                <w:vertAlign w:val="subscript"/>
                <w:lang w:val="sv-SE"/>
              </w:rPr>
              <w:t>interferer</w:t>
            </w:r>
            <w:r>
              <w:rPr>
                <w:lang w:val="sv-SE"/>
              </w:rPr>
              <w:t xml:space="preserve"> (CW)</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MHz</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-100 &lt; f – F</w:t>
            </w:r>
            <w:r>
              <w:rPr>
                <w:rFonts w:cs="Arial"/>
                <w:vertAlign w:val="subscript"/>
              </w:rPr>
              <w:t>DL_low</w:t>
            </w:r>
            <w:r>
              <w:rPr>
                <w:rFonts w:cs="Arial"/>
              </w:rPr>
              <w:t xml:space="preserve"> &lt; -15</w:t>
            </w:r>
          </w:p>
          <w:p>
            <w:pPr>
              <w:pStyle w:val="105"/>
              <w:rPr>
                <w:rFonts w:cs="Arial"/>
              </w:rPr>
            </w:pPr>
            <w:r>
              <w:rPr>
                <w:rFonts w:cs="Arial"/>
              </w:rPr>
              <w:t>or</w:t>
            </w:r>
          </w:p>
          <w:p>
            <w:pPr>
              <w:pStyle w:val="105"/>
              <w:rPr>
                <w:rFonts w:cs="Arial"/>
              </w:rPr>
            </w:pPr>
            <w:r>
              <w:rPr>
                <w:rFonts w:cs="Arial"/>
              </w:rPr>
              <w:t>15 &lt; f – F</w:t>
            </w:r>
            <w:r>
              <w:rPr>
                <w:rFonts w:cs="Arial"/>
                <w:vertAlign w:val="subscript"/>
              </w:rPr>
              <w:t>DL_high</w:t>
            </w:r>
            <w:r>
              <w:rPr>
                <w:rFonts w:cs="Arial"/>
              </w:rPr>
              <w:t xml:space="preserve"> &lt; 60</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-145 &lt; f – F</w:t>
            </w:r>
            <w:r>
              <w:rPr>
                <w:rFonts w:cs="Arial"/>
                <w:vertAlign w:val="subscript"/>
              </w:rPr>
              <w:t>DL_low</w:t>
            </w:r>
            <w:r>
              <w:rPr>
                <w:rFonts w:cs="Arial"/>
              </w:rPr>
              <w:t xml:space="preserve"> ≤ -100</w:t>
            </w:r>
          </w:p>
          <w:p>
            <w:pPr>
              <w:pStyle w:val="105"/>
              <w:rPr>
                <w:rFonts w:cs="Arial"/>
              </w:rPr>
            </w:pPr>
            <w:r>
              <w:rPr>
                <w:rFonts w:cs="Arial"/>
              </w:rPr>
              <w:t>or</w:t>
            </w:r>
          </w:p>
          <w:p>
            <w:pPr>
              <w:pStyle w:val="105"/>
              <w:rPr>
                <w:rFonts w:cs="Arial"/>
              </w:rPr>
            </w:pPr>
            <w:r>
              <w:rPr>
                <w:rFonts w:cs="Arial"/>
              </w:rPr>
              <w:t>60 ≤ f – F</w:t>
            </w:r>
            <w:r>
              <w:rPr>
                <w:rFonts w:cs="Arial"/>
                <w:vertAlign w:val="subscript"/>
              </w:rPr>
              <w:t>DL_high</w:t>
            </w:r>
            <w:r>
              <w:rPr>
                <w:rFonts w:cs="Arial"/>
              </w:rPr>
              <w:t xml:space="preserve"> &lt; 85</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 ≤ f ≤ F</w:t>
            </w:r>
            <w:r>
              <w:rPr>
                <w:rFonts w:cs="Arial"/>
                <w:vertAlign w:val="subscript"/>
              </w:rPr>
              <w:t>DL_low</w:t>
            </w:r>
            <w:r>
              <w:rPr>
                <w:rFonts w:cs="Arial"/>
              </w:rPr>
              <w:t xml:space="preserve"> – 145</w:t>
            </w:r>
          </w:p>
          <w:p>
            <w:pPr>
              <w:pStyle w:val="105"/>
              <w:rPr>
                <w:rFonts w:cs="Arial"/>
              </w:rPr>
            </w:pPr>
            <w:r>
              <w:rPr>
                <w:rFonts w:cs="Arial"/>
              </w:rPr>
              <w:t>or</w:t>
            </w:r>
          </w:p>
          <w:p>
            <w:pPr>
              <w:pStyle w:val="105"/>
              <w:rPr>
                <w:rFonts w:cs="Arial"/>
              </w:rPr>
            </w:pPr>
            <w:r>
              <w:rPr>
                <w:rFonts w:cs="Arial"/>
              </w:rPr>
              <w:t>F</w:t>
            </w:r>
            <w:r>
              <w:rPr>
                <w:rFonts w:cs="Arial"/>
                <w:vertAlign w:val="subscript"/>
              </w:rPr>
              <w:t>DL_high</w:t>
            </w:r>
            <w:r>
              <w:rPr>
                <w:rFonts w:cs="Arial"/>
              </w:rPr>
              <w:t xml:space="preserve"> + 85 ≤ f</w:t>
            </w:r>
          </w:p>
          <w:p>
            <w:pPr>
              <w:pStyle w:val="105"/>
              <w:rPr>
                <w:rFonts w:cs="Arial"/>
              </w:rPr>
            </w:pPr>
            <w:r>
              <w:rPr>
                <w:rFonts w:cs="Arial"/>
              </w:rPr>
              <w:t>≤ 12750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0" w:type="dxa"/>
            <w:gridSpan w:val="6"/>
            <w:tcBorders>
              <w:top w:val="single" w:color="auto" w:sz="4" w:space="0"/>
              <w:left w:val="single" w:color="auto" w:sz="4" w:space="0"/>
              <w:bottom w:val="single" w:color="auto" w:sz="4" w:space="0"/>
              <w:right w:val="single" w:color="auto" w:sz="4" w:space="0"/>
            </w:tcBorders>
          </w:tcPr>
          <w:p>
            <w:pPr>
              <w:pStyle w:val="118"/>
              <w:rPr>
                <w:lang w:val="en-US"/>
              </w:rPr>
            </w:pPr>
            <w:r>
              <w:t xml:space="preserve">NOTE </w:t>
            </w:r>
            <w:r>
              <w:rPr>
                <w:lang w:val="en-US"/>
              </w:rPr>
              <w:t>1</w:t>
            </w:r>
            <w:r>
              <w:t>:</w:t>
            </w:r>
            <w:r>
              <w:tab/>
            </w:r>
            <w:r>
              <w:rPr>
                <w:rFonts w:eastAsia="MS Mincho"/>
                <w:lang w:val="en-US"/>
              </w:rPr>
              <w:t>Band 256 lower frequency ranges are modified to enable specific implementations.</w:t>
            </w:r>
          </w:p>
        </w:tc>
      </w:tr>
    </w:tbl>
    <w:p>
      <w:pPr>
        <w:rPr>
          <w:lang w:eastAsia="en-GB"/>
        </w:rPr>
      </w:pPr>
    </w:p>
    <w:p>
      <w:pPr>
        <w:pStyle w:val="5"/>
        <w:rPr>
          <w:rFonts w:eastAsia="MS Mincho"/>
        </w:rPr>
      </w:pPr>
      <w:bookmarkStart w:id="1337" w:name="_Toc584"/>
      <w:bookmarkStart w:id="1338" w:name="_Toc3365"/>
      <w:bookmarkStart w:id="1339" w:name="_Toc11372"/>
      <w:bookmarkStart w:id="1340" w:name="_Toc9825"/>
      <w:bookmarkStart w:id="1341" w:name="_Toc3480"/>
      <w:bookmarkStart w:id="1342" w:name="_Toc5932"/>
      <w:bookmarkStart w:id="1343" w:name="_Toc121162897"/>
      <w:bookmarkStart w:id="1344" w:name="_Toc23936"/>
      <w:bookmarkStart w:id="1345" w:name="_Toc120570105"/>
      <w:r>
        <w:rPr>
          <w:rFonts w:eastAsia="MS Mincho"/>
        </w:rPr>
        <w:t>7.6A.4</w:t>
      </w:r>
      <w:r>
        <w:rPr>
          <w:rFonts w:eastAsia="MS Mincho"/>
        </w:rPr>
        <w:tab/>
      </w:r>
      <w:r>
        <w:rPr>
          <w:rFonts w:eastAsia="MS Mincho"/>
        </w:rPr>
        <w:t>Narrow band blocking for category M1</w:t>
      </w:r>
      <w:bookmarkEnd w:id="1337"/>
      <w:bookmarkEnd w:id="1338"/>
      <w:bookmarkEnd w:id="1339"/>
      <w:bookmarkEnd w:id="1340"/>
      <w:bookmarkEnd w:id="1341"/>
      <w:bookmarkEnd w:id="1342"/>
      <w:bookmarkEnd w:id="1343"/>
      <w:bookmarkEnd w:id="1344"/>
      <w:bookmarkEnd w:id="1345"/>
    </w:p>
    <w:p>
      <w:pPr>
        <w:pStyle w:val="112"/>
        <w:rPr>
          <w:lang w:val="en-GB"/>
        </w:rPr>
      </w:pPr>
      <w:r>
        <w:t>Editor’s Note: Addition to applicability spec is pending.</w:t>
      </w:r>
    </w:p>
    <w:p>
      <w:pPr>
        <w:pStyle w:val="9"/>
      </w:pPr>
      <w:r>
        <w:t>7.6A.4.1</w:t>
      </w:r>
      <w:r>
        <w:tab/>
      </w:r>
      <w:r>
        <w:t>Test Purpose</w:t>
      </w:r>
    </w:p>
    <w:p>
      <w:r>
        <w:rPr>
          <w:rFonts w:eastAsia="Osaka"/>
        </w:rPr>
        <w:t>Verifies</w:t>
      </w:r>
      <w:r>
        <w:t xml:space="preserve"> a receiver's ability to receive an E-UTRA signal at its assigned channel frequency in the presence of an unwanted narrow band CW interferer at a frequency, which is less than the nominal channel spacing.</w:t>
      </w:r>
    </w:p>
    <w:p>
      <w:r>
        <w:t>The lack of narrow-band blocking ability will decrease the coverage area when other e-NodeB transmitters exist (except in the adjacent channels and spurious response).</w:t>
      </w:r>
    </w:p>
    <w:p>
      <w:pPr>
        <w:pStyle w:val="9"/>
      </w:pPr>
      <w:r>
        <w:t>7.6A.4.2</w:t>
      </w:r>
      <w:r>
        <w:tab/>
      </w:r>
      <w:r>
        <w:t>Test Applicability</w:t>
      </w:r>
    </w:p>
    <w:p>
      <w:r>
        <w:t>This test case applies to all types of E-UTRA UE release 17 and forward of category</w:t>
      </w:r>
      <w:r>
        <w:rPr>
          <w:lang w:eastAsia="zh-TW"/>
        </w:rPr>
        <w:t xml:space="preserve"> M1</w:t>
      </w:r>
      <w:r>
        <w:rPr>
          <w:rFonts w:ascii="宋体" w:hAnsi="宋体" w:cs="宋体"/>
          <w:lang w:eastAsia="zh-TW"/>
        </w:rPr>
        <w:t xml:space="preserve"> </w:t>
      </w:r>
      <w:r>
        <w:t>that support satellite access operation.</w:t>
      </w:r>
    </w:p>
    <w:p>
      <w:pPr>
        <w:pStyle w:val="9"/>
      </w:pPr>
      <w:r>
        <w:t>7.6A.4.3</w:t>
      </w:r>
      <w:r>
        <w:tab/>
      </w:r>
      <w:r>
        <w:t>Minimum Conformance Requirements</w:t>
      </w:r>
    </w:p>
    <w:p>
      <w:r>
        <w:t>The relative throughput shall be ≥ 95% of the maximum throughput of the reference measurement channels as specified in Annexes A.2.2, A.2.3 and A.3.2 (with one sided dynamic OCNG Pattern OP.1 FDD for the DL-signal as described in Annex A.5.1.1) with parameters specified in Table 7.6A.4.3-1. For operating bands with an unpaired DL part (as noted in Table 5.2-1), the requirements only apply for carriers assigned in the paired part.</w:t>
      </w:r>
    </w:p>
    <w:p>
      <w:pPr>
        <w:pStyle w:val="113"/>
      </w:pPr>
      <w:r>
        <w:t>Table 7.6A.4.3-1: Narrow-band blocking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1159"/>
        <w:gridCol w:w="57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restart"/>
            <w:vAlign w:val="center"/>
          </w:tcPr>
          <w:p>
            <w:pPr>
              <w:pStyle w:val="104"/>
              <w:rPr>
                <w:rFonts w:cs="Arial"/>
              </w:rPr>
            </w:pPr>
            <w:r>
              <w:rPr>
                <w:rFonts w:cs="Arial"/>
              </w:rPr>
              <w:t>Parameter</w:t>
            </w:r>
          </w:p>
        </w:tc>
        <w:tc>
          <w:tcPr>
            <w:tcW w:w="1159" w:type="dxa"/>
            <w:vMerge w:val="restart"/>
            <w:vAlign w:val="center"/>
          </w:tcPr>
          <w:p>
            <w:pPr>
              <w:pStyle w:val="104"/>
              <w:rPr>
                <w:rFonts w:cs="Arial"/>
              </w:rPr>
            </w:pPr>
            <w:r>
              <w:rPr>
                <w:rFonts w:cs="Arial"/>
              </w:rPr>
              <w:t>Unit</w:t>
            </w:r>
          </w:p>
        </w:tc>
        <w:tc>
          <w:tcPr>
            <w:tcW w:w="5782" w:type="dxa"/>
            <w:vAlign w:val="center"/>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vAlign w:val="center"/>
          </w:tcPr>
          <w:p>
            <w:pPr>
              <w:pStyle w:val="104"/>
              <w:rPr>
                <w:rFonts w:cs="Arial"/>
              </w:rPr>
            </w:pPr>
          </w:p>
        </w:tc>
        <w:tc>
          <w:tcPr>
            <w:tcW w:w="1159" w:type="dxa"/>
            <w:vMerge w:val="continue"/>
            <w:vAlign w:val="center"/>
          </w:tcPr>
          <w:p>
            <w:pPr>
              <w:pStyle w:val="104"/>
              <w:rPr>
                <w:rFonts w:cs="Arial"/>
              </w:rPr>
            </w:pPr>
          </w:p>
        </w:tc>
        <w:tc>
          <w:tcPr>
            <w:tcW w:w="5782" w:type="dxa"/>
            <w:vAlign w:val="center"/>
          </w:tcPr>
          <w:p>
            <w:pPr>
              <w:pStyle w:val="104"/>
              <w:rPr>
                <w:rFonts w:cs="Arial"/>
              </w:rPr>
            </w:pPr>
            <w:r>
              <w:rPr>
                <w:rFonts w:cs="Arial"/>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restart"/>
            <w:vAlign w:val="center"/>
          </w:tcPr>
          <w:p>
            <w:pPr>
              <w:pStyle w:val="105"/>
              <w:rPr>
                <w:rFonts w:cs="Arial"/>
              </w:rPr>
            </w:pPr>
            <w:r>
              <w:rPr>
                <w:rFonts w:cs="Arial"/>
              </w:rPr>
              <w:t>P</w:t>
            </w:r>
            <w:r>
              <w:rPr>
                <w:rFonts w:cs="Arial"/>
                <w:vertAlign w:val="subscript"/>
              </w:rPr>
              <w:t>w</w:t>
            </w:r>
          </w:p>
        </w:tc>
        <w:tc>
          <w:tcPr>
            <w:tcW w:w="1159" w:type="dxa"/>
            <w:vMerge w:val="restart"/>
            <w:vAlign w:val="center"/>
          </w:tcPr>
          <w:p>
            <w:pPr>
              <w:pStyle w:val="105"/>
              <w:rPr>
                <w:rFonts w:cs="Arial"/>
              </w:rPr>
            </w:pPr>
            <w:r>
              <w:rPr>
                <w:rFonts w:cs="Arial"/>
              </w:rPr>
              <w:t>dBm</w:t>
            </w:r>
          </w:p>
        </w:tc>
        <w:tc>
          <w:tcPr>
            <w:tcW w:w="5782" w:type="dxa"/>
            <w:vAlign w:val="center"/>
          </w:tcPr>
          <w:p>
            <w:pPr>
              <w:pStyle w:val="105"/>
              <w:rPr>
                <w:rFonts w:cs="Arial"/>
              </w:rPr>
            </w:pPr>
            <w:r>
              <w:rPr>
                <w:rFonts w:cs="Arial"/>
              </w:rPr>
              <w:t>P</w:t>
            </w:r>
            <w:r>
              <w:rPr>
                <w:rFonts w:cs="Arial"/>
                <w:vertAlign w:val="subscript"/>
              </w:rPr>
              <w:t>REFSENS</w:t>
            </w:r>
            <w:r>
              <w:rPr>
                <w:rFonts w:cs="Arial"/>
              </w:rPr>
              <w:t xml:space="preserve"> + channel-bandwidth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vAlign w:val="center"/>
          </w:tcPr>
          <w:p>
            <w:pPr>
              <w:pStyle w:val="105"/>
              <w:rPr>
                <w:rFonts w:cs="Arial"/>
              </w:rPr>
            </w:pPr>
          </w:p>
        </w:tc>
        <w:tc>
          <w:tcPr>
            <w:tcW w:w="1159" w:type="dxa"/>
            <w:vMerge w:val="continue"/>
            <w:vAlign w:val="center"/>
          </w:tcPr>
          <w:p>
            <w:pPr>
              <w:pStyle w:val="105"/>
              <w:rPr>
                <w:rFonts w:cs="Arial"/>
              </w:rPr>
            </w:pPr>
          </w:p>
        </w:tc>
        <w:tc>
          <w:tcPr>
            <w:tcW w:w="5782" w:type="dxa"/>
            <w:vAlign w:val="center"/>
          </w:tcPr>
          <w:p>
            <w:pPr>
              <w:pStyle w:val="105"/>
              <w:rPr>
                <w:rFonts w:cs="Arial"/>
              </w:rPr>
            </w:pPr>
            <w:r>
              <w:rPr>
                <w:rFonts w:cs="Arial"/>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Align w:val="center"/>
          </w:tcPr>
          <w:p>
            <w:pPr>
              <w:pStyle w:val="105"/>
              <w:rPr>
                <w:rFonts w:cs="Arial"/>
              </w:rPr>
            </w:pPr>
            <w:r>
              <w:rPr>
                <w:rFonts w:cs="Arial"/>
              </w:rPr>
              <w:t>P</w:t>
            </w:r>
            <w:r>
              <w:rPr>
                <w:rFonts w:cs="Arial"/>
                <w:vertAlign w:val="subscript"/>
              </w:rPr>
              <w:t>uw</w:t>
            </w:r>
            <w:r>
              <w:rPr>
                <w:rFonts w:cs="Arial"/>
              </w:rPr>
              <w:t xml:space="preserve"> (CW)</w:t>
            </w:r>
          </w:p>
        </w:tc>
        <w:tc>
          <w:tcPr>
            <w:tcW w:w="1159" w:type="dxa"/>
            <w:vAlign w:val="center"/>
          </w:tcPr>
          <w:p>
            <w:pPr>
              <w:pStyle w:val="105"/>
              <w:rPr>
                <w:rFonts w:cs="Arial"/>
              </w:rPr>
            </w:pPr>
            <w:r>
              <w:rPr>
                <w:rFonts w:cs="Arial"/>
              </w:rPr>
              <w:t>dBm</w:t>
            </w:r>
          </w:p>
        </w:tc>
        <w:tc>
          <w:tcPr>
            <w:tcW w:w="5782" w:type="dxa"/>
            <w:vAlign w:val="center"/>
          </w:tcPr>
          <w:p>
            <w:pPr>
              <w:pStyle w:val="105"/>
              <w:rPr>
                <w:rFonts w:cs="Arial"/>
              </w:rPr>
            </w:pPr>
            <w:r>
              <w:rPr>
                <w:rFonts w:cs="Arial"/>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Align w:val="center"/>
          </w:tcPr>
          <w:p>
            <w:pPr>
              <w:pStyle w:val="105"/>
              <w:rPr>
                <w:rFonts w:cs="Arial"/>
              </w:rPr>
            </w:pPr>
            <w:r>
              <w:rPr>
                <w:rFonts w:cs="Arial"/>
              </w:rPr>
              <w:t>F</w:t>
            </w:r>
            <w:r>
              <w:rPr>
                <w:rFonts w:cs="Arial"/>
                <w:vertAlign w:val="subscript"/>
              </w:rPr>
              <w:t>uw</w:t>
            </w:r>
            <w:r>
              <w:rPr>
                <w:rFonts w:cs="Arial"/>
              </w:rPr>
              <w:t xml:space="preserve"> (offset for</w:t>
            </w:r>
          </w:p>
          <w:p>
            <w:pPr>
              <w:pStyle w:val="105"/>
              <w:rPr>
                <w:rFonts w:cs="Arial"/>
              </w:rPr>
            </w:pPr>
            <w:r>
              <w:rPr>
                <w:rFonts w:ascii="Symbol" w:hAnsi="Symbol" w:cs="Arial"/>
                <w:i/>
                <w:iCs/>
              </w:rPr>
              <w:t></w:t>
            </w:r>
            <w:r>
              <w:rPr>
                <w:rFonts w:cs="Arial"/>
                <w:i/>
                <w:iCs/>
              </w:rPr>
              <w:t>f</w:t>
            </w:r>
            <w:r>
              <w:rPr>
                <w:rFonts w:cs="Arial"/>
              </w:rPr>
              <w:t xml:space="preserve"> = 15 kHz)</w:t>
            </w:r>
          </w:p>
        </w:tc>
        <w:tc>
          <w:tcPr>
            <w:tcW w:w="1159" w:type="dxa"/>
            <w:vAlign w:val="center"/>
          </w:tcPr>
          <w:p>
            <w:pPr>
              <w:pStyle w:val="105"/>
              <w:rPr>
                <w:rFonts w:cs="Arial"/>
              </w:rPr>
            </w:pPr>
            <w:r>
              <w:rPr>
                <w:rFonts w:cs="Arial"/>
              </w:rPr>
              <w:t>MHz</w:t>
            </w:r>
          </w:p>
        </w:tc>
        <w:tc>
          <w:tcPr>
            <w:tcW w:w="5782" w:type="dxa"/>
            <w:vAlign w:val="center"/>
          </w:tcPr>
          <w:p>
            <w:pPr>
              <w:pStyle w:val="105"/>
              <w:rPr>
                <w:rFonts w:cs="Arial"/>
              </w:rPr>
            </w:pPr>
            <w:r>
              <w:rPr>
                <w:rFonts w:cs="Arial"/>
              </w:rPr>
              <w:t>0.9075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Align w:val="center"/>
          </w:tcPr>
          <w:p>
            <w:pPr>
              <w:pStyle w:val="105"/>
              <w:rPr>
                <w:rFonts w:ascii="Symbol" w:hAnsi="Symbol" w:cs="Arial"/>
                <w:i/>
                <w:iCs/>
              </w:rPr>
            </w:pPr>
            <w:r>
              <w:rPr>
                <w:rFonts w:cs="Arial"/>
              </w:rPr>
              <w:t>F</w:t>
            </w:r>
            <w:r>
              <w:rPr>
                <w:rFonts w:cs="Arial"/>
                <w:vertAlign w:val="subscript"/>
              </w:rPr>
              <w:t>uw</w:t>
            </w:r>
            <w:r>
              <w:rPr>
                <w:rFonts w:cs="Arial"/>
              </w:rPr>
              <w:t xml:space="preserve"> (offset for</w:t>
            </w:r>
            <w:r>
              <w:rPr>
                <w:rFonts w:ascii="Symbol" w:hAnsi="Symbol" w:cs="Arial"/>
                <w:i/>
                <w:iCs/>
              </w:rPr>
              <w:t></w:t>
            </w:r>
          </w:p>
          <w:p>
            <w:pPr>
              <w:pStyle w:val="105"/>
              <w:rPr>
                <w:rFonts w:ascii="Symbol" w:hAnsi="Symbol" w:cs="Arial"/>
                <w:i/>
                <w:iCs/>
              </w:rPr>
            </w:pPr>
            <w:r>
              <w:rPr>
                <w:rFonts w:ascii="Symbol" w:hAnsi="Symbol" w:cs="Arial"/>
                <w:i/>
                <w:iCs/>
              </w:rPr>
              <w:t></w:t>
            </w:r>
            <w:r>
              <w:rPr>
                <w:rFonts w:cs="Arial"/>
                <w:i/>
                <w:iCs/>
              </w:rPr>
              <w:t>f</w:t>
            </w:r>
            <w:r>
              <w:rPr>
                <w:rFonts w:cs="Arial"/>
              </w:rPr>
              <w:t xml:space="preserve"> = 7.5 kHz)</w:t>
            </w:r>
          </w:p>
        </w:tc>
        <w:tc>
          <w:tcPr>
            <w:tcW w:w="1159" w:type="dxa"/>
            <w:vAlign w:val="center"/>
          </w:tcPr>
          <w:p>
            <w:pPr>
              <w:pStyle w:val="105"/>
              <w:rPr>
                <w:rFonts w:cs="Arial"/>
              </w:rPr>
            </w:pPr>
            <w:r>
              <w:rPr>
                <w:rFonts w:cs="Arial"/>
              </w:rPr>
              <w:t>MHz</w:t>
            </w:r>
          </w:p>
        </w:tc>
        <w:tc>
          <w:tcPr>
            <w:tcW w:w="5782" w:type="dxa"/>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0" w:type="dxa"/>
            <w:gridSpan w:val="3"/>
          </w:tcPr>
          <w:p>
            <w:pPr>
              <w:pStyle w:val="118"/>
              <w:rPr>
                <w:rFonts w:eastAsia="?? ??"/>
              </w:rPr>
            </w:pPr>
            <w:r>
              <w:rPr>
                <w:rFonts w:eastAsia="?? ??"/>
              </w:rPr>
              <w:t>NOTE 1:</w:t>
            </w:r>
            <w:r>
              <w:rPr>
                <w:rFonts w:eastAsia="?? ??"/>
              </w:rPr>
              <w:tab/>
            </w:r>
            <w:r>
              <w:rPr>
                <w:rFonts w:eastAsia="?? ??"/>
              </w:rPr>
              <w:t xml:space="preserve">The transmitter shall be set a 4 dB below </w:t>
            </w:r>
            <w:r>
              <w:t>P</w:t>
            </w:r>
            <w:r>
              <w:rPr>
                <w:sz w:val="12"/>
                <w:szCs w:val="12"/>
              </w:rPr>
              <w:t>CMAX_L</w:t>
            </w:r>
            <w:r>
              <w:rPr>
                <w:rFonts w:eastAsia="MS Mincho"/>
              </w:rPr>
              <w:t xml:space="preserve"> at the minimum uplink configuration specified in Table 7.3A.3-3 with </w:t>
            </w:r>
            <w:r>
              <w:t>P</w:t>
            </w:r>
            <w:r>
              <w:rPr>
                <w:sz w:val="12"/>
                <w:szCs w:val="12"/>
              </w:rPr>
              <w:t>CMAX_L</w:t>
            </w:r>
            <w:r>
              <w:rPr>
                <w:rFonts w:eastAsia="MS Mincho"/>
              </w:rPr>
              <w:t xml:space="preserve"> as defined in subclause 6.2.5 of TS 36.101 [7]</w:t>
            </w:r>
            <w:r>
              <w:rPr>
                <w:rFonts w:eastAsia="?? ??"/>
              </w:rPr>
              <w:t>.</w:t>
            </w:r>
          </w:p>
          <w:p>
            <w:pPr>
              <w:pStyle w:val="118"/>
              <w:rPr>
                <w:rFonts w:eastAsia="?? ??"/>
              </w:rPr>
            </w:pPr>
            <w:r>
              <w:rPr>
                <w:rFonts w:eastAsia="?? ??"/>
              </w:rPr>
              <w:t>NOTE 2:</w:t>
            </w:r>
            <w:r>
              <w:rPr>
                <w:rFonts w:eastAsia="?? ??"/>
              </w:rPr>
              <w:tab/>
            </w:r>
            <w:r>
              <w:rPr>
                <w:rFonts w:eastAsia="?? ??"/>
              </w:rPr>
              <w:t xml:space="preserve">Reference measurement channel is </w:t>
            </w:r>
            <w:r>
              <w:rPr>
                <w:rFonts w:eastAsia="MS Mincho"/>
              </w:rPr>
              <w:t>specified in Annex</w:t>
            </w:r>
            <w:r>
              <w:rPr>
                <w:rFonts w:eastAsia="?? ??"/>
              </w:rPr>
              <w:t xml:space="preserve"> A.3.2 with </w:t>
            </w:r>
            <w:r>
              <w:t>one sided dynamic OCNG Pattern OP.1 FDD as described in Annex A.5.1.1</w:t>
            </w:r>
            <w:r>
              <w:rPr>
                <w:rFonts w:eastAsia="?? ??"/>
              </w:rPr>
              <w:t>.</w:t>
            </w:r>
          </w:p>
          <w:p>
            <w:pPr>
              <w:pStyle w:val="118"/>
              <w:rPr>
                <w:rFonts w:eastAsia="MS Mincho"/>
              </w:rPr>
            </w:pPr>
            <w:r>
              <w:rPr>
                <w:rFonts w:eastAsia="MS Mincho"/>
              </w:rPr>
              <w:t>NOTE 3:</w:t>
            </w:r>
            <w:r>
              <w:rPr>
                <w:rFonts w:eastAsia="MS Mincho"/>
              </w:rPr>
              <w:tab/>
            </w:r>
            <w:r>
              <w:rPr>
                <w:rFonts w:eastAsia="MS Mincho"/>
              </w:rPr>
              <w:t>For DL category M1 UE, the reference sensitivity for category M1 in Table 7.3A.3-1 should be used as P</w:t>
            </w:r>
            <w:r>
              <w:rPr>
                <w:rFonts w:eastAsia="MS Mincho"/>
                <w:vertAlign w:val="subscript"/>
              </w:rPr>
              <w:t>REFSENS</w:t>
            </w:r>
            <w:r>
              <w:rPr>
                <w:rFonts w:eastAsia="MS Mincho"/>
              </w:rPr>
              <w:t xml:space="preserve"> for P</w:t>
            </w:r>
            <w:r>
              <w:rPr>
                <w:rFonts w:eastAsia="MS Mincho"/>
                <w:vertAlign w:val="subscript"/>
              </w:rPr>
              <w:t>w</w:t>
            </w:r>
            <w:r>
              <w:rPr>
                <w:rFonts w:eastAsia="MS Mincho"/>
              </w:rPr>
              <w:t>.</w:t>
            </w:r>
          </w:p>
          <w:p>
            <w:pPr>
              <w:pStyle w:val="118"/>
            </w:pPr>
            <w:r>
              <w:rPr>
                <w:rFonts w:eastAsia="MS Mincho"/>
              </w:rPr>
              <w:t>NOTE 4:</w:t>
            </w:r>
            <w:r>
              <w:rPr>
                <w:rFonts w:eastAsia="MS Mincho"/>
              </w:rPr>
              <w:tab/>
            </w:r>
            <w:r>
              <w:t>For DL category M1 UE, the parameters for the applicable channel bandwidth apply.</w:t>
            </w:r>
          </w:p>
          <w:p>
            <w:pPr>
              <w:pStyle w:val="118"/>
              <w:rPr>
                <w:rFonts w:eastAsia="?? ??"/>
                <w:b/>
                <w:bCs/>
                <w:szCs w:val="18"/>
              </w:rPr>
            </w:pPr>
            <w:r>
              <w:rPr>
                <w:bCs/>
                <w:szCs w:val="18"/>
              </w:rPr>
              <w:t>NOTE 5:</w:t>
            </w:r>
            <w:r>
              <w:rPr>
                <w:bCs/>
                <w:szCs w:val="18"/>
              </w:rPr>
              <w:tab/>
            </w:r>
            <w:r>
              <w:rPr>
                <w:bCs/>
                <w:szCs w:val="18"/>
              </w:rPr>
              <w:t>For DL category M1 UE, the parameter, P</w:t>
            </w:r>
            <w:r>
              <w:rPr>
                <w:bCs/>
                <w:szCs w:val="18"/>
                <w:vertAlign w:val="subscript"/>
              </w:rPr>
              <w:t>w,</w:t>
            </w:r>
            <w:r>
              <w:rPr>
                <w:bCs/>
                <w:szCs w:val="18"/>
              </w:rPr>
              <w:t xml:space="preserve"> for all the channel bandwidth will be P</w:t>
            </w:r>
            <w:r>
              <w:rPr>
                <w:bCs/>
                <w:szCs w:val="18"/>
                <w:vertAlign w:val="subscript"/>
              </w:rPr>
              <w:t>REFSENS</w:t>
            </w:r>
            <w:r>
              <w:rPr>
                <w:bCs/>
                <w:szCs w:val="18"/>
              </w:rPr>
              <w:t xml:space="preserve"> +22</w:t>
            </w:r>
            <w:r>
              <w:rPr>
                <w:bCs/>
                <w:szCs w:val="18"/>
                <w:lang w:val="en-US"/>
              </w:rPr>
              <w:t> </w:t>
            </w:r>
            <w:r>
              <w:rPr>
                <w:bCs/>
                <w:szCs w:val="18"/>
              </w:rPr>
              <w:t xml:space="preserve">dBm. </w:t>
            </w:r>
          </w:p>
        </w:tc>
      </w:tr>
    </w:tbl>
    <w:p>
      <w:pPr>
        <w:rPr>
          <w:lang w:eastAsia="zh-TW"/>
        </w:rPr>
      </w:pPr>
    </w:p>
    <w:p>
      <w:r>
        <w:t>The normative reference for this requirement is TS 36.102 [11] clause 7.6A.4.</w:t>
      </w:r>
    </w:p>
    <w:p>
      <w:pPr>
        <w:pStyle w:val="9"/>
      </w:pPr>
      <w:r>
        <w:t>7.6A.4.4</w:t>
      </w:r>
      <w:r>
        <w:tab/>
      </w:r>
      <w:r>
        <w:t>Test Description</w:t>
      </w:r>
    </w:p>
    <w:p>
      <w:pPr>
        <w:pStyle w:val="9"/>
      </w:pPr>
      <w:r>
        <w:t>7.6A.4.4.1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and test frequencies based on </w:t>
      </w:r>
      <w:bookmarkStart w:id="1346" w:name="_Hlk148529478"/>
      <w:r>
        <w:t>the subset of</w:t>
      </w:r>
      <w:bookmarkEnd w:id="1346"/>
      <w:r>
        <w:t xml:space="preserve"> E-UTRA operating bands defined for category M1 in clause 5.2A. All of these configurations shall be tested with applicable test parameters for each channel bandwidth, and are shown in Table 7.</w:t>
      </w:r>
      <w:r>
        <w:rPr>
          <w:lang w:eastAsia="ko-KR"/>
        </w:rPr>
        <w:t>6A.4</w:t>
      </w:r>
      <w:r>
        <w:t xml:space="preserve">.4.1-1. The details of the downlink and uplink reference measurement channels (RMCs) are specified in Annexes A.2 and A.3. The details of the OCNG patterns used are specified in Annex A.5. </w:t>
      </w:r>
      <w:r>
        <w:rPr>
          <w:rFonts w:cs="v5.0.0"/>
        </w:rPr>
        <w:t>Configurations of PDSCH and MPDCCH before measurement are specified in Annex C.2.</w:t>
      </w:r>
    </w:p>
    <w:p>
      <w:pPr>
        <w:pStyle w:val="113"/>
      </w:pPr>
      <w:r>
        <w:t>Table 7.6A.4.4.1-1: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6"/>
        <w:gridCol w:w="1166"/>
        <w:gridCol w:w="2096"/>
        <w:gridCol w:w="1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TS36.508 [12] subclause 4.3.1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Channel Bandwidths as specified in TS 36.508 [12] subclause 4.3.1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w:t>
            </w:r>
            <w:r>
              <w:t xml:space="preserve"> </w:t>
            </w:r>
            <w:r>
              <w:rPr>
                <w:rFonts w:ascii="Arial" w:hAnsi="Arial"/>
                <w:b/>
                <w:sz w:val="18"/>
              </w:rPr>
              <w:t>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 ID</w:t>
            </w:r>
          </w:p>
        </w:tc>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4664"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t>Modulation</w:t>
            </w:r>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t>Modulation</w:t>
            </w:r>
          </w:p>
        </w:tc>
        <w:tc>
          <w:tcPr>
            <w:tcW w:w="20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40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cs="Arial"/>
                <w:sz w:val="18"/>
                <w:szCs w:val="18"/>
                <w:lang w:eastAsia="sv-SE"/>
              </w:rPr>
              <w:t>Narrowband index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0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p>
        </w:tc>
        <w:tc>
          <w:tcPr>
            <w:tcW w:w="140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ko-KR"/>
              </w:rPr>
            </w:pPr>
            <w:r>
              <w:rPr>
                <w:rFonts w:ascii="Arial" w:hAnsi="Arial"/>
                <w:sz w:val="18"/>
                <w:lang w:eastAsia="ko-K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7"/>
            <w:tcBorders>
              <w:top w:val="single" w:color="auto" w:sz="4" w:space="0"/>
              <w:left w:val="single" w:color="auto" w:sz="4" w:space="0"/>
              <w:bottom w:val="single" w:color="auto" w:sz="4" w:space="0"/>
              <w:right w:val="single" w:color="auto" w:sz="4" w:space="0"/>
            </w:tcBorders>
          </w:tcPr>
          <w:p>
            <w:pPr>
              <w:pStyle w:val="118"/>
            </w:pPr>
            <w:r>
              <w:t>Note 1:</w:t>
            </w:r>
            <w:r>
              <w:tab/>
            </w:r>
            <w:r>
              <w:t>Denotes where in the channel Bandwidth the narrowband shall be placed. Narrowband and Narrowband index are defined in TS36.211[3], 5.2.4</w:t>
            </w:r>
            <w:r>
              <w:rPr>
                <w:lang w:eastAsia="ko-KR"/>
              </w:rPr>
              <w:t>.</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36.508[12] Annex A Figure A.</w:t>
      </w:r>
      <w:r>
        <w:rPr>
          <w:rFonts w:eastAsia="Malgun Gothic"/>
          <w:lang w:eastAsia="en-US"/>
        </w:rPr>
        <w:t>5</w:t>
      </w:r>
      <w:r>
        <w:rPr>
          <w:rFonts w:eastAsia="Malgun Gothic"/>
        </w:rPr>
        <w:t xml:space="preserve">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C.3.1, and uplink signals according to Annex H.1 and H.3.1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UL and DL Reference Measurement channels are set according to Table 7.6A.4.4.1-1.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hint="eastAsia" w:eastAsia="Malgun Gothic"/>
        </w:rPr>
        <w:t>6.</w:t>
      </w:r>
      <w:r>
        <w:rPr>
          <w:rFonts w:hint="eastAsia" w:eastAsia="Malgun Gothic"/>
          <w:lang w:val="en-GB" w:eastAsia="en-US"/>
        </w:rPr>
        <w:tab/>
      </w:r>
      <w:r>
        <w:rPr>
          <w:rFonts w:hint="eastAsia" w:eastAsia="Malgun Gothic"/>
        </w:rPr>
        <w:t>UE location according to TS 36.508 [12] clause 5.6.1 is provided to the UE through any preconfigured means.</w:t>
      </w:r>
    </w:p>
    <w:p>
      <w:pPr>
        <w:pStyle w:val="111"/>
        <w:overflowPunct w:val="0"/>
        <w:autoSpaceDE w:val="0"/>
        <w:autoSpaceDN w:val="0"/>
        <w:adjustRightInd w:val="0"/>
        <w:contextualSpacing w:val="0"/>
        <w:textAlignment w:val="baseline"/>
        <w:rPr>
          <w:rFonts w:eastAsia="Malgun Gothic"/>
        </w:rPr>
      </w:pPr>
      <w:r>
        <w:rPr>
          <w:rFonts w:hint="eastAsia" w:eastAsia="Malgun Gothic"/>
        </w:rPr>
        <w:t>7.</w:t>
      </w:r>
      <w:r>
        <w:rPr>
          <w:rFonts w:hint="eastAsia" w:eastAsia="Malgun Gothic"/>
          <w:lang w:val="en-GB" w:eastAsia="en-US"/>
        </w:rPr>
        <w:tab/>
      </w:r>
      <w:r>
        <w:rPr>
          <w:rFonts w:hint="eastAsia" w:eastAsia="Malgun Gothic"/>
        </w:rPr>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pPr>
        <w:pStyle w:val="111"/>
        <w:overflowPunct w:val="0"/>
        <w:autoSpaceDE w:val="0"/>
        <w:autoSpaceDN w:val="0"/>
        <w:adjustRightInd w:val="0"/>
        <w:contextualSpacing w:val="0"/>
        <w:textAlignment w:val="baseline"/>
        <w:rPr>
          <w:rFonts w:eastAsia="Malgun Gothic"/>
        </w:rPr>
      </w:pPr>
      <w:r>
        <w:rPr>
          <w:rFonts w:hint="eastAsia" w:eastAsia="Malgun Gothic"/>
        </w:rPr>
        <w:t>8.</w:t>
      </w:r>
      <w:r>
        <w:rPr>
          <w:rFonts w:hint="eastAsia" w:eastAsia="Malgun Gothic"/>
          <w:lang w:val="en-GB" w:eastAsia="en-US"/>
        </w:rPr>
        <w:tab/>
      </w:r>
      <w:r>
        <w:rPr>
          <w:rFonts w:hint="eastAsia" w:eastAsia="Malgun Gothic"/>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hint="eastAsia" w:eastAsia="Malgun Gothic"/>
        </w:rPr>
        <w:t>.</w:t>
      </w:r>
      <w:r>
        <w:rPr>
          <w:rFonts w:hint="eastAsia" w:eastAsia="Malgun Gothic"/>
        </w:rPr>
        <w:tab/>
      </w:r>
      <w:r>
        <w:rPr>
          <w:rFonts w:eastAsia="Malgun Gothic"/>
        </w:rPr>
        <w:t>Ensure the UE is in State 3A-RF-CE according to TS 36.508 [12] clause 5.2A.2AA. Message contents are defined in clause 7.6A.4.4.3.</w:t>
      </w:r>
    </w:p>
    <w:p>
      <w:pPr>
        <w:pStyle w:val="9"/>
      </w:pPr>
      <w:r>
        <w:t>7.6A.4.4.2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PDSCH via MPDCCH DCI format 6-1A for C_RNTI to transmit the DL RMC according to Table 7.</w:t>
      </w:r>
      <w:r>
        <w:rPr>
          <w:rFonts w:eastAsia="Malgun Gothic"/>
          <w:lang w:eastAsia="en-US"/>
        </w:rPr>
        <w:t>6A.4</w:t>
      </w:r>
      <w:r>
        <w:rPr>
          <w:rFonts w:eastAsia="Malgun Gothic"/>
        </w:rPr>
        <w:t xml:space="preserve">.4.1-1. The SS sends downlink MAC padding bits on the DL RMC. The SS sends one sided dynamic OCNG Pattern OP.1 FDD for the DL-signal as described in Annex A.5.1.1. </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SS sends uplink scheduling information for each UL HARQ process via MPDCCH DCI format 6-0A for C_RNTI to schedule the UL RMC according to Table 7.6A.4.4.1-1.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Set the parameters of the CW signal generator for an interfering signal below the wanted signal according to Table 7.6A.4.5-1.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Set the Downlink signal level to the value as defined in Table 7.6A.4.5-1. Send uplink power control commands to the UE using 1dB power step size to ensure that the UE output power measured by the test system is within the Uplink power control window, defined as -MU to -(MU + Uplink power control window size) dB of the target power level in Table 7.6A.4.5-1 for at least the duration of the </w:t>
      </w:r>
      <w:r>
        <w:rPr>
          <w:rFonts w:hint="eastAsia" w:eastAsia="Malgun Gothic"/>
        </w:rPr>
        <w:t>t</w:t>
      </w:r>
      <w:r>
        <w:rPr>
          <w:rFonts w:eastAsia="Malgun Gothic"/>
        </w:rPr>
        <w:t>hroughput measurement, where:</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MU is the test system uplink power measurement uncertainty and is specified in Table F.1.3-1 for the carrier frequency f and the channel bandwidth BW</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Repeat steps from 3 to 5, using an interfering signal above the wanted signal at step 3.</w:t>
      </w:r>
    </w:p>
    <w:p>
      <w:pPr>
        <w:pStyle w:val="9"/>
      </w:pPr>
      <w:r>
        <w:t>7.6A.4.4.3</w:t>
      </w:r>
      <w:r>
        <w:tab/>
      </w:r>
      <w:r>
        <w:t>Message Contents</w:t>
      </w:r>
    </w:p>
    <w:p>
      <w:pPr>
        <w:rPr>
          <w:rFonts w:eastAsia="??"/>
        </w:rPr>
      </w:pPr>
      <w:r>
        <w:t xml:space="preserve">Message contents are according to TS 36.508 [12] subclause 4.6 with the condition CEModeA </w:t>
      </w:r>
      <w:r>
        <w:rPr>
          <w:rFonts w:eastAsia="Batang"/>
        </w:rPr>
        <w:t xml:space="preserve">and the </w:t>
      </w:r>
      <w:r>
        <w:t>following exception.</w:t>
      </w:r>
    </w:p>
    <w:p>
      <w:pPr>
        <w:pStyle w:val="113"/>
      </w:pPr>
      <w:r>
        <w:t>Table 7.6A.4.4.3-1: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w:t>
            </w:r>
            <w:r>
              <w:rPr>
                <w:lang w:eastAsia="ko-KR"/>
              </w:rPr>
              <w:t>E-</w:t>
            </w:r>
            <w:r>
              <w:t>PUSCH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w:t>
            </w:r>
            <w:r>
              <w:rPr>
                <w:lang w:eastAsia="ko-KR"/>
              </w:rPr>
              <w:t>UE-</w:t>
            </w:r>
            <w:r>
              <w:t>PUCCH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
          <w:p>
            <w:pPr>
              <w:pStyle w:val="103"/>
            </w:pPr>
            <w:r>
              <w:t>fc8</w:t>
            </w:r>
          </w:p>
        </w:tc>
        <w:tc>
          <w:tcPr>
            <w:tcW w:w="1701" w:type="dxa"/>
            <w:tcBorders>
              <w:top w:val="single" w:color="auto" w:sz="4" w:space="0"/>
              <w:left w:val="single" w:color="auto" w:sz="4" w:space="0"/>
              <w:bottom w:val="single" w:color="auto" w:sz="4" w:space="0"/>
              <w:right w:val="single" w:color="auto" w:sz="4" w:space="0"/>
            </w:tcBorders>
          </w:tcPr>
          <w:p>
            <w:pPr>
              <w:pStyle w:val="103"/>
            </w:pPr>
            <w:r>
              <w:t>larger filter length is used to reduce the RSRP measurement variation</w:t>
            </w: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7.6A.4.5</w:t>
      </w:r>
      <w:r>
        <w:tab/>
      </w:r>
      <w:r>
        <w:t>Test Requirement</w:t>
      </w:r>
    </w:p>
    <w:p>
      <w:r>
        <w:t>The throughput measurement derived in test procedure shall be ≥ 95% of the maximum throughput of the reference measurement channels as specified in Annex A.3.2 with parameters specified in Table 7.6A.4.5-1.</w:t>
      </w:r>
    </w:p>
    <w:p>
      <w:pPr>
        <w:pStyle w:val="113"/>
      </w:pPr>
      <w:r>
        <w:t xml:space="preserve">Table </w:t>
      </w:r>
      <w:r>
        <w:rPr>
          <w:rFonts w:eastAsia="MS Mincho"/>
        </w:rPr>
        <w:t>7.6A.4.5-1</w:t>
      </w:r>
      <w:r>
        <w:t>: Narrow-band blocking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1159"/>
        <w:gridCol w:w="57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restart"/>
            <w:vAlign w:val="center"/>
          </w:tcPr>
          <w:p>
            <w:pPr>
              <w:pStyle w:val="104"/>
              <w:rPr>
                <w:rFonts w:cs="Arial"/>
              </w:rPr>
            </w:pPr>
            <w:r>
              <w:rPr>
                <w:rFonts w:cs="Arial"/>
              </w:rPr>
              <w:t>Parameter</w:t>
            </w:r>
          </w:p>
        </w:tc>
        <w:tc>
          <w:tcPr>
            <w:tcW w:w="1159" w:type="dxa"/>
            <w:vMerge w:val="restart"/>
            <w:vAlign w:val="center"/>
          </w:tcPr>
          <w:p>
            <w:pPr>
              <w:pStyle w:val="104"/>
              <w:rPr>
                <w:rFonts w:cs="Arial"/>
              </w:rPr>
            </w:pPr>
            <w:r>
              <w:rPr>
                <w:rFonts w:cs="Arial"/>
              </w:rPr>
              <w:t>Unit</w:t>
            </w:r>
          </w:p>
        </w:tc>
        <w:tc>
          <w:tcPr>
            <w:tcW w:w="5782" w:type="dxa"/>
            <w:vAlign w:val="center"/>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vAlign w:val="center"/>
          </w:tcPr>
          <w:p>
            <w:pPr>
              <w:pStyle w:val="104"/>
              <w:rPr>
                <w:rFonts w:cs="Arial"/>
              </w:rPr>
            </w:pPr>
          </w:p>
        </w:tc>
        <w:tc>
          <w:tcPr>
            <w:tcW w:w="1159" w:type="dxa"/>
            <w:vMerge w:val="continue"/>
            <w:vAlign w:val="center"/>
          </w:tcPr>
          <w:p>
            <w:pPr>
              <w:pStyle w:val="104"/>
              <w:rPr>
                <w:rFonts w:cs="Arial"/>
              </w:rPr>
            </w:pPr>
          </w:p>
        </w:tc>
        <w:tc>
          <w:tcPr>
            <w:tcW w:w="5782" w:type="dxa"/>
            <w:vAlign w:val="center"/>
          </w:tcPr>
          <w:p>
            <w:pPr>
              <w:pStyle w:val="104"/>
              <w:rPr>
                <w:rFonts w:cs="Arial"/>
              </w:rPr>
            </w:pPr>
            <w:r>
              <w:rPr>
                <w:rFonts w:cs="Arial"/>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restart"/>
            <w:vAlign w:val="center"/>
          </w:tcPr>
          <w:p>
            <w:pPr>
              <w:pStyle w:val="105"/>
              <w:rPr>
                <w:rFonts w:cs="Arial"/>
              </w:rPr>
            </w:pPr>
            <w:r>
              <w:rPr>
                <w:rFonts w:cs="Arial"/>
              </w:rPr>
              <w:t>P</w:t>
            </w:r>
            <w:r>
              <w:rPr>
                <w:rFonts w:cs="Arial"/>
                <w:vertAlign w:val="subscript"/>
              </w:rPr>
              <w:t>w</w:t>
            </w:r>
          </w:p>
        </w:tc>
        <w:tc>
          <w:tcPr>
            <w:tcW w:w="1159" w:type="dxa"/>
            <w:vMerge w:val="restart"/>
            <w:vAlign w:val="center"/>
          </w:tcPr>
          <w:p>
            <w:pPr>
              <w:pStyle w:val="105"/>
              <w:rPr>
                <w:rFonts w:cs="Arial"/>
              </w:rPr>
            </w:pPr>
            <w:r>
              <w:rPr>
                <w:rFonts w:cs="Arial"/>
              </w:rPr>
              <w:t>dBm</w:t>
            </w:r>
          </w:p>
        </w:tc>
        <w:tc>
          <w:tcPr>
            <w:tcW w:w="5782" w:type="dxa"/>
            <w:vAlign w:val="center"/>
          </w:tcPr>
          <w:p>
            <w:pPr>
              <w:pStyle w:val="105"/>
              <w:rPr>
                <w:rFonts w:cs="Arial"/>
              </w:rPr>
            </w:pPr>
            <w:r>
              <w:rPr>
                <w:rFonts w:cs="Arial"/>
              </w:rPr>
              <w:t>P</w:t>
            </w:r>
            <w:r>
              <w:rPr>
                <w:rFonts w:cs="Arial"/>
                <w:vertAlign w:val="subscript"/>
              </w:rPr>
              <w:t>REFSENS</w:t>
            </w:r>
            <w:r>
              <w:rPr>
                <w:rFonts w:cs="Arial"/>
              </w:rPr>
              <w:t xml:space="preserve"> + channel-bandwidth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vAlign w:val="center"/>
          </w:tcPr>
          <w:p>
            <w:pPr>
              <w:pStyle w:val="105"/>
              <w:rPr>
                <w:rFonts w:cs="Arial"/>
              </w:rPr>
            </w:pPr>
          </w:p>
        </w:tc>
        <w:tc>
          <w:tcPr>
            <w:tcW w:w="1159" w:type="dxa"/>
            <w:vMerge w:val="continue"/>
            <w:vAlign w:val="center"/>
          </w:tcPr>
          <w:p>
            <w:pPr>
              <w:pStyle w:val="105"/>
              <w:rPr>
                <w:rFonts w:cs="Arial"/>
              </w:rPr>
            </w:pPr>
          </w:p>
        </w:tc>
        <w:tc>
          <w:tcPr>
            <w:tcW w:w="5782" w:type="dxa"/>
            <w:vAlign w:val="center"/>
          </w:tcPr>
          <w:p>
            <w:pPr>
              <w:pStyle w:val="105"/>
              <w:rPr>
                <w:rFonts w:cs="Arial"/>
              </w:rPr>
            </w:pPr>
            <w:r>
              <w:rPr>
                <w:rFonts w:cs="Arial"/>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Align w:val="center"/>
          </w:tcPr>
          <w:p>
            <w:pPr>
              <w:pStyle w:val="105"/>
              <w:rPr>
                <w:rFonts w:cs="Arial"/>
              </w:rPr>
            </w:pPr>
            <w:r>
              <w:rPr>
                <w:rFonts w:cs="Arial"/>
              </w:rPr>
              <w:t>P</w:t>
            </w:r>
            <w:r>
              <w:rPr>
                <w:rFonts w:cs="Arial"/>
                <w:vertAlign w:val="subscript"/>
              </w:rPr>
              <w:t>uw</w:t>
            </w:r>
            <w:r>
              <w:rPr>
                <w:rFonts w:cs="Arial"/>
              </w:rPr>
              <w:t xml:space="preserve"> (CW)</w:t>
            </w:r>
          </w:p>
        </w:tc>
        <w:tc>
          <w:tcPr>
            <w:tcW w:w="1159" w:type="dxa"/>
            <w:vAlign w:val="center"/>
          </w:tcPr>
          <w:p>
            <w:pPr>
              <w:pStyle w:val="105"/>
              <w:rPr>
                <w:rFonts w:cs="Arial"/>
              </w:rPr>
            </w:pPr>
            <w:r>
              <w:rPr>
                <w:rFonts w:cs="Arial"/>
              </w:rPr>
              <w:t>dBm</w:t>
            </w:r>
          </w:p>
        </w:tc>
        <w:tc>
          <w:tcPr>
            <w:tcW w:w="5782" w:type="dxa"/>
            <w:vAlign w:val="center"/>
          </w:tcPr>
          <w:p>
            <w:pPr>
              <w:pStyle w:val="105"/>
              <w:rPr>
                <w:rFonts w:cs="Arial"/>
              </w:rPr>
            </w:pPr>
            <w:r>
              <w:rPr>
                <w:rFonts w:cs="Arial"/>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Align w:val="center"/>
          </w:tcPr>
          <w:p>
            <w:pPr>
              <w:pStyle w:val="105"/>
              <w:rPr>
                <w:rFonts w:cs="Arial"/>
              </w:rPr>
            </w:pPr>
            <w:r>
              <w:rPr>
                <w:rFonts w:cs="Arial"/>
              </w:rPr>
              <w:t>F</w:t>
            </w:r>
            <w:r>
              <w:rPr>
                <w:rFonts w:cs="Arial"/>
                <w:vertAlign w:val="subscript"/>
              </w:rPr>
              <w:t>uw</w:t>
            </w:r>
            <w:r>
              <w:rPr>
                <w:rFonts w:cs="Arial"/>
              </w:rPr>
              <w:t xml:space="preserve"> (offset for</w:t>
            </w:r>
          </w:p>
          <w:p>
            <w:pPr>
              <w:pStyle w:val="105"/>
              <w:rPr>
                <w:rFonts w:cs="Arial"/>
              </w:rPr>
            </w:pPr>
            <w:r>
              <w:rPr>
                <w:rFonts w:ascii="Symbol" w:hAnsi="Symbol" w:cs="Arial"/>
                <w:i/>
                <w:iCs/>
              </w:rPr>
              <w:t></w:t>
            </w:r>
            <w:r>
              <w:rPr>
                <w:rFonts w:cs="Arial"/>
                <w:i/>
                <w:iCs/>
              </w:rPr>
              <w:t>f</w:t>
            </w:r>
            <w:r>
              <w:rPr>
                <w:rFonts w:cs="Arial"/>
              </w:rPr>
              <w:t xml:space="preserve"> = 15 kHz)</w:t>
            </w:r>
          </w:p>
        </w:tc>
        <w:tc>
          <w:tcPr>
            <w:tcW w:w="1159" w:type="dxa"/>
            <w:vAlign w:val="center"/>
          </w:tcPr>
          <w:p>
            <w:pPr>
              <w:pStyle w:val="105"/>
              <w:rPr>
                <w:rFonts w:cs="Arial"/>
              </w:rPr>
            </w:pPr>
            <w:r>
              <w:rPr>
                <w:rFonts w:cs="Arial"/>
              </w:rPr>
              <w:t>MHz</w:t>
            </w:r>
          </w:p>
        </w:tc>
        <w:tc>
          <w:tcPr>
            <w:tcW w:w="5782" w:type="dxa"/>
            <w:vAlign w:val="center"/>
          </w:tcPr>
          <w:p>
            <w:pPr>
              <w:pStyle w:val="105"/>
              <w:rPr>
                <w:rFonts w:cs="Arial"/>
              </w:rPr>
            </w:pPr>
            <w:r>
              <w:rPr>
                <w:rFonts w:cs="Arial"/>
              </w:rPr>
              <w:t>0.9075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Align w:val="center"/>
          </w:tcPr>
          <w:p>
            <w:pPr>
              <w:pStyle w:val="105"/>
              <w:rPr>
                <w:rFonts w:ascii="Symbol" w:hAnsi="Symbol" w:cs="Arial"/>
                <w:i/>
                <w:iCs/>
              </w:rPr>
            </w:pPr>
            <w:r>
              <w:rPr>
                <w:rFonts w:cs="Arial"/>
              </w:rPr>
              <w:t>F</w:t>
            </w:r>
            <w:r>
              <w:rPr>
                <w:rFonts w:cs="Arial"/>
                <w:vertAlign w:val="subscript"/>
              </w:rPr>
              <w:t>uw</w:t>
            </w:r>
            <w:r>
              <w:rPr>
                <w:rFonts w:cs="Arial"/>
              </w:rPr>
              <w:t xml:space="preserve"> (offset for</w:t>
            </w:r>
            <w:r>
              <w:rPr>
                <w:rFonts w:ascii="Symbol" w:hAnsi="Symbol" w:cs="Arial"/>
                <w:i/>
                <w:iCs/>
              </w:rPr>
              <w:t></w:t>
            </w:r>
          </w:p>
          <w:p>
            <w:pPr>
              <w:pStyle w:val="105"/>
              <w:rPr>
                <w:rFonts w:ascii="Symbol" w:hAnsi="Symbol" w:cs="Arial"/>
                <w:i/>
                <w:iCs/>
              </w:rPr>
            </w:pPr>
            <w:r>
              <w:rPr>
                <w:rFonts w:ascii="Symbol" w:hAnsi="Symbol" w:cs="Arial"/>
                <w:i/>
                <w:iCs/>
              </w:rPr>
              <w:t></w:t>
            </w:r>
            <w:r>
              <w:rPr>
                <w:rFonts w:cs="Arial"/>
                <w:i/>
                <w:iCs/>
              </w:rPr>
              <w:t>f</w:t>
            </w:r>
            <w:r>
              <w:rPr>
                <w:rFonts w:cs="Arial"/>
              </w:rPr>
              <w:t xml:space="preserve"> = 7.5 kHz)</w:t>
            </w:r>
          </w:p>
        </w:tc>
        <w:tc>
          <w:tcPr>
            <w:tcW w:w="1159" w:type="dxa"/>
            <w:vAlign w:val="center"/>
          </w:tcPr>
          <w:p>
            <w:pPr>
              <w:pStyle w:val="105"/>
              <w:rPr>
                <w:rFonts w:cs="Arial"/>
              </w:rPr>
            </w:pPr>
            <w:r>
              <w:rPr>
                <w:rFonts w:cs="Arial"/>
              </w:rPr>
              <w:t>MHz</w:t>
            </w:r>
          </w:p>
        </w:tc>
        <w:tc>
          <w:tcPr>
            <w:tcW w:w="5782" w:type="dxa"/>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0" w:type="dxa"/>
            <w:gridSpan w:val="3"/>
          </w:tcPr>
          <w:p>
            <w:pPr>
              <w:pStyle w:val="118"/>
              <w:rPr>
                <w:rFonts w:eastAsia="?? ??"/>
              </w:rPr>
            </w:pPr>
            <w:r>
              <w:rPr>
                <w:rFonts w:eastAsia="?? ??"/>
              </w:rPr>
              <w:t>NOTE 1:</w:t>
            </w:r>
            <w:r>
              <w:rPr>
                <w:rFonts w:eastAsia="?? ??"/>
              </w:rPr>
              <w:tab/>
            </w:r>
            <w:r>
              <w:rPr>
                <w:rFonts w:eastAsia="?? ??"/>
              </w:rPr>
              <w:t xml:space="preserve">The transmitter shall be set a 4 dB below </w:t>
            </w:r>
            <w:r>
              <w:t>P</w:t>
            </w:r>
            <w:r>
              <w:rPr>
                <w:sz w:val="12"/>
                <w:szCs w:val="12"/>
              </w:rPr>
              <w:t>CMAX_L</w:t>
            </w:r>
            <w:r>
              <w:rPr>
                <w:rFonts w:eastAsia="MS Mincho"/>
              </w:rPr>
              <w:t xml:space="preserve"> at the minimum uplink configuration specified in Table 7.3A.3-3 with </w:t>
            </w:r>
            <w:r>
              <w:t>P</w:t>
            </w:r>
            <w:r>
              <w:rPr>
                <w:sz w:val="12"/>
                <w:szCs w:val="12"/>
              </w:rPr>
              <w:t>CMAX_L</w:t>
            </w:r>
            <w:r>
              <w:rPr>
                <w:rFonts w:eastAsia="MS Mincho"/>
              </w:rPr>
              <w:t xml:space="preserve"> as defined in subclause 6.2.5 of TS 36.101 [7]</w:t>
            </w:r>
            <w:r>
              <w:rPr>
                <w:rFonts w:eastAsia="?? ??"/>
              </w:rPr>
              <w:t>.</w:t>
            </w:r>
          </w:p>
          <w:p>
            <w:pPr>
              <w:pStyle w:val="118"/>
              <w:rPr>
                <w:rFonts w:eastAsia="?? ??"/>
              </w:rPr>
            </w:pPr>
            <w:r>
              <w:rPr>
                <w:rFonts w:eastAsia="?? ??"/>
              </w:rPr>
              <w:t>NOTE 2:</w:t>
            </w:r>
            <w:r>
              <w:rPr>
                <w:rFonts w:eastAsia="?? ??"/>
              </w:rPr>
              <w:tab/>
            </w:r>
            <w:r>
              <w:rPr>
                <w:rFonts w:eastAsia="?? ??"/>
              </w:rPr>
              <w:t xml:space="preserve">Reference measurement channel is </w:t>
            </w:r>
            <w:r>
              <w:rPr>
                <w:rFonts w:eastAsia="MS Mincho"/>
              </w:rPr>
              <w:t>specified in Annex</w:t>
            </w:r>
            <w:r>
              <w:rPr>
                <w:rFonts w:eastAsia="?? ??"/>
              </w:rPr>
              <w:t xml:space="preserve"> A.3.2 with </w:t>
            </w:r>
            <w:r>
              <w:t>one sided dynamic OCNG Pattern OP.1 FDD as described in Annex A.5.1.1</w:t>
            </w:r>
            <w:r>
              <w:rPr>
                <w:rFonts w:eastAsia="?? ??"/>
              </w:rPr>
              <w:t>.</w:t>
            </w:r>
          </w:p>
          <w:p>
            <w:pPr>
              <w:pStyle w:val="118"/>
              <w:rPr>
                <w:rFonts w:eastAsia="MS Mincho"/>
              </w:rPr>
            </w:pPr>
            <w:r>
              <w:rPr>
                <w:rFonts w:eastAsia="MS Mincho"/>
              </w:rPr>
              <w:t>NOTE 3:</w:t>
            </w:r>
            <w:r>
              <w:rPr>
                <w:rFonts w:eastAsia="MS Mincho"/>
              </w:rPr>
              <w:tab/>
            </w:r>
            <w:r>
              <w:rPr>
                <w:rFonts w:eastAsia="MS Mincho"/>
              </w:rPr>
              <w:t>For DL category M1 UE, the reference sensitivity for category M1 in Table 7.3A.3-1 should be used as P</w:t>
            </w:r>
            <w:r>
              <w:rPr>
                <w:rFonts w:eastAsia="MS Mincho"/>
                <w:vertAlign w:val="subscript"/>
              </w:rPr>
              <w:t>REFSENS</w:t>
            </w:r>
            <w:r>
              <w:rPr>
                <w:rFonts w:eastAsia="MS Mincho"/>
              </w:rPr>
              <w:t xml:space="preserve"> for P</w:t>
            </w:r>
            <w:r>
              <w:rPr>
                <w:rFonts w:eastAsia="MS Mincho"/>
                <w:vertAlign w:val="subscript"/>
              </w:rPr>
              <w:t>w</w:t>
            </w:r>
            <w:r>
              <w:rPr>
                <w:rFonts w:eastAsia="MS Mincho"/>
              </w:rPr>
              <w:t>.</w:t>
            </w:r>
          </w:p>
          <w:p>
            <w:pPr>
              <w:pStyle w:val="118"/>
            </w:pPr>
            <w:r>
              <w:rPr>
                <w:rFonts w:eastAsia="MS Mincho"/>
              </w:rPr>
              <w:t>NOTE 4:</w:t>
            </w:r>
            <w:r>
              <w:rPr>
                <w:rFonts w:eastAsia="MS Mincho"/>
              </w:rPr>
              <w:tab/>
            </w:r>
            <w:r>
              <w:t>For DL category M1 UE, the parameters for the applicable channel bandwidth apply.</w:t>
            </w:r>
          </w:p>
          <w:p>
            <w:pPr>
              <w:pStyle w:val="118"/>
              <w:rPr>
                <w:rFonts w:eastAsia="?? ??"/>
                <w:b/>
                <w:bCs/>
                <w:szCs w:val="18"/>
              </w:rPr>
            </w:pPr>
            <w:r>
              <w:rPr>
                <w:bCs/>
                <w:szCs w:val="18"/>
              </w:rPr>
              <w:t>NOTE 5:</w:t>
            </w:r>
            <w:r>
              <w:rPr>
                <w:bCs/>
                <w:szCs w:val="18"/>
              </w:rPr>
              <w:tab/>
            </w:r>
            <w:r>
              <w:rPr>
                <w:bCs/>
                <w:szCs w:val="18"/>
              </w:rPr>
              <w:t>For DL category M1 UE, the parameter, P</w:t>
            </w:r>
            <w:r>
              <w:rPr>
                <w:bCs/>
                <w:szCs w:val="18"/>
                <w:vertAlign w:val="subscript"/>
              </w:rPr>
              <w:t>w,</w:t>
            </w:r>
            <w:r>
              <w:rPr>
                <w:bCs/>
                <w:szCs w:val="18"/>
              </w:rPr>
              <w:t xml:space="preserve"> for all the channel bandwidth will be P</w:t>
            </w:r>
            <w:r>
              <w:rPr>
                <w:bCs/>
                <w:szCs w:val="18"/>
                <w:vertAlign w:val="subscript"/>
              </w:rPr>
              <w:t>REFSENS</w:t>
            </w:r>
            <w:r>
              <w:rPr>
                <w:bCs/>
                <w:szCs w:val="18"/>
              </w:rPr>
              <w:t xml:space="preserve"> +22</w:t>
            </w:r>
            <w:r>
              <w:rPr>
                <w:bCs/>
                <w:szCs w:val="18"/>
                <w:lang w:val="en-US"/>
              </w:rPr>
              <w:t> </w:t>
            </w:r>
            <w:r>
              <w:rPr>
                <w:bCs/>
                <w:szCs w:val="18"/>
              </w:rPr>
              <w:t xml:space="preserve">dBm. </w:t>
            </w:r>
          </w:p>
        </w:tc>
      </w:tr>
    </w:tbl>
    <w:p>
      <w:pPr>
        <w:rPr>
          <w:rFonts w:eastAsia="PMingLiU"/>
          <w:lang w:eastAsia="zh-TW"/>
        </w:rPr>
      </w:pPr>
    </w:p>
    <w:p>
      <w:pPr>
        <w:pStyle w:val="4"/>
      </w:pPr>
      <w:bookmarkStart w:id="1347" w:name="_Toc24375"/>
      <w:bookmarkStart w:id="1348" w:name="_Toc120570106"/>
      <w:bookmarkStart w:id="1349" w:name="_Toc6208"/>
      <w:bookmarkStart w:id="1350" w:name="_Toc121162898"/>
      <w:bookmarkStart w:id="1351" w:name="_Toc2045"/>
      <w:bookmarkStart w:id="1352" w:name="_Toc10236"/>
      <w:bookmarkStart w:id="1353" w:name="_Toc11070"/>
      <w:bookmarkStart w:id="1354" w:name="_Toc11010"/>
      <w:bookmarkStart w:id="1355" w:name="_Toc120812863"/>
      <w:bookmarkStart w:id="1356" w:name="_Toc32597"/>
      <w:r>
        <w:t>7.6B</w:t>
      </w:r>
      <w:r>
        <w:tab/>
      </w:r>
      <w:r>
        <w:t>Blocking characteristics for category NB1 and NB2</w:t>
      </w:r>
      <w:bookmarkEnd w:id="1347"/>
      <w:bookmarkEnd w:id="1348"/>
      <w:bookmarkEnd w:id="1349"/>
      <w:bookmarkEnd w:id="1350"/>
      <w:bookmarkEnd w:id="1351"/>
      <w:bookmarkEnd w:id="1352"/>
      <w:bookmarkEnd w:id="1353"/>
      <w:bookmarkEnd w:id="1354"/>
      <w:bookmarkEnd w:id="1355"/>
      <w:bookmarkEnd w:id="1356"/>
    </w:p>
    <w:p>
      <w:pPr>
        <w:pStyle w:val="5"/>
      </w:pPr>
      <w:bookmarkStart w:id="1357" w:name="_Toc121162899"/>
      <w:bookmarkStart w:id="1358" w:name="_Toc7638"/>
      <w:bookmarkStart w:id="1359" w:name="_Toc20001"/>
      <w:bookmarkStart w:id="1360" w:name="_Toc120812864"/>
      <w:bookmarkStart w:id="1361" w:name="_Toc18459"/>
      <w:bookmarkStart w:id="1362" w:name="_Toc25144"/>
      <w:bookmarkStart w:id="1363" w:name="_Toc15345"/>
      <w:bookmarkStart w:id="1364" w:name="_Toc29663"/>
      <w:bookmarkStart w:id="1365" w:name="_Toc7312"/>
      <w:bookmarkStart w:id="1366" w:name="_Toc120570107"/>
      <w:r>
        <w:t>7.6B.1</w:t>
      </w:r>
      <w:r>
        <w:tab/>
      </w:r>
      <w:r>
        <w:t>General</w:t>
      </w:r>
      <w:bookmarkEnd w:id="1357"/>
      <w:bookmarkEnd w:id="1358"/>
      <w:bookmarkEnd w:id="1359"/>
      <w:bookmarkEnd w:id="1360"/>
      <w:bookmarkEnd w:id="1361"/>
      <w:bookmarkEnd w:id="1362"/>
      <w:bookmarkEnd w:id="1363"/>
      <w:bookmarkEnd w:id="1364"/>
      <w:bookmarkEnd w:id="1365"/>
      <w:bookmarkEnd w:id="1366"/>
    </w:p>
    <w:p>
      <w:r>
        <w:rPr>
          <w:rFonts w:hint="eastAsia"/>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pPr>
        <w:pStyle w:val="5"/>
      </w:pPr>
      <w:bookmarkStart w:id="1367" w:name="_Toc23387"/>
      <w:bookmarkStart w:id="1368" w:name="_Toc23249"/>
      <w:bookmarkStart w:id="1369" w:name="_Toc120570108"/>
      <w:bookmarkStart w:id="1370" w:name="_Toc23248"/>
      <w:bookmarkStart w:id="1371" w:name="_Toc13935"/>
      <w:bookmarkStart w:id="1372" w:name="_Toc21503"/>
      <w:bookmarkStart w:id="1373" w:name="_Toc28662"/>
      <w:bookmarkStart w:id="1374" w:name="_Toc12368"/>
      <w:bookmarkStart w:id="1375" w:name="_Toc121162900"/>
      <w:bookmarkStart w:id="1376" w:name="_Toc368026383"/>
      <w:r>
        <w:t>7.6B.2</w:t>
      </w:r>
      <w:r>
        <w:tab/>
      </w:r>
      <w:r>
        <w:t>In-band blocking for category NB1 and NB2</w:t>
      </w:r>
      <w:bookmarkEnd w:id="1367"/>
      <w:bookmarkEnd w:id="1368"/>
      <w:bookmarkEnd w:id="1369"/>
      <w:bookmarkEnd w:id="1370"/>
      <w:bookmarkEnd w:id="1371"/>
      <w:bookmarkEnd w:id="1372"/>
      <w:bookmarkEnd w:id="1373"/>
      <w:bookmarkEnd w:id="1374"/>
      <w:bookmarkEnd w:id="1375"/>
    </w:p>
    <w:p>
      <w:pPr>
        <w:pStyle w:val="112"/>
        <w:rPr>
          <w:i w:val="0"/>
          <w:iCs w:val="0"/>
          <w:lang w:val="en-GB"/>
        </w:rPr>
      </w:pPr>
      <w:r>
        <w:t>Editor’s Note: Addition to applicability spec is pending.</w:t>
      </w:r>
    </w:p>
    <w:p>
      <w:pPr>
        <w:pStyle w:val="9"/>
      </w:pPr>
      <w:r>
        <w:rPr>
          <w:rFonts w:eastAsia="??"/>
        </w:rPr>
        <w:t>7.6B.2.1</w:t>
      </w:r>
      <w:r>
        <w:rPr>
          <w:rFonts w:eastAsia="??"/>
        </w:rPr>
        <w:tab/>
      </w:r>
      <w:r>
        <w:rPr>
          <w:rFonts w:eastAsia="??"/>
        </w:rPr>
        <w:t>Test Purpose</w:t>
      </w:r>
    </w:p>
    <w:p>
      <w:r>
        <w:rPr>
          <w:rFonts w:eastAsia="Osaka"/>
        </w:rPr>
        <w:t>In-band blocking is defined for an</w:t>
      </w:r>
      <w:r>
        <w:t xml:space="preserve"> unwanted interfering signal falling into the UE receive band or into the first 15 MHz below or above the UE receive band </w:t>
      </w:r>
      <w:r>
        <w:rPr>
          <w:rFonts w:cs="v5.0.0"/>
        </w:rPr>
        <w:t xml:space="preserve">at which the relative throughput shall </w:t>
      </w:r>
      <w:r>
        <w:t>meet or exceed the minimum requirement for the specified measurement channels</w:t>
      </w:r>
      <w:r>
        <w:rPr>
          <w:rFonts w:cs="v5.0.0"/>
        </w:rPr>
        <w:t>.</w:t>
      </w:r>
    </w:p>
    <w:p>
      <w:r>
        <w:t>The lack of in-band blocking ability will decrease the coverage area when other e-NodeB transmitters exist (except in the adjacent channels and spurious response).</w:t>
      </w:r>
    </w:p>
    <w:p>
      <w:pPr>
        <w:pStyle w:val="9"/>
      </w:pPr>
      <w:r>
        <w:rPr>
          <w:rFonts w:eastAsia="??"/>
        </w:rPr>
        <w:t>7.6B.2.2</w:t>
      </w:r>
      <w:r>
        <w:rPr>
          <w:rFonts w:eastAsia="??"/>
        </w:rPr>
        <w:tab/>
      </w:r>
      <w:r>
        <w:rPr>
          <w:rFonts w:eastAsia="??"/>
        </w:rPr>
        <w:t>Test Applicability</w:t>
      </w:r>
    </w:p>
    <w:p>
      <w:r>
        <w:t>This test case applies to all types of E-UTRA UE release 17 and forward of category</w:t>
      </w:r>
      <w:r>
        <w:rPr>
          <w:lang w:eastAsia="zh-TW"/>
        </w:rPr>
        <w:t xml:space="preserve"> NB1 and</w:t>
      </w:r>
      <w:r>
        <w:t xml:space="preserve"> NB2</w:t>
      </w:r>
      <w:r>
        <w:rPr>
          <w:rFonts w:ascii="宋体" w:hAnsi="宋体" w:cs="宋体"/>
          <w:lang w:eastAsia="zh-TW"/>
        </w:rPr>
        <w:t xml:space="preserve"> </w:t>
      </w:r>
      <w:r>
        <w:t>that support satellite access operation.</w:t>
      </w:r>
    </w:p>
    <w:p>
      <w:pPr>
        <w:pStyle w:val="9"/>
      </w:pPr>
      <w:r>
        <w:rPr>
          <w:rFonts w:eastAsia="??"/>
        </w:rPr>
        <w:t>7.6B.2.3</w:t>
      </w:r>
      <w:r>
        <w:rPr>
          <w:rFonts w:eastAsia="??"/>
        </w:rPr>
        <w:tab/>
      </w:r>
      <w:r>
        <w:rPr>
          <w:rFonts w:eastAsia="??"/>
        </w:rPr>
        <w:t>Minimum Conformance Requirements</w:t>
      </w:r>
    </w:p>
    <w:p>
      <w:r>
        <w:t xml:space="preserve">Category NB1 and NB2 UE throughput shall be ≥ 95% of the maximum throughput of the reference measurement channel as specified in </w:t>
      </w:r>
      <w:r>
        <w:rPr>
          <w:color w:val="000000" w:themeColor="text1"/>
          <w14:textFill>
            <w14:solidFill>
              <w14:schemeClr w14:val="tx1"/>
            </w14:solidFill>
          </w14:textFill>
        </w:rPr>
        <w:t xml:space="preserve">TS 36.101 [7] </w:t>
      </w:r>
      <w:r>
        <w:t>Annex A.3.2 with parameters specified in Table 7.6B.2.3-1.</w:t>
      </w:r>
    </w:p>
    <w:p>
      <w:pPr>
        <w:pStyle w:val="113"/>
      </w:pPr>
      <w:r>
        <w:t>Table 7.6B.2.3-1: In-band blocking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9"/>
        <w:gridCol w:w="3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IBB1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wanted</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- 56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Interferer offset from category NB1</w:t>
            </w:r>
            <w:r>
              <w:rPr>
                <w:rFonts w:eastAsia="MS Mincho" w:cs="Arial"/>
              </w:rPr>
              <w:t xml:space="preserve"> or NB2</w:t>
            </w:r>
            <w:r>
              <w:rPr>
                <w:rFonts w:eastAsia="MS Mincho" w:cs="Arial"/>
                <w:bCs/>
              </w:rPr>
              <w:t xml:space="preserve"> channel edge</w:t>
            </w:r>
          </w:p>
        </w:tc>
        <w:tc>
          <w:tcPr>
            <w:tcW w:w="0" w:type="auto"/>
            <w:shd w:val="clear" w:color="auto" w:fill="auto"/>
            <w:vAlign w:val="center"/>
          </w:tcPr>
          <w:p>
            <w:pPr>
              <w:pStyle w:val="105"/>
              <w:rPr>
                <w:rFonts w:cs="Arial"/>
              </w:rPr>
            </w:pPr>
            <w:r>
              <w:rPr>
                <w:rFonts w:eastAsia="MS Mincho" w:cs="Arial"/>
              </w:rPr>
              <w:t xml:space="preserve">+7.5 MHz </w:t>
            </w:r>
            <w:r>
              <w:rPr>
                <w:rFonts w:cs="Arial"/>
              </w:rPr>
              <w:t>+ 0.005 MHz</w:t>
            </w:r>
          </w:p>
          <w:p>
            <w:pPr>
              <w:pStyle w:val="105"/>
              <w:rPr>
                <w:rFonts w:cs="Arial"/>
              </w:rPr>
            </w:pPr>
            <w:r>
              <w:rPr>
                <w:rFonts w:cs="Arial"/>
              </w:rPr>
              <w:t>and</w:t>
            </w:r>
          </w:p>
          <w:p>
            <w:pPr>
              <w:pStyle w:val="105"/>
              <w:rPr>
                <w:rFonts w:eastAsia="MS Mincho" w:cs="Arial"/>
              </w:rPr>
            </w:pPr>
            <w:r>
              <w:rPr>
                <w:rFonts w:eastAsia="MS Mincho" w:cs="Arial"/>
              </w:rPr>
              <w:t>-7.5 MHz - 0.005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 xml:space="preserve">wanted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- 44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 xml:space="preserve">Interferer offset range from category NB1 </w:t>
            </w:r>
            <w:r>
              <w:rPr>
                <w:rFonts w:eastAsia="MS Mincho" w:cs="Arial"/>
              </w:rPr>
              <w:t xml:space="preserve">or NB2 </w:t>
            </w:r>
            <w:r>
              <w:rPr>
                <w:rFonts w:eastAsia="MS Mincho" w:cs="Arial"/>
                <w:bCs/>
              </w:rPr>
              <w:t>channel edge</w:t>
            </w:r>
          </w:p>
        </w:tc>
        <w:tc>
          <w:tcPr>
            <w:tcW w:w="0" w:type="auto"/>
            <w:shd w:val="clear" w:color="auto" w:fill="auto"/>
            <w:vAlign w:val="center"/>
          </w:tcPr>
          <w:p>
            <w:pPr>
              <w:pStyle w:val="105"/>
              <w:rPr>
                <w:rFonts w:cs="Arial"/>
              </w:rPr>
            </w:pPr>
            <w:r>
              <w:rPr>
                <w:rFonts w:eastAsia="MS Mincho" w:cs="Arial"/>
              </w:rPr>
              <w:t xml:space="preserve">From +12.5 MHz </w:t>
            </w:r>
            <w:r>
              <w:rPr>
                <w:rFonts w:cs="Arial"/>
              </w:rPr>
              <w:t>to F</w:t>
            </w:r>
            <w:r>
              <w:rPr>
                <w:rFonts w:cs="Arial"/>
                <w:vertAlign w:val="subscript"/>
              </w:rPr>
              <w:t xml:space="preserve">DL_high </w:t>
            </w:r>
            <w:r>
              <w:rPr>
                <w:rFonts w:cs="Arial"/>
              </w:rPr>
              <w:t>+ 15 MHz</w:t>
            </w:r>
          </w:p>
          <w:p>
            <w:pPr>
              <w:pStyle w:val="105"/>
              <w:rPr>
                <w:rFonts w:cs="Arial"/>
              </w:rPr>
            </w:pPr>
            <w:r>
              <w:rPr>
                <w:rFonts w:cs="Arial"/>
              </w:rPr>
              <w:t>and</w:t>
            </w:r>
          </w:p>
          <w:p>
            <w:pPr>
              <w:pStyle w:val="105"/>
              <w:rPr>
                <w:rFonts w:cs="Arial"/>
              </w:rPr>
            </w:pPr>
            <w:r>
              <w:rPr>
                <w:rFonts w:eastAsia="MS Mincho" w:cs="Arial"/>
              </w:rPr>
              <w:t>From -12.5 MHz</w:t>
            </w:r>
            <w:r>
              <w:rPr>
                <w:rFonts w:cs="Arial"/>
              </w:rPr>
              <w:t xml:space="preserve"> to F</w:t>
            </w:r>
            <w:r>
              <w:rPr>
                <w:rFonts w:cs="Arial"/>
                <w:vertAlign w:val="subscript"/>
              </w:rPr>
              <w:t xml:space="preserve">DL_low </w:t>
            </w:r>
            <w:r>
              <w:rPr>
                <w:rFonts w:cs="Arial"/>
              </w:rPr>
              <w:t>- 15 MHz</w:t>
            </w:r>
          </w:p>
        </w:tc>
      </w:tr>
    </w:tbl>
    <w:p/>
    <w:p>
      <w:r>
        <w:t>The normative reference for this requirement is TS 36.102 [11] clause 7.6B.2.</w:t>
      </w:r>
    </w:p>
    <w:p>
      <w:pPr>
        <w:pStyle w:val="9"/>
      </w:pPr>
      <w:r>
        <w:rPr>
          <w:rFonts w:eastAsia="??"/>
        </w:rPr>
        <w:t>7.6B.2.4</w:t>
      </w:r>
      <w:r>
        <w:rPr>
          <w:rFonts w:eastAsia="??"/>
        </w:rPr>
        <w:tab/>
      </w:r>
      <w:r>
        <w:rPr>
          <w:rFonts w:eastAsia="??"/>
        </w:rPr>
        <w:t>Test Description</w:t>
      </w:r>
    </w:p>
    <w:p>
      <w:pPr>
        <w:pStyle w:val="9"/>
        <w:rPr>
          <w:rFonts w:eastAsia="??"/>
        </w:rPr>
      </w:pPr>
      <w:r>
        <w:rPr>
          <w:rFonts w:eastAsia="??"/>
        </w:rPr>
        <w:t>7.6B.2.4.1</w:t>
      </w:r>
      <w:r>
        <w:rPr>
          <w:rFonts w:eastAsia="??"/>
        </w:rPr>
        <w:tab/>
      </w:r>
      <w:r>
        <w:rPr>
          <w:rFonts w:eastAsia="??"/>
        </w:rP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Annex A.3. Configurations of NPDSCH and NPDCCH before measurement are specified in Annex C.2.</w:t>
      </w:r>
    </w:p>
    <w:p>
      <w:pPr>
        <w:pStyle w:val="113"/>
      </w:pPr>
      <w:r>
        <w:t>Table 7.6B.2.4.1-1: Test Configuration 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214"/>
        <w:gridCol w:w="130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tcPr>
          <w:p>
            <w:pPr>
              <w:pStyle w:val="103"/>
            </w:pPr>
            <w:r>
              <w:t>N</w:t>
            </w:r>
            <w:r>
              <w:rPr>
                <w:rFonts w:hint="eastAsia"/>
              </w:rPr>
              <w:t>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tcPr>
          <w:p>
            <w:pPr>
              <w:pStyle w:val="103"/>
            </w:pPr>
            <w: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214" w:type="dxa"/>
          </w:tcPr>
          <w:p>
            <w:pPr>
              <w:pStyle w:val="105"/>
            </w:pPr>
            <w:r>
              <w:t>Modulation</w:t>
            </w:r>
          </w:p>
        </w:tc>
        <w:tc>
          <w:tcPr>
            <w:tcW w:w="1304" w:type="dxa"/>
          </w:tcPr>
          <w:p>
            <w:pPr>
              <w:pStyle w:val="105"/>
            </w:pPr>
            <w:r>
              <w:rPr>
                <w:rFonts w:cs="Arial"/>
              </w:rPr>
              <w:t>Subcarriers</w:t>
            </w:r>
          </w:p>
        </w:tc>
        <w:tc>
          <w:tcPr>
            <w:tcW w:w="2139" w:type="dxa"/>
          </w:tcPr>
          <w:p>
            <w:pPr>
              <w:pStyle w:val="105"/>
            </w:pPr>
            <w:r>
              <w:t>Modulation</w:t>
            </w:r>
          </w:p>
        </w:tc>
        <w:tc>
          <w:tcPr>
            <w:tcW w:w="1164" w:type="dxa"/>
          </w:tcPr>
          <w:p>
            <w:pPr>
              <w:pStyle w:val="105"/>
            </w:pPr>
            <w:r>
              <w:t>N</w:t>
            </w:r>
            <w:r>
              <w:rPr>
                <w:vertAlign w:val="subscript"/>
              </w:rPr>
              <w:t>tones</w:t>
            </w:r>
          </w:p>
        </w:tc>
        <w:tc>
          <w:tcPr>
            <w:tcW w:w="1194" w:type="dxa"/>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1214" w:type="dxa"/>
          </w:tcPr>
          <w:p>
            <w:pPr>
              <w:pStyle w:val="105"/>
              <w:rPr>
                <w:lang w:eastAsia="ko-KR"/>
              </w:rPr>
            </w:pPr>
            <w:r>
              <w:rPr>
                <w:lang w:eastAsia="ko-KR"/>
              </w:rPr>
              <w:t>QPSK</w:t>
            </w:r>
          </w:p>
        </w:tc>
        <w:tc>
          <w:tcPr>
            <w:tcW w:w="1304" w:type="dxa"/>
          </w:tcPr>
          <w:p>
            <w:pPr>
              <w:pStyle w:val="105"/>
              <w:rPr>
                <w:lang w:eastAsia="ko-KR"/>
              </w:rPr>
            </w:pPr>
            <w:r>
              <w:rPr>
                <w:lang w:eastAsia="ko-KR"/>
              </w:rPr>
              <w:t>12</w:t>
            </w:r>
          </w:p>
        </w:tc>
        <w:tc>
          <w:tcPr>
            <w:tcW w:w="2139" w:type="dxa"/>
          </w:tcPr>
          <w:p>
            <w:pPr>
              <w:pStyle w:val="105"/>
            </w:pPr>
            <w:r>
              <w:t>BPSK</w:t>
            </w:r>
          </w:p>
        </w:tc>
        <w:tc>
          <w:tcPr>
            <w:tcW w:w="1164" w:type="dxa"/>
          </w:tcPr>
          <w:p>
            <w:pPr>
              <w:pStyle w:val="105"/>
            </w:pPr>
            <w:r>
              <w:t>1@0</w:t>
            </w:r>
          </w:p>
        </w:tc>
        <w:tc>
          <w:tcPr>
            <w:tcW w:w="1194" w:type="dxa"/>
          </w:tcPr>
          <w:p>
            <w:pPr>
              <w:pStyle w:val="105"/>
            </w:pPr>
            <w:r>
              <w:t>15 kHz</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 as shown in TS 36.508 [12] Annex A, Figure A.4 using only the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C.2, and NPUSCH Format 2 is used to carry ACK/NACK on the uplink.</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 is set according to Table 7.6B.2.4.1-1.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lang w:eastAsia="en-GB"/>
        </w:rPr>
        <w:t>UE location according to TS 36.508 [12] clause 8.2.6.1 is provided to the UE through any preconfigured means</w:t>
      </w:r>
      <w:r>
        <w:rPr>
          <w:rFonts w:eastAsia="Malgun Gothic"/>
        </w:rPr>
        <w:t>.</w:t>
      </w:r>
    </w:p>
    <w:p>
      <w:pPr>
        <w:pStyle w:val="111"/>
        <w:overflowPunct w:val="0"/>
        <w:autoSpaceDE w:val="0"/>
        <w:autoSpaceDN w:val="0"/>
        <w:adjustRightInd w:val="0"/>
        <w:contextualSpacing w:val="0"/>
        <w:textAlignment w:val="baseline"/>
      </w:pPr>
      <w:r>
        <w:rPr>
          <w:rFonts w:hint="eastAsia" w:eastAsia="Malgun Gothic"/>
        </w:rPr>
        <w:t>7.</w:t>
      </w:r>
      <w:r>
        <w:rPr>
          <w:rFonts w:hint="eastAsia" w:eastAsia="Malgun Gothic"/>
        </w:rPr>
        <w:tab/>
      </w:r>
      <w:r>
        <w:t>Test equipment shall em</w:t>
      </w:r>
      <w:r>
        <w:rPr>
          <w:color w:val="000000" w:themeColor="text1"/>
          <w14:textFill>
            <w14:solidFill>
              <w14:schemeClr w14:val="tx1"/>
            </w14:solidFill>
          </w14:textFill>
        </w:rPr>
        <w:t xml:space="preserve">ulate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during the duration of the test as define in TS 36.508[12] clause 8.2.6.3.1</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hint="eastAsia" w:eastAsia="Malgun Gothic"/>
        </w:rPr>
        <w:t>.</w:t>
      </w:r>
      <w:r>
        <w:rPr>
          <w:rFonts w:hint="eastAsia" w:eastAsia="Malgun Gothic"/>
        </w:rPr>
        <w:tab/>
      </w:r>
      <w:r>
        <w:rPr>
          <w:rFonts w:hint="eastAsia" w:eastAsia="Malgun Gothic"/>
        </w:rPr>
        <w:t>Ensure the UE is in State 2A-NB with CP CIoT Optimisation according to TS 36.508 [12] clause 8.1.5. Message contents are defined in clause 7.6B.2.4.3.</w:t>
      </w:r>
    </w:p>
    <w:p>
      <w:pPr>
        <w:pStyle w:val="9"/>
      </w:pPr>
      <w:r>
        <w:rPr>
          <w:rFonts w:eastAsia="??"/>
        </w:rPr>
        <w:t>7.6B.2.4.2</w:t>
      </w:r>
      <w:r>
        <w:rPr>
          <w:rFonts w:eastAsia="??"/>
        </w:rPr>
        <w:tab/>
      </w:r>
      <w:r>
        <w:rPr>
          <w:rFonts w:eastAsia="??"/>
        </w:rP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 7.6B.2.4.1-1.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downlink signal level according to the Table 7.6B.2.5-1.</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Set the parameters of the signal generator for an interfering signal below the wanted signal in IBB1 according to Table 7.6B.2.5-1.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Repeat steps from 3 to 4, using an interfering signal above the wanted signal in IBB1 at step 3.</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Repeat steps from 3 to 5, using interfering signals in IBB2 at step 3 and 5. The ranges of IBB2 are covered in steps equal to the interferer bandwidth. The test frequencies are chosen in analogy to Table 7.6B.2.4.2-1.</w:t>
      </w:r>
    </w:p>
    <w:p>
      <w:pPr>
        <w:pStyle w:val="113"/>
      </w:pPr>
      <w:r>
        <w:t>Table 7.6B.2.4.2-1: Example for interferer frequencies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0"/>
        <w:gridCol w:w="3071"/>
        <w:gridCol w:w="3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p>
        </w:tc>
        <w:tc>
          <w:tcPr>
            <w:tcW w:w="3071" w:type="dxa"/>
          </w:tcPr>
          <w:p>
            <w:pPr>
              <w:pStyle w:val="104"/>
            </w:pPr>
            <w:r>
              <w:t>Lower frequency</w:t>
            </w:r>
          </w:p>
        </w:tc>
        <w:tc>
          <w:tcPr>
            <w:tcW w:w="3071" w:type="dxa"/>
          </w:tcPr>
          <w:p>
            <w:pPr>
              <w:pStyle w:val="104"/>
            </w:pPr>
            <w:r>
              <w:t>Upper 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Band 256 DL</w:t>
            </w:r>
          </w:p>
        </w:tc>
        <w:tc>
          <w:tcPr>
            <w:tcW w:w="3071" w:type="dxa"/>
          </w:tcPr>
          <w:p>
            <w:pPr>
              <w:pStyle w:val="105"/>
            </w:pPr>
            <w:r>
              <w:t>2170 MHz</w:t>
            </w:r>
          </w:p>
        </w:tc>
        <w:tc>
          <w:tcPr>
            <w:tcW w:w="3071" w:type="dxa"/>
          </w:tcPr>
          <w:p>
            <w:pPr>
              <w:pStyle w:val="105"/>
            </w:pPr>
            <w:r>
              <w:t>2200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 xml:space="preserve">Band </w:t>
            </w:r>
            <w:r>
              <w:rPr>
                <w:rFonts w:hint="eastAsia" w:eastAsia="宋体"/>
                <w:lang w:val="en-US" w:eastAsia="zh-CN"/>
              </w:rPr>
              <w:t>256</w:t>
            </w:r>
            <w:r>
              <w:rPr>
                <w:rFonts w:eastAsia="??"/>
              </w:rPr>
              <w:t xml:space="preserve"> Midrange</w:t>
            </w:r>
          </w:p>
        </w:tc>
        <w:tc>
          <w:tcPr>
            <w:tcW w:w="6142" w:type="dxa"/>
            <w:gridSpan w:val="2"/>
          </w:tcPr>
          <w:p>
            <w:pPr>
              <w:pStyle w:val="105"/>
            </w:pPr>
            <w:r>
              <w:t>2185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Receive band wanted signal</w:t>
            </w:r>
          </w:p>
          <w:p>
            <w:pPr>
              <w:pStyle w:val="103"/>
            </w:pPr>
            <w:r>
              <w:t>(BW 200KHz)</w:t>
            </w:r>
          </w:p>
        </w:tc>
        <w:tc>
          <w:tcPr>
            <w:tcW w:w="3071" w:type="dxa"/>
          </w:tcPr>
          <w:p>
            <w:pPr>
              <w:pStyle w:val="105"/>
            </w:pPr>
            <w:r>
              <w:t>2184.9 MHz</w:t>
            </w:r>
          </w:p>
        </w:tc>
        <w:tc>
          <w:tcPr>
            <w:tcW w:w="3071" w:type="dxa"/>
          </w:tcPr>
          <w:p>
            <w:pPr>
              <w:pStyle w:val="105"/>
            </w:pPr>
            <w:r>
              <w:t>2185.1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Interferer IBB1</w:t>
            </w:r>
          </w:p>
        </w:tc>
        <w:tc>
          <w:tcPr>
            <w:tcW w:w="3071" w:type="dxa"/>
          </w:tcPr>
          <w:p>
            <w:pPr>
              <w:pStyle w:val="105"/>
            </w:pPr>
            <w:r>
              <w:t>2177.395 MHz</w:t>
            </w:r>
          </w:p>
        </w:tc>
        <w:tc>
          <w:tcPr>
            <w:tcW w:w="3071" w:type="dxa"/>
          </w:tcPr>
          <w:p>
            <w:pPr>
              <w:pStyle w:val="105"/>
            </w:pPr>
            <w:r>
              <w:t>2192.605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Interferer IBB2</w:t>
            </w:r>
          </w:p>
        </w:tc>
        <w:tc>
          <w:tcPr>
            <w:tcW w:w="3071" w:type="dxa"/>
          </w:tcPr>
          <w:p>
            <w:pPr>
              <w:pStyle w:val="105"/>
            </w:pPr>
            <w:r>
              <w:t>2172.4 MHz</w:t>
            </w:r>
          </w:p>
        </w:tc>
        <w:tc>
          <w:tcPr>
            <w:tcW w:w="3071" w:type="dxa"/>
          </w:tcPr>
          <w:p>
            <w:pPr>
              <w:pStyle w:val="105"/>
            </w:pPr>
            <w:r>
              <w:t>2197.6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Outer limit for in band blocking</w:t>
            </w:r>
          </w:p>
        </w:tc>
        <w:tc>
          <w:tcPr>
            <w:tcW w:w="3071" w:type="dxa"/>
          </w:tcPr>
          <w:p>
            <w:pPr>
              <w:pStyle w:val="105"/>
            </w:pPr>
            <w:r>
              <w:t>2155MHz</w:t>
            </w:r>
          </w:p>
        </w:tc>
        <w:tc>
          <w:tcPr>
            <w:tcW w:w="3071" w:type="dxa"/>
          </w:tcPr>
          <w:p>
            <w:pPr>
              <w:pStyle w:val="105"/>
            </w:pPr>
            <w:r>
              <w:t>2215MHz</w:t>
            </w:r>
          </w:p>
        </w:tc>
      </w:tr>
    </w:tbl>
    <w:p/>
    <w:p>
      <w:pPr>
        <w:pStyle w:val="9"/>
      </w:pPr>
      <w:r>
        <w:rPr>
          <w:rFonts w:eastAsia="??"/>
        </w:rPr>
        <w:t>7.6B.2.4.3</w:t>
      </w:r>
      <w:r>
        <w:rPr>
          <w:rFonts w:eastAsia="??"/>
        </w:rPr>
        <w:tab/>
      </w:r>
      <w:r>
        <w:rPr>
          <w:rFonts w:eastAsia="??"/>
        </w:rPr>
        <w:t>Message Contents</w:t>
      </w:r>
    </w:p>
    <w:p>
      <w:r>
        <w:t>Message contents are according to TS 36.508 [7] clause 8.1.6.</w:t>
      </w:r>
    </w:p>
    <w:p>
      <w:pPr>
        <w:pStyle w:val="9"/>
        <w:rPr>
          <w:rFonts w:eastAsia="MS Mincho"/>
        </w:rPr>
      </w:pPr>
      <w:r>
        <w:rPr>
          <w:rFonts w:eastAsia="MS Mincho"/>
        </w:rPr>
        <w:t>7.6B.2.5</w:t>
      </w:r>
      <w:r>
        <w:rPr>
          <w:rFonts w:eastAsia="MS Mincho"/>
        </w:rPr>
        <w:tab/>
      </w:r>
      <w:r>
        <w:rPr>
          <w:rFonts w:eastAsia="MS Mincho"/>
        </w:rPr>
        <w:t>Test Requirement</w:t>
      </w:r>
    </w:p>
    <w:p>
      <w:r>
        <w:t>The throughput measurement derived in test procedure shall be ≥ 95% of the maximum throughput of the reference measurement channels as specified in clause A.3.2 with parameters specified in Tables 7.6B.2.5-1.</w:t>
      </w:r>
    </w:p>
    <w:p>
      <w:pPr>
        <w:pStyle w:val="113"/>
      </w:pPr>
      <w:r>
        <w:t>Table 7.6B.2.5-1: In-band blocking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9"/>
        <w:gridCol w:w="3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IBB1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 xml:space="preserve">wanted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- 56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 xml:space="preserve">Interferer offset from category NB1 </w:t>
            </w:r>
            <w:r>
              <w:rPr>
                <w:rFonts w:eastAsia="MS Mincho" w:cs="Arial"/>
              </w:rPr>
              <w:t xml:space="preserve">or NB2 </w:t>
            </w:r>
            <w:r>
              <w:rPr>
                <w:rFonts w:eastAsia="MS Mincho" w:cs="Arial"/>
                <w:bCs/>
              </w:rPr>
              <w:t>channel edge</w:t>
            </w:r>
          </w:p>
        </w:tc>
        <w:tc>
          <w:tcPr>
            <w:tcW w:w="0" w:type="auto"/>
            <w:shd w:val="clear" w:color="auto" w:fill="auto"/>
            <w:vAlign w:val="center"/>
          </w:tcPr>
          <w:p>
            <w:pPr>
              <w:pStyle w:val="105"/>
              <w:rPr>
                <w:rFonts w:cs="Arial"/>
              </w:rPr>
            </w:pPr>
            <w:r>
              <w:rPr>
                <w:rFonts w:eastAsia="MS Mincho" w:cs="Arial"/>
              </w:rPr>
              <w:t xml:space="preserve">+7.5 MHz </w:t>
            </w:r>
            <w:r>
              <w:rPr>
                <w:rFonts w:cs="Arial"/>
              </w:rPr>
              <w:t>+ 0.005 MHz</w:t>
            </w:r>
          </w:p>
          <w:p>
            <w:pPr>
              <w:pStyle w:val="105"/>
              <w:rPr>
                <w:rFonts w:cs="Arial"/>
              </w:rPr>
            </w:pPr>
            <w:r>
              <w:rPr>
                <w:rFonts w:cs="Arial"/>
              </w:rPr>
              <w:t>and</w:t>
            </w:r>
          </w:p>
          <w:p>
            <w:pPr>
              <w:pStyle w:val="105"/>
              <w:rPr>
                <w:rFonts w:eastAsia="MS Mincho" w:cs="Arial"/>
              </w:rPr>
            </w:pPr>
            <w:r>
              <w:rPr>
                <w:rFonts w:eastAsia="MS Mincho" w:cs="Arial"/>
              </w:rPr>
              <w:t>-7.5 MHz - 0.005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 xml:space="preserve">wanted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- 44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 xml:space="preserve">Interferer offset range from category NB1 </w:t>
            </w:r>
            <w:r>
              <w:rPr>
                <w:rFonts w:eastAsia="MS Mincho" w:cs="Arial"/>
              </w:rPr>
              <w:t xml:space="preserve">or NB2 </w:t>
            </w:r>
            <w:r>
              <w:rPr>
                <w:rFonts w:eastAsia="MS Mincho" w:cs="Arial"/>
                <w:bCs/>
              </w:rPr>
              <w:t>channel edge</w:t>
            </w:r>
          </w:p>
        </w:tc>
        <w:tc>
          <w:tcPr>
            <w:tcW w:w="0" w:type="auto"/>
            <w:shd w:val="clear" w:color="auto" w:fill="auto"/>
            <w:vAlign w:val="center"/>
          </w:tcPr>
          <w:p>
            <w:pPr>
              <w:pStyle w:val="105"/>
              <w:rPr>
                <w:rFonts w:cs="Arial"/>
              </w:rPr>
            </w:pPr>
            <w:r>
              <w:rPr>
                <w:rFonts w:eastAsia="MS Mincho" w:cs="Arial"/>
              </w:rPr>
              <w:t xml:space="preserve">From +12.5 MHz </w:t>
            </w:r>
            <w:r>
              <w:rPr>
                <w:rFonts w:cs="Arial"/>
              </w:rPr>
              <w:t>to F</w:t>
            </w:r>
            <w:r>
              <w:rPr>
                <w:rFonts w:cs="Arial"/>
                <w:vertAlign w:val="subscript"/>
              </w:rPr>
              <w:t xml:space="preserve">DL_high </w:t>
            </w:r>
            <w:r>
              <w:rPr>
                <w:rFonts w:cs="Arial"/>
              </w:rPr>
              <w:t>+ 15 MHz</w:t>
            </w:r>
          </w:p>
          <w:p>
            <w:pPr>
              <w:pStyle w:val="105"/>
              <w:rPr>
                <w:rFonts w:cs="Arial"/>
              </w:rPr>
            </w:pPr>
            <w:r>
              <w:rPr>
                <w:rFonts w:cs="Arial"/>
              </w:rPr>
              <w:t>and</w:t>
            </w:r>
          </w:p>
          <w:p>
            <w:pPr>
              <w:pStyle w:val="105"/>
              <w:rPr>
                <w:rFonts w:cs="Arial"/>
              </w:rPr>
            </w:pPr>
            <w:r>
              <w:rPr>
                <w:rFonts w:eastAsia="MS Mincho" w:cs="Arial"/>
              </w:rPr>
              <w:t>From -12.5 MHz</w:t>
            </w:r>
            <w:r>
              <w:rPr>
                <w:rFonts w:cs="Arial"/>
              </w:rPr>
              <w:t xml:space="preserve"> to F</w:t>
            </w:r>
            <w:r>
              <w:rPr>
                <w:rFonts w:cs="Arial"/>
                <w:vertAlign w:val="subscript"/>
              </w:rPr>
              <w:t xml:space="preserve">DL_low </w:t>
            </w:r>
            <w:r>
              <w:rPr>
                <w:rFonts w:cs="Arial"/>
              </w:rPr>
              <w:t>- 15 MHz</w:t>
            </w:r>
          </w:p>
        </w:tc>
      </w:tr>
    </w:tbl>
    <w:p/>
    <w:p>
      <w:pPr>
        <w:pStyle w:val="5"/>
      </w:pPr>
      <w:bookmarkStart w:id="1377" w:name="_Toc32710"/>
      <w:bookmarkStart w:id="1378" w:name="_Toc26988"/>
      <w:bookmarkStart w:id="1379" w:name="_Toc121162901"/>
      <w:bookmarkStart w:id="1380" w:name="_Toc18290"/>
      <w:bookmarkStart w:id="1381" w:name="_Toc2413"/>
      <w:bookmarkStart w:id="1382" w:name="_Toc120570109"/>
      <w:bookmarkStart w:id="1383" w:name="_Toc32721"/>
      <w:bookmarkStart w:id="1384" w:name="_Toc21988"/>
      <w:bookmarkStart w:id="1385" w:name="_Toc10425"/>
      <w:r>
        <w:t>7.6B.3</w:t>
      </w:r>
      <w:r>
        <w:tab/>
      </w:r>
      <w:r>
        <w:t>Out-of-band blocking for category NB1 and NB2</w:t>
      </w:r>
      <w:bookmarkEnd w:id="1377"/>
      <w:bookmarkEnd w:id="1378"/>
      <w:bookmarkEnd w:id="1379"/>
      <w:bookmarkEnd w:id="1380"/>
      <w:bookmarkEnd w:id="1381"/>
      <w:bookmarkEnd w:id="1382"/>
      <w:bookmarkEnd w:id="1383"/>
      <w:bookmarkEnd w:id="1384"/>
      <w:bookmarkEnd w:id="1385"/>
    </w:p>
    <w:p>
      <w:pPr>
        <w:pStyle w:val="112"/>
        <w:rPr>
          <w:i w:val="0"/>
          <w:iCs w:val="0"/>
          <w:lang w:val="en-GB"/>
        </w:rPr>
      </w:pPr>
      <w:r>
        <w:t>Editor’s Note: Addition to applicability spec is pending.</w:t>
      </w:r>
    </w:p>
    <w:p>
      <w:pPr>
        <w:pStyle w:val="9"/>
      </w:pPr>
      <w:r>
        <w:t>7.6B.3.1</w:t>
      </w:r>
      <w:r>
        <w:tab/>
      </w:r>
      <w:r>
        <w:t>Test Purpose</w:t>
      </w:r>
    </w:p>
    <w:p>
      <w:r>
        <w:t>Out-of-band band blocking is defined for an unwanted CW interfering signal falling more than 15 MHz below or above the UE receive band, at which a given average throughput shall meet or exceed the requirement for the specified measurement channels.</w:t>
      </w:r>
    </w:p>
    <w:p>
      <w:r>
        <w:t>For the first 15 MHz below or above the UE receive band the appropriate in-band blocking or adjacent channel selectivity in sub-clause 7.5B and sub-clause 7.6B.2 shall be applied.</w:t>
      </w:r>
    </w:p>
    <w:p>
      <w:r>
        <w:t>The lack of out-of-band blocking ability will decrease the coverage area when other e-NodeB transmitters exist (except in the adjacent channels and spurious response).</w:t>
      </w:r>
    </w:p>
    <w:p>
      <w:pPr>
        <w:pStyle w:val="9"/>
      </w:pPr>
      <w:r>
        <w:t>7.6B.3.2</w:t>
      </w:r>
      <w:r>
        <w:tab/>
      </w:r>
      <w:r>
        <w:t>Test Applicability</w:t>
      </w:r>
    </w:p>
    <w:p>
      <w:r>
        <w:t>This test case applies to all types of E-UTRA UE release 17 and forward of category</w:t>
      </w:r>
      <w:r>
        <w:rPr>
          <w:lang w:eastAsia="zh-TW"/>
        </w:rPr>
        <w:t xml:space="preserve"> NB1 and</w:t>
      </w:r>
      <w:r>
        <w:t xml:space="preserve"> NB2</w:t>
      </w:r>
      <w:r>
        <w:rPr>
          <w:rFonts w:ascii="宋体" w:hAnsi="宋体" w:cs="宋体"/>
          <w:lang w:eastAsia="zh-TW"/>
        </w:rPr>
        <w:t xml:space="preserve"> </w:t>
      </w:r>
      <w:r>
        <w:t>that support satellite access operation.</w:t>
      </w:r>
    </w:p>
    <w:p>
      <w:pPr>
        <w:pStyle w:val="9"/>
      </w:pPr>
      <w:r>
        <w:rPr>
          <w:rFonts w:eastAsia="??"/>
        </w:rPr>
        <w:t>7.6B.3.3</w:t>
      </w:r>
      <w:r>
        <w:rPr>
          <w:rFonts w:eastAsia="??"/>
        </w:rPr>
        <w:tab/>
      </w:r>
      <w:r>
        <w:rPr>
          <w:rFonts w:eastAsia="??"/>
        </w:rPr>
        <w:t>Minimum Conformance Requirements</w:t>
      </w:r>
    </w:p>
    <w:p>
      <w:r>
        <w:t xml:space="preserve">For the first 15 MHz below or above the UE receive band </w:t>
      </w:r>
      <w:r>
        <w:rPr>
          <w:rFonts w:cs="v5.0.0"/>
        </w:rPr>
        <w:t xml:space="preserve">the </w:t>
      </w:r>
      <w:r>
        <w:t>appropriate in-band blocking or adjacent channel selectivity in subclause 7.5B and subclause 7.6B.2 shall be applied.</w:t>
      </w:r>
    </w:p>
    <w:p>
      <w:r>
        <w:rPr>
          <w:rFonts w:hint="eastAsia"/>
        </w:rPr>
        <w:t xml:space="preserve">The category NB1 and NB2 UE throughput shall be ≥ 95% of the maximum throughput of the reference measurement channels as specified in TS 36.101 </w:t>
      </w:r>
      <w:r>
        <w:t>[7]</w:t>
      </w:r>
      <w:r>
        <w:rPr>
          <w:rFonts w:hint="eastAsia"/>
        </w:rPr>
        <w:t xml:space="preserve"> Annexes A.3.2 with parameters specified in Table 7.6B</w:t>
      </w:r>
      <w:r>
        <w:t>.3.3</w:t>
      </w:r>
      <w:r>
        <w:rPr>
          <w:rFonts w:hint="eastAsia"/>
        </w:rPr>
        <w:t>-1.</w:t>
      </w:r>
    </w:p>
    <w:p>
      <w:r>
        <w:rPr>
          <w:rFonts w:eastAsia="Osaka"/>
        </w:rPr>
        <w:t xml:space="preserve">For Table 7.6B.3.3-1 in frequency range 1, 2 and 3, up to 24 exceptions are allowed for spurious response frequencies in each assigned frequency channel when measured using a 1MHz step size. </w:t>
      </w:r>
      <w:r>
        <w:t>For these exceptions the requirements of subclause 7.7B spurious response are applicable.</w:t>
      </w:r>
    </w:p>
    <w:p>
      <w:pPr>
        <w:pStyle w:val="113"/>
      </w:pPr>
      <w:r>
        <w:t>Table 7.6B.3.3-1: Out-of-band blocking parameters for category NB1 and NB2 UE</w:t>
      </w:r>
    </w:p>
    <w:tbl>
      <w:tblPr>
        <w:tblStyle w:val="89"/>
        <w:tblW w:w="92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6"/>
        <w:gridCol w:w="1488"/>
        <w:gridCol w:w="799"/>
        <w:gridCol w:w="1939"/>
        <w:gridCol w:w="1939"/>
        <w:gridCol w:w="1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vMerge w:val="restart"/>
            <w:tcBorders>
              <w:top w:val="single" w:color="auto" w:sz="4" w:space="0"/>
              <w:left w:val="single" w:color="auto" w:sz="4" w:space="0"/>
              <w:right w:val="single" w:color="auto" w:sz="4" w:space="0"/>
            </w:tcBorders>
          </w:tcPr>
          <w:p>
            <w:pPr>
              <w:pStyle w:val="104"/>
            </w:pPr>
            <w:r>
              <w:rPr>
                <w:lang w:val="en-US"/>
              </w:rPr>
              <w:t>Operating Band</w:t>
            </w:r>
          </w:p>
        </w:tc>
        <w:tc>
          <w:tcPr>
            <w:tcW w:w="1488" w:type="dxa"/>
            <w:tcBorders>
              <w:top w:val="single" w:color="auto" w:sz="4" w:space="0"/>
              <w:left w:val="single" w:color="auto" w:sz="4" w:space="0"/>
              <w:bottom w:val="single" w:color="auto" w:sz="4" w:space="0"/>
              <w:right w:val="single" w:color="auto" w:sz="4" w:space="0"/>
            </w:tcBorders>
          </w:tcPr>
          <w:p>
            <w:pPr>
              <w:pStyle w:val="104"/>
            </w:pPr>
            <w:r>
              <w:t>Parameter</w:t>
            </w:r>
          </w:p>
        </w:tc>
        <w:tc>
          <w:tcPr>
            <w:tcW w:w="799" w:type="dxa"/>
            <w:tcBorders>
              <w:top w:val="single" w:color="auto" w:sz="4" w:space="0"/>
              <w:left w:val="single" w:color="auto" w:sz="4" w:space="0"/>
              <w:bottom w:val="single" w:color="auto" w:sz="4" w:space="0"/>
              <w:right w:val="single" w:color="auto" w:sz="4" w:space="0"/>
            </w:tcBorders>
          </w:tcPr>
          <w:p>
            <w:pPr>
              <w:pStyle w:val="104"/>
            </w:pPr>
            <w:r>
              <w:t>Unit</w:t>
            </w:r>
          </w:p>
        </w:tc>
        <w:tc>
          <w:tcPr>
            <w:tcW w:w="1939" w:type="dxa"/>
            <w:tcBorders>
              <w:top w:val="single" w:color="auto" w:sz="4" w:space="0"/>
              <w:left w:val="single" w:color="auto" w:sz="4" w:space="0"/>
              <w:bottom w:val="single" w:color="auto" w:sz="4" w:space="0"/>
              <w:right w:val="single" w:color="auto" w:sz="4" w:space="0"/>
            </w:tcBorders>
          </w:tcPr>
          <w:p>
            <w:pPr>
              <w:pStyle w:val="104"/>
            </w:pPr>
            <w:r>
              <w:t>Range 1</w:t>
            </w:r>
          </w:p>
        </w:tc>
        <w:tc>
          <w:tcPr>
            <w:tcW w:w="1939" w:type="dxa"/>
            <w:tcBorders>
              <w:top w:val="single" w:color="auto" w:sz="4" w:space="0"/>
              <w:left w:val="single" w:color="auto" w:sz="4" w:space="0"/>
              <w:bottom w:val="single" w:color="auto" w:sz="4" w:space="0"/>
              <w:right w:val="single" w:color="auto" w:sz="4" w:space="0"/>
            </w:tcBorders>
          </w:tcPr>
          <w:p>
            <w:pPr>
              <w:pStyle w:val="104"/>
            </w:pPr>
            <w:r>
              <w:t>Range 2</w:t>
            </w:r>
          </w:p>
        </w:tc>
        <w:tc>
          <w:tcPr>
            <w:tcW w:w="1939" w:type="dxa"/>
            <w:tcBorders>
              <w:top w:val="single" w:color="auto" w:sz="4" w:space="0"/>
              <w:left w:val="single" w:color="auto" w:sz="4" w:space="0"/>
              <w:bottom w:val="single" w:color="auto" w:sz="4" w:space="0"/>
              <w:right w:val="single" w:color="auto" w:sz="4" w:space="0"/>
            </w:tcBorders>
          </w:tcPr>
          <w:p>
            <w:pPr>
              <w:pStyle w:val="104"/>
            </w:pPr>
            <w:r>
              <w:t>Range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vMerge w:val="continue"/>
            <w:tcBorders>
              <w:left w:val="single" w:color="auto" w:sz="4" w:space="0"/>
              <w:right w:val="single" w:color="auto" w:sz="4" w:space="0"/>
            </w:tcBorders>
          </w:tcPr>
          <w:p>
            <w:pPr>
              <w:pStyle w:val="104"/>
              <w:rPr>
                <w:lang w:val="en-US"/>
              </w:rPr>
            </w:pPr>
          </w:p>
        </w:tc>
        <w:tc>
          <w:tcPr>
            <w:tcW w:w="1488" w:type="dxa"/>
            <w:tcBorders>
              <w:top w:val="single" w:color="auto" w:sz="4" w:space="0"/>
              <w:left w:val="single" w:color="auto" w:sz="4" w:space="0"/>
              <w:bottom w:val="single" w:color="auto" w:sz="4" w:space="0"/>
              <w:right w:val="single" w:color="auto" w:sz="4" w:space="0"/>
            </w:tcBorders>
            <w:vAlign w:val="center"/>
          </w:tcPr>
          <w:p>
            <w:pPr>
              <w:pStyle w:val="105"/>
              <w:rPr>
                <w:rFonts w:cs="Arial"/>
                <w:lang w:val="en-US"/>
              </w:rPr>
            </w:pPr>
            <w:r>
              <w:rPr>
                <w:rFonts w:cs="Arial"/>
                <w:lang w:val="en-US"/>
              </w:rPr>
              <w:t>P</w:t>
            </w:r>
            <w:r>
              <w:rPr>
                <w:rFonts w:cs="Arial"/>
                <w:vertAlign w:val="subscript"/>
                <w:lang w:val="en-US"/>
              </w:rPr>
              <w:t>w</w:t>
            </w:r>
          </w:p>
        </w:tc>
        <w:tc>
          <w:tcPr>
            <w:tcW w:w="799" w:type="dxa"/>
            <w:tcBorders>
              <w:top w:val="single" w:color="auto" w:sz="4" w:space="0"/>
              <w:left w:val="single" w:color="auto" w:sz="4" w:space="0"/>
              <w:bottom w:val="single" w:color="auto" w:sz="4" w:space="0"/>
              <w:right w:val="single" w:color="auto" w:sz="4" w:space="0"/>
            </w:tcBorders>
            <w:vAlign w:val="center"/>
          </w:tcPr>
          <w:p>
            <w:pPr>
              <w:pStyle w:val="105"/>
              <w:rPr>
                <w:rFonts w:cs="Arial"/>
                <w:lang w:val="en-US"/>
              </w:rPr>
            </w:pPr>
            <w:r>
              <w:rPr>
                <w:rFonts w:cs="Arial"/>
                <w:lang w:val="en-US"/>
              </w:rPr>
              <w:t>dBm</w:t>
            </w:r>
          </w:p>
        </w:tc>
        <w:tc>
          <w:tcPr>
            <w:tcW w:w="5817" w:type="dxa"/>
            <w:gridSpan w:val="3"/>
            <w:tcBorders>
              <w:top w:val="single" w:color="auto" w:sz="4" w:space="0"/>
              <w:left w:val="single" w:color="auto" w:sz="4" w:space="0"/>
              <w:bottom w:val="single" w:color="auto" w:sz="4" w:space="0"/>
              <w:right w:val="single" w:color="auto" w:sz="4" w:space="0"/>
            </w:tcBorders>
            <w:vAlign w:val="center"/>
          </w:tcPr>
          <w:p>
            <w:pPr>
              <w:pStyle w:val="104"/>
            </w:pPr>
            <w:r>
              <w:rPr>
                <w:rFonts w:cs="Arial"/>
                <w:lang w:val="en-US"/>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vMerge w:val="continue"/>
            <w:tcBorders>
              <w:left w:val="single" w:color="auto" w:sz="4" w:space="0"/>
              <w:bottom w:val="single" w:color="auto" w:sz="4" w:space="0"/>
              <w:right w:val="single" w:color="auto" w:sz="4" w:space="0"/>
            </w:tcBorders>
          </w:tcP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P</w:t>
            </w:r>
            <w:r>
              <w:rPr>
                <w:vertAlign w:val="subscript"/>
                <w:lang w:val="sv-SE"/>
              </w:rPr>
              <w:t>interferer</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dBm</w:t>
            </w:r>
          </w:p>
        </w:tc>
        <w:tc>
          <w:tcPr>
            <w:tcW w:w="1939" w:type="dxa"/>
            <w:tcBorders>
              <w:top w:val="single" w:color="auto" w:sz="4" w:space="0"/>
              <w:left w:val="single" w:color="auto" w:sz="4" w:space="0"/>
              <w:bottom w:val="single" w:color="auto" w:sz="4" w:space="0"/>
              <w:right w:val="single" w:color="auto" w:sz="4" w:space="0"/>
            </w:tcBorders>
          </w:tcPr>
          <w:p>
            <w:pPr>
              <w:pStyle w:val="105"/>
            </w:pPr>
            <w:r>
              <w:t>-44</w:t>
            </w:r>
          </w:p>
        </w:tc>
        <w:tc>
          <w:tcPr>
            <w:tcW w:w="1939" w:type="dxa"/>
            <w:tcBorders>
              <w:top w:val="single" w:color="auto" w:sz="4" w:space="0"/>
              <w:left w:val="single" w:color="auto" w:sz="4" w:space="0"/>
              <w:bottom w:val="single" w:color="auto" w:sz="4" w:space="0"/>
              <w:right w:val="single" w:color="auto" w:sz="4" w:space="0"/>
            </w:tcBorders>
          </w:tcPr>
          <w:p>
            <w:pPr>
              <w:pStyle w:val="105"/>
            </w:pPr>
            <w:r>
              <w:t>-30</w:t>
            </w:r>
          </w:p>
        </w:tc>
        <w:tc>
          <w:tcPr>
            <w:tcW w:w="1939" w:type="dxa"/>
            <w:tcBorders>
              <w:top w:val="single" w:color="auto" w:sz="4" w:space="0"/>
              <w:left w:val="single" w:color="auto" w:sz="4" w:space="0"/>
              <w:bottom w:val="single" w:color="auto" w:sz="4" w:space="0"/>
              <w:right w:val="single" w:color="auto" w:sz="4" w:space="0"/>
            </w:tcBorders>
          </w:tcPr>
          <w:p>
            <w:pPr>
              <w:pStyle w:val="105"/>
            </w:pPr>
            <w:r>
              <w:rPr>
                <w:lang w:val="sv-SE"/>
              </w:rPr>
              <w:t>-15</w:t>
            </w:r>
            <w:r>
              <w:rPr>
                <w:vertAlign w:val="superscript"/>
                <w:lang w:val="sv-SE"/>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r>
              <w:t>255</w:t>
            </w: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F</w:t>
            </w:r>
            <w:r>
              <w:rPr>
                <w:vertAlign w:val="subscript"/>
                <w:lang w:val="sv-SE"/>
              </w:rPr>
              <w:t>interferer</w:t>
            </w:r>
            <w:r>
              <w:rPr>
                <w:lang w:val="sv-SE"/>
              </w:rPr>
              <w:t xml:space="preserve"> (CW)</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MHz</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-60 &lt; f – F</w:t>
            </w:r>
            <w:r>
              <w:rPr>
                <w:rFonts w:cs="Arial"/>
                <w:vertAlign w:val="subscript"/>
              </w:rPr>
              <w:t>DL_low</w:t>
            </w:r>
            <w:r>
              <w:rPr>
                <w:rFonts w:cs="Arial"/>
              </w:rPr>
              <w:t xml:space="preserve"> &lt; -15</w:t>
            </w:r>
          </w:p>
          <w:p>
            <w:pPr>
              <w:pStyle w:val="105"/>
              <w:rPr>
                <w:rFonts w:cs="Arial"/>
              </w:rPr>
            </w:pPr>
            <w:r>
              <w:rPr>
                <w:rFonts w:cs="Arial"/>
              </w:rPr>
              <w:t>or</w:t>
            </w:r>
          </w:p>
          <w:p>
            <w:pPr>
              <w:pStyle w:val="105"/>
              <w:rPr>
                <w:rFonts w:cs="Arial"/>
              </w:rPr>
            </w:pPr>
            <w:r>
              <w:rPr>
                <w:rFonts w:cs="Arial"/>
              </w:rPr>
              <w:t>15 &lt; f – F</w:t>
            </w:r>
            <w:r>
              <w:rPr>
                <w:rFonts w:cs="Arial"/>
                <w:vertAlign w:val="subscript"/>
              </w:rPr>
              <w:t>DL_high</w:t>
            </w:r>
            <w:r>
              <w:rPr>
                <w:rFonts w:cs="Arial"/>
              </w:rPr>
              <w:t xml:space="preserve"> &lt; 60</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-85 &lt; f – F</w:t>
            </w:r>
            <w:r>
              <w:rPr>
                <w:rFonts w:cs="Arial"/>
                <w:vertAlign w:val="subscript"/>
              </w:rPr>
              <w:t>DL_low</w:t>
            </w:r>
            <w:r>
              <w:rPr>
                <w:rFonts w:cs="Arial"/>
              </w:rPr>
              <w:t xml:space="preserve"> ≤ -60</w:t>
            </w:r>
          </w:p>
          <w:p>
            <w:pPr>
              <w:pStyle w:val="105"/>
              <w:rPr>
                <w:rFonts w:cs="Arial"/>
              </w:rPr>
            </w:pPr>
            <w:r>
              <w:rPr>
                <w:rFonts w:cs="Arial"/>
              </w:rPr>
              <w:t>or</w:t>
            </w:r>
          </w:p>
          <w:p>
            <w:pPr>
              <w:pStyle w:val="105"/>
              <w:rPr>
                <w:rFonts w:cs="Arial"/>
              </w:rPr>
            </w:pPr>
            <w:r>
              <w:rPr>
                <w:rFonts w:cs="Arial"/>
              </w:rPr>
              <w:t>60 ≤ f – F</w:t>
            </w:r>
            <w:r>
              <w:rPr>
                <w:rFonts w:cs="Arial"/>
                <w:vertAlign w:val="subscript"/>
              </w:rPr>
              <w:t>DL_high</w:t>
            </w:r>
            <w:r>
              <w:rPr>
                <w:rFonts w:cs="Arial"/>
              </w:rPr>
              <w:t xml:space="preserve"> &lt; 85</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 ≤ f ≤ F</w:t>
            </w:r>
            <w:r>
              <w:rPr>
                <w:rFonts w:cs="Arial"/>
                <w:vertAlign w:val="subscript"/>
              </w:rPr>
              <w:t>DL_low</w:t>
            </w:r>
            <w:r>
              <w:rPr>
                <w:rFonts w:cs="Arial"/>
              </w:rPr>
              <w:t xml:space="preserve"> – 85</w:t>
            </w:r>
          </w:p>
          <w:p>
            <w:pPr>
              <w:pStyle w:val="105"/>
              <w:rPr>
                <w:rFonts w:cs="Arial"/>
              </w:rPr>
            </w:pPr>
            <w:r>
              <w:rPr>
                <w:rFonts w:cs="Arial"/>
              </w:rPr>
              <w:t>or</w:t>
            </w:r>
          </w:p>
          <w:p>
            <w:pPr>
              <w:pStyle w:val="105"/>
              <w:rPr>
                <w:rFonts w:cs="Arial"/>
              </w:rPr>
            </w:pPr>
            <w:r>
              <w:rPr>
                <w:rFonts w:cs="Arial"/>
              </w:rPr>
              <w:t>F</w:t>
            </w:r>
            <w:r>
              <w:rPr>
                <w:rFonts w:cs="Arial"/>
                <w:vertAlign w:val="subscript"/>
              </w:rPr>
              <w:t>DL_high</w:t>
            </w:r>
            <w:r>
              <w:rPr>
                <w:rFonts w:cs="Arial"/>
              </w:rPr>
              <w:t xml:space="preserve"> + 85 ≤ f</w:t>
            </w:r>
          </w:p>
          <w:p>
            <w:pPr>
              <w:pStyle w:val="105"/>
              <w:rPr>
                <w:rFonts w:cs="Arial"/>
              </w:rPr>
            </w:pPr>
            <w:r>
              <w:rPr>
                <w:rFonts w:cs="Arial"/>
              </w:rPr>
              <w:t>≤ 12750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r>
              <w:t>256</w:t>
            </w:r>
            <w:r>
              <w:rPr>
                <w:vertAlign w:val="superscript"/>
              </w:rPr>
              <w:t>2</w:t>
            </w: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F</w:t>
            </w:r>
            <w:r>
              <w:rPr>
                <w:vertAlign w:val="subscript"/>
                <w:lang w:val="sv-SE"/>
              </w:rPr>
              <w:t>interferer</w:t>
            </w:r>
            <w:r>
              <w:rPr>
                <w:lang w:val="sv-SE"/>
              </w:rPr>
              <w:t xml:space="preserve"> (CW)</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MHz</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-100 &lt; f – F</w:t>
            </w:r>
            <w:r>
              <w:rPr>
                <w:rFonts w:cs="Arial"/>
                <w:vertAlign w:val="subscript"/>
              </w:rPr>
              <w:t>DL_low</w:t>
            </w:r>
            <w:r>
              <w:rPr>
                <w:rFonts w:cs="Arial"/>
              </w:rPr>
              <w:t xml:space="preserve"> &lt; -15</w:t>
            </w:r>
          </w:p>
          <w:p>
            <w:pPr>
              <w:pStyle w:val="105"/>
              <w:rPr>
                <w:rFonts w:cs="Arial"/>
              </w:rPr>
            </w:pPr>
            <w:r>
              <w:rPr>
                <w:rFonts w:cs="Arial"/>
              </w:rPr>
              <w:t>or</w:t>
            </w:r>
          </w:p>
          <w:p>
            <w:pPr>
              <w:pStyle w:val="105"/>
              <w:rPr>
                <w:rFonts w:cs="Arial"/>
              </w:rPr>
            </w:pPr>
            <w:r>
              <w:rPr>
                <w:rFonts w:cs="Arial"/>
              </w:rPr>
              <w:t>15 &lt; f – F</w:t>
            </w:r>
            <w:r>
              <w:rPr>
                <w:rFonts w:cs="Arial"/>
                <w:vertAlign w:val="subscript"/>
              </w:rPr>
              <w:t>DL_high</w:t>
            </w:r>
            <w:r>
              <w:rPr>
                <w:rFonts w:cs="Arial"/>
              </w:rPr>
              <w:t xml:space="preserve"> &lt; 60</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-145 &lt; f – F</w:t>
            </w:r>
            <w:r>
              <w:rPr>
                <w:rFonts w:cs="Arial"/>
                <w:vertAlign w:val="subscript"/>
              </w:rPr>
              <w:t>DL_low</w:t>
            </w:r>
            <w:r>
              <w:rPr>
                <w:rFonts w:cs="Arial"/>
              </w:rPr>
              <w:t xml:space="preserve"> ≤ -100</w:t>
            </w:r>
          </w:p>
          <w:p>
            <w:pPr>
              <w:pStyle w:val="105"/>
              <w:rPr>
                <w:rFonts w:cs="Arial"/>
              </w:rPr>
            </w:pPr>
            <w:r>
              <w:rPr>
                <w:rFonts w:cs="Arial"/>
              </w:rPr>
              <w:t>or</w:t>
            </w:r>
          </w:p>
          <w:p>
            <w:pPr>
              <w:pStyle w:val="105"/>
              <w:rPr>
                <w:rFonts w:cs="Arial"/>
              </w:rPr>
            </w:pPr>
            <w:r>
              <w:rPr>
                <w:rFonts w:cs="Arial"/>
              </w:rPr>
              <w:t>60 ≤ f – F</w:t>
            </w:r>
            <w:r>
              <w:rPr>
                <w:rFonts w:cs="Arial"/>
                <w:vertAlign w:val="subscript"/>
              </w:rPr>
              <w:t>DL_high</w:t>
            </w:r>
            <w:r>
              <w:rPr>
                <w:rFonts w:cs="Arial"/>
              </w:rPr>
              <w:t xml:space="preserve"> &lt; 85</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 ≤ f ≤ F</w:t>
            </w:r>
            <w:r>
              <w:rPr>
                <w:rFonts w:cs="Arial"/>
                <w:vertAlign w:val="subscript"/>
              </w:rPr>
              <w:t>DL_low</w:t>
            </w:r>
            <w:r>
              <w:rPr>
                <w:rFonts w:cs="Arial"/>
              </w:rPr>
              <w:t xml:space="preserve"> – 145</w:t>
            </w:r>
          </w:p>
          <w:p>
            <w:pPr>
              <w:pStyle w:val="105"/>
              <w:rPr>
                <w:rFonts w:cs="Arial"/>
              </w:rPr>
            </w:pPr>
            <w:r>
              <w:rPr>
                <w:rFonts w:cs="Arial"/>
              </w:rPr>
              <w:t>or</w:t>
            </w:r>
          </w:p>
          <w:p>
            <w:pPr>
              <w:pStyle w:val="105"/>
              <w:rPr>
                <w:rFonts w:cs="Arial"/>
              </w:rPr>
            </w:pPr>
            <w:r>
              <w:rPr>
                <w:rFonts w:cs="Arial"/>
              </w:rPr>
              <w:t>F</w:t>
            </w:r>
            <w:r>
              <w:rPr>
                <w:rFonts w:cs="Arial"/>
                <w:vertAlign w:val="subscript"/>
              </w:rPr>
              <w:t>DL_high</w:t>
            </w:r>
            <w:r>
              <w:rPr>
                <w:rFonts w:cs="Arial"/>
              </w:rPr>
              <w:t xml:space="preserve"> + 85 ≤ f</w:t>
            </w:r>
          </w:p>
          <w:p>
            <w:pPr>
              <w:pStyle w:val="105"/>
              <w:rPr>
                <w:rFonts w:cs="Arial"/>
              </w:rPr>
            </w:pPr>
            <w:r>
              <w:rPr>
                <w:rFonts w:cs="Arial"/>
              </w:rPr>
              <w:t>≤ 12750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210" w:type="dxa"/>
            <w:gridSpan w:val="6"/>
            <w:tcBorders>
              <w:top w:val="single" w:color="auto" w:sz="4" w:space="0"/>
              <w:left w:val="single" w:color="auto" w:sz="4" w:space="0"/>
              <w:bottom w:val="single" w:color="auto" w:sz="4" w:space="0"/>
              <w:right w:val="single" w:color="auto" w:sz="4" w:space="0"/>
            </w:tcBorders>
          </w:tcPr>
          <w:p>
            <w:pPr>
              <w:pStyle w:val="118"/>
            </w:pPr>
            <w:r>
              <w:rPr>
                <w:rFonts w:eastAsia="MS Mincho" w:cs="Arial"/>
              </w:rPr>
              <w:t>NOTE 1:</w:t>
            </w:r>
            <w:r>
              <w:rPr>
                <w:rFonts w:eastAsia="MS Mincho" w:cs="Arial"/>
              </w:rPr>
              <w:tab/>
            </w:r>
            <w:r>
              <w:rPr>
                <w:rFonts w:hint="eastAsia" w:cs="Arial"/>
                <w:lang w:val="en-US"/>
              </w:rPr>
              <w:t>Void</w:t>
            </w:r>
            <w:r>
              <w:rPr>
                <w:rFonts w:eastAsia="MS Mincho" w:cs="Arial"/>
              </w:rPr>
              <w:t>.</w:t>
            </w:r>
          </w:p>
          <w:p>
            <w:pPr>
              <w:pStyle w:val="118"/>
              <w:rPr>
                <w:rFonts w:eastAsia="MS Mincho"/>
                <w:lang w:val="en-US"/>
              </w:rPr>
            </w:pPr>
            <w:r>
              <w:t xml:space="preserve">NOTE </w:t>
            </w:r>
            <w:r>
              <w:rPr>
                <w:lang w:val="en-US"/>
              </w:rPr>
              <w:t>2</w:t>
            </w:r>
            <w:r>
              <w:t>:</w:t>
            </w:r>
            <w:r>
              <w:tab/>
            </w:r>
            <w:r>
              <w:rPr>
                <w:rFonts w:eastAsia="MS Mincho"/>
                <w:lang w:val="en-US"/>
              </w:rPr>
              <w:t>Band 256 lower frequency ranges are modified to enable specific implementations.</w:t>
            </w:r>
          </w:p>
          <w:p>
            <w:pPr>
              <w:pStyle w:val="118"/>
              <w:rPr>
                <w:rFonts w:cs="Arial"/>
                <w:lang w:val="en-US"/>
              </w:rPr>
            </w:pPr>
            <w:r>
              <w:rPr>
                <w:rFonts w:cs="Arial"/>
              </w:rPr>
              <w:t>NOTE 3:</w:t>
            </w:r>
            <w:r>
              <w:rPr>
                <w:rFonts w:cs="Arial"/>
              </w:rPr>
              <w:tab/>
            </w:r>
            <w:r>
              <w:rPr>
                <w:rFonts w:cs="Arial"/>
              </w:rPr>
              <w:t>For operating bands which downlink band frequency range is between 1475.9 MHz &lt; f &lt; 2690 MHz the power level of the interferer (P</w:t>
            </w:r>
            <w:r>
              <w:rPr>
                <w:rFonts w:cs="Arial"/>
                <w:vertAlign w:val="subscript"/>
              </w:rPr>
              <w:t>Interferer</w:t>
            </w:r>
            <w:r>
              <w:rPr>
                <w:rFonts w:cs="Arial"/>
              </w:rPr>
              <w:t>) for Range 3 shall be modified to: -20 dBm for the frequency range which is bounded by F</w:t>
            </w:r>
            <w:r>
              <w:rPr>
                <w:rFonts w:cs="Arial"/>
                <w:vertAlign w:val="subscript"/>
              </w:rPr>
              <w:t>DL_low</w:t>
            </w:r>
            <w:r>
              <w:rPr>
                <w:rFonts w:cs="Arial"/>
              </w:rPr>
              <w:t xml:space="preserve">- 200 MHz of the lowest band that UE supports in frequency range </w:t>
            </w:r>
            <w:r>
              <w:rPr>
                <w:rFonts w:cs="Arial"/>
                <w:lang w:eastAsia="ja-JP"/>
              </w:rPr>
              <w:t>1475.9</w:t>
            </w:r>
            <w:r>
              <w:rPr>
                <w:rFonts w:cs="Arial"/>
              </w:rPr>
              <w:t xml:space="preserve"> MHz &lt; f &lt; 2690 MHz and F</w:t>
            </w:r>
            <w:r>
              <w:rPr>
                <w:rFonts w:cs="Arial"/>
                <w:vertAlign w:val="subscript"/>
              </w:rPr>
              <w:t xml:space="preserve">DL_high  </w:t>
            </w:r>
            <w:r>
              <w:rPr>
                <w:rFonts w:cs="Arial"/>
              </w:rPr>
              <w:t xml:space="preserve">+ 200 MHz of the highest band that UE supports in frequency range </w:t>
            </w:r>
            <w:r>
              <w:rPr>
                <w:rFonts w:cs="Arial"/>
                <w:lang w:eastAsia="ja-JP"/>
              </w:rPr>
              <w:t>1475.9</w:t>
            </w:r>
            <w:r>
              <w:rPr>
                <w:rFonts w:cs="Arial"/>
              </w:rPr>
              <w:t xml:space="preserve"> MHz &lt; f &lt; 2690 MHz.</w:t>
            </w:r>
            <w:r>
              <w:rPr>
                <w:rFonts w:cs="Arial"/>
                <w:lang w:val="en-US"/>
              </w:rPr>
              <w:t>”</w:t>
            </w:r>
          </w:p>
          <w:p>
            <w:pPr>
              <w:pStyle w:val="118"/>
              <w:rPr>
                <w:rFonts w:cs="Arial"/>
                <w:lang w:val="en-US"/>
              </w:rPr>
            </w:pPr>
            <w:r>
              <w:rPr>
                <w:rFonts w:eastAsia="MS Mincho"/>
              </w:rPr>
              <w:t>NOTE 4:</w:t>
            </w:r>
            <w:r>
              <w:rPr>
                <w:rFonts w:eastAsia="MS Mincho"/>
              </w:rPr>
              <w:tab/>
            </w:r>
            <w:r>
              <w:rPr>
                <w:rFonts w:eastAsia="MS Mincho"/>
              </w:rPr>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t>280</w:t>
            </w:r>
            <w:r>
              <w:rPr>
                <w:rFonts w:eastAsia="MS Mincho"/>
              </w:rPr>
              <w:t xml:space="preserve">0 MHz and </w:t>
            </w:r>
            <w:r>
              <w:t>F</w:t>
            </w:r>
            <w:r>
              <w:rPr>
                <w:vertAlign w:val="subscript"/>
              </w:rPr>
              <w:t>Interferer</w:t>
            </w:r>
            <w:r>
              <w:rPr>
                <w:rFonts w:eastAsia="MS Mincho"/>
              </w:rPr>
              <w:t xml:space="preserve"> &lt; 4400 MHz.</w:t>
            </w:r>
          </w:p>
        </w:tc>
      </w:tr>
    </w:tbl>
    <w:p>
      <w:pPr>
        <w:rPr>
          <w:lang w:eastAsia="zh-TW"/>
        </w:rPr>
      </w:pPr>
    </w:p>
    <w:p>
      <w:r>
        <w:t>The normative reference for this requirement is TS 36.102 [11] clause 7.6B.3.</w:t>
      </w:r>
    </w:p>
    <w:p>
      <w:pPr>
        <w:pStyle w:val="9"/>
      </w:pPr>
      <w:r>
        <w:rPr>
          <w:rFonts w:eastAsia="??"/>
        </w:rPr>
        <w:t>7.6B.3.4</w:t>
      </w:r>
      <w:r>
        <w:rPr>
          <w:rFonts w:eastAsia="??"/>
        </w:rPr>
        <w:tab/>
      </w:r>
      <w:r>
        <w:rPr>
          <w:rFonts w:eastAsia="??"/>
        </w:rPr>
        <w:t>Test Description</w:t>
      </w:r>
    </w:p>
    <w:p>
      <w:pPr>
        <w:pStyle w:val="9"/>
        <w:rPr>
          <w:rFonts w:eastAsia="??"/>
        </w:rPr>
      </w:pPr>
      <w:r>
        <w:rPr>
          <w:rFonts w:eastAsia="??"/>
        </w:rPr>
        <w:t>7.6B.3.4.1</w:t>
      </w:r>
      <w:r>
        <w:rPr>
          <w:rFonts w:eastAsia="??"/>
        </w:rPr>
        <w:tab/>
      </w:r>
      <w:r>
        <w:rPr>
          <w:rFonts w:eastAsia="??"/>
        </w:rP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7.6B.3.4.1-1. The details of the downlink reference measurement channels (RMCs) are specified in Annex A.3. Configurations of NPDSCH and NPDCCH before measurement are specified in Annex C.2.</w:t>
      </w:r>
    </w:p>
    <w:p>
      <w:pPr>
        <w:pStyle w:val="113"/>
      </w:pPr>
      <w:r>
        <w:t>Table 7.6B.3.4.1-1: Test Configuration 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214"/>
        <w:gridCol w:w="1304"/>
        <w:gridCol w:w="1672"/>
        <w:gridCol w:w="1134"/>
        <w:gridCol w:w="16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shd w:val="clear" w:color="auto" w:fill="auto"/>
          </w:tcPr>
          <w:p>
            <w:pPr>
              <w:pStyle w:val="103"/>
            </w:pPr>
            <w:r>
              <w:t>N</w:t>
            </w:r>
            <w:r>
              <w:rPr>
                <w:rFonts w:hint="eastAsia"/>
              </w:rPr>
              <w:t>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shd w:val="clear" w:color="auto" w:fill="auto"/>
          </w:tcPr>
          <w:p>
            <w:pPr>
              <w:pStyle w:val="103"/>
            </w:pPr>
            <w:r>
              <w:t>Frequency ranges defined in Annex K.1.1 (Note)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214" w:type="dxa"/>
          </w:tcPr>
          <w:p>
            <w:pPr>
              <w:pStyle w:val="105"/>
            </w:pPr>
            <w:r>
              <w:t>Modulation</w:t>
            </w:r>
          </w:p>
        </w:tc>
        <w:tc>
          <w:tcPr>
            <w:tcW w:w="1304" w:type="dxa"/>
          </w:tcPr>
          <w:p>
            <w:pPr>
              <w:pStyle w:val="105"/>
            </w:pPr>
            <w:r>
              <w:rPr>
                <w:rFonts w:cs="Arial"/>
              </w:rPr>
              <w:t>Subcarriers</w:t>
            </w:r>
          </w:p>
        </w:tc>
        <w:tc>
          <w:tcPr>
            <w:tcW w:w="1672" w:type="dxa"/>
          </w:tcPr>
          <w:p>
            <w:pPr>
              <w:pStyle w:val="105"/>
            </w:pPr>
            <w:r>
              <w:t>Modulation</w:t>
            </w:r>
          </w:p>
        </w:tc>
        <w:tc>
          <w:tcPr>
            <w:tcW w:w="1134" w:type="dxa"/>
          </w:tcPr>
          <w:p>
            <w:pPr>
              <w:pStyle w:val="105"/>
            </w:pPr>
            <w:r>
              <w:t>N</w:t>
            </w:r>
            <w:r>
              <w:rPr>
                <w:vertAlign w:val="subscript"/>
              </w:rPr>
              <w:t>tones</w:t>
            </w:r>
          </w:p>
        </w:tc>
        <w:tc>
          <w:tcPr>
            <w:tcW w:w="1691" w:type="dxa"/>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1214" w:type="dxa"/>
          </w:tcPr>
          <w:p>
            <w:pPr>
              <w:pStyle w:val="105"/>
              <w:rPr>
                <w:lang w:eastAsia="ko-KR"/>
              </w:rPr>
            </w:pPr>
            <w:r>
              <w:rPr>
                <w:lang w:eastAsia="ko-KR"/>
              </w:rPr>
              <w:t>QPSK</w:t>
            </w:r>
          </w:p>
        </w:tc>
        <w:tc>
          <w:tcPr>
            <w:tcW w:w="1304" w:type="dxa"/>
          </w:tcPr>
          <w:p>
            <w:pPr>
              <w:pStyle w:val="105"/>
              <w:rPr>
                <w:lang w:eastAsia="ko-KR"/>
              </w:rPr>
            </w:pPr>
            <w:r>
              <w:rPr>
                <w:lang w:eastAsia="ko-KR"/>
              </w:rPr>
              <w:t>12</w:t>
            </w:r>
          </w:p>
        </w:tc>
        <w:tc>
          <w:tcPr>
            <w:tcW w:w="1672" w:type="dxa"/>
          </w:tcPr>
          <w:p>
            <w:pPr>
              <w:pStyle w:val="105"/>
            </w:pPr>
            <w:r>
              <w:t>BPSK</w:t>
            </w:r>
          </w:p>
        </w:tc>
        <w:tc>
          <w:tcPr>
            <w:tcW w:w="1134" w:type="dxa"/>
          </w:tcPr>
          <w:p>
            <w:pPr>
              <w:pStyle w:val="105"/>
            </w:pPr>
            <w:r>
              <w:t>1@0</w:t>
            </w:r>
          </w:p>
        </w:tc>
        <w:tc>
          <w:tcPr>
            <w:tcW w:w="1691" w:type="dxa"/>
          </w:tcPr>
          <w:p>
            <w:pPr>
              <w:pStyle w:val="105"/>
            </w:pPr>
            <w: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5" w:type="dxa"/>
            <w:gridSpan w:val="6"/>
          </w:tcPr>
          <w:p>
            <w:pPr>
              <w:pStyle w:val="118"/>
            </w:pPr>
            <w:bookmarkStart w:id="1386" w:name="OLE_LINK6"/>
            <w:r>
              <w:t>Note:</w:t>
            </w:r>
            <w:r>
              <w:tab/>
            </w:r>
            <w:r>
              <w:t>Among all frequency bands ranges below 1GHz supported by the UE, one test frequency chosen arbitrarily from low or high range defined in Annex K.1.1 is tested.</w:t>
            </w:r>
            <w:bookmarkEnd w:id="1386"/>
            <w:r>
              <w:t xml:space="preserve"> Among all frequency bands ranges above 1GHz supported by the UE, one test frequency chosen arbitrarily from low or high range defined in Annex K.1.1 is tested.</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 as shown in TS 36.508 [12] Annex A, Figure A.5 using only the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C.2, and NPUSCH Format 2 is used to carry ACK/NACK on the uplink.</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 is set according to Table 7.6B.3.4.1-1.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hint="eastAsia" w:eastAsia="Malgun Gothic"/>
        </w:rPr>
        <w:t>6.</w:t>
      </w:r>
      <w:r>
        <w:rPr>
          <w:rFonts w:hint="eastAsia" w:eastAsia="Malgun Gothic"/>
          <w:lang w:val="en-GB" w:eastAsia="en-US"/>
        </w:rPr>
        <w:tab/>
      </w:r>
      <w:r>
        <w:rPr>
          <w:rFonts w:hint="eastAsia" w:eastAsia="Malgun Gothic"/>
        </w:rPr>
        <w:t>UE location according to TS 36.508 [12] clause 8.2.6.1 is provided to the UE through any preconfigured means.</w:t>
      </w:r>
    </w:p>
    <w:p>
      <w:pPr>
        <w:pStyle w:val="111"/>
        <w:overflowPunct w:val="0"/>
        <w:autoSpaceDE w:val="0"/>
        <w:autoSpaceDN w:val="0"/>
        <w:adjustRightInd w:val="0"/>
        <w:contextualSpacing w:val="0"/>
        <w:textAlignment w:val="baseline"/>
        <w:rPr>
          <w:rFonts w:eastAsia="Malgun Gothic"/>
        </w:rPr>
      </w:pPr>
      <w:r>
        <w:rPr>
          <w:rFonts w:hint="eastAsia" w:eastAsia="Malgun Gothic"/>
        </w:rPr>
        <w:t>7.</w:t>
      </w:r>
      <w:r>
        <w:rPr>
          <w:rFonts w:hint="eastAsia" w:eastAsia="Malgun Gothic"/>
          <w:lang w:val="en-GB" w:eastAsia="en-US"/>
        </w:rPr>
        <w:tab/>
      </w:r>
      <w:r>
        <w:rPr>
          <w:rFonts w:hint="eastAsia" w:eastAsia="Malgun Gothic"/>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pPr>
        <w:pStyle w:val="111"/>
        <w:overflowPunct w:val="0"/>
        <w:autoSpaceDE w:val="0"/>
        <w:autoSpaceDN w:val="0"/>
        <w:adjustRightInd w:val="0"/>
        <w:contextualSpacing w:val="0"/>
        <w:textAlignment w:val="baseline"/>
        <w:rPr>
          <w:rFonts w:eastAsia="Malgun Gothic"/>
        </w:rPr>
      </w:pPr>
      <w:r>
        <w:rPr>
          <w:rFonts w:hint="eastAsia" w:eastAsia="Malgun Gothic"/>
        </w:rPr>
        <w:t>8.</w:t>
      </w:r>
      <w:r>
        <w:rPr>
          <w:rFonts w:hint="eastAsia" w:eastAsia="Malgun Gothic"/>
          <w:lang w:val="en-GB" w:eastAsia="en-US"/>
        </w:rPr>
        <w:tab/>
      </w:r>
      <w:r>
        <w:rPr>
          <w:rFonts w:hint="eastAsia" w:eastAsia="Malgun Gothic"/>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hint="eastAsia" w:eastAsia="Malgun Gothic"/>
        </w:rPr>
        <w:t>.</w:t>
      </w:r>
      <w:r>
        <w:rPr>
          <w:rFonts w:hint="eastAsia" w:eastAsia="Malgun Gothic"/>
        </w:rPr>
        <w:tab/>
      </w:r>
      <w:r>
        <w:rPr>
          <w:rFonts w:eastAsia="Malgun Gothic"/>
        </w:rPr>
        <w:t>Ensure the UE is in State 2A-NB with CP CIoT Optimisation according to TS 36.508 [12] clause 8.1.5. Message contents are defined in clause 7.6B.3.4.3.</w:t>
      </w:r>
    </w:p>
    <w:p>
      <w:pPr>
        <w:pStyle w:val="9"/>
      </w:pPr>
      <w:r>
        <w:rPr>
          <w:rFonts w:eastAsia="??"/>
        </w:rPr>
        <w:t>7.6B.3.4.2</w:t>
      </w:r>
      <w:r>
        <w:rPr>
          <w:rFonts w:eastAsia="??"/>
        </w:rPr>
        <w:tab/>
      </w:r>
      <w:r>
        <w:rPr>
          <w:rFonts w:eastAsia="??"/>
        </w:rP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 7.6B.3.4.1-1.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downlink signal level according to the Table 7.6B.3.5-1.</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Set the parameters of the CW signal generator for an interfering signal below the wanted signal according to Table 7.6B.3.5-1. The frequency step size is 1MHz.</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Record the frequencies for which the throughput doesn't meet the requirements.</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Repeat steps from 3 to 5, using an interfering signal above the wanted signal at step 3.</w:t>
      </w:r>
    </w:p>
    <w:p>
      <w:pPr>
        <w:pStyle w:val="9"/>
      </w:pPr>
      <w:r>
        <w:rPr>
          <w:rFonts w:eastAsia="??"/>
        </w:rPr>
        <w:t>7.6B.3.4.3</w:t>
      </w:r>
      <w:r>
        <w:rPr>
          <w:rFonts w:eastAsia="??"/>
        </w:rPr>
        <w:tab/>
      </w:r>
      <w:r>
        <w:rPr>
          <w:rFonts w:eastAsia="??"/>
        </w:rPr>
        <w:t>Message Contents</w:t>
      </w:r>
    </w:p>
    <w:p>
      <w:r>
        <w:t>Message contents are according to TS 36.508 [12] clause 8.1.6.</w:t>
      </w:r>
    </w:p>
    <w:p>
      <w:pPr>
        <w:pStyle w:val="9"/>
      </w:pPr>
      <w:r>
        <w:rPr>
          <w:rFonts w:eastAsia="MS Mincho"/>
        </w:rPr>
        <w:t>7.6B.3.5</w:t>
      </w:r>
      <w:r>
        <w:rPr>
          <w:rFonts w:eastAsia="MS Mincho"/>
        </w:rPr>
        <w:tab/>
      </w:r>
      <w:r>
        <w:rPr>
          <w:rFonts w:eastAsia="MS Mincho"/>
        </w:rPr>
        <w:t>Test Requirement</w:t>
      </w:r>
    </w:p>
    <w:p>
      <w:r>
        <w:t>Except for the spurious response frequencies recorded at the final step of test procedure, the throughput measurement derived in test procedure shall be ≥ 95% of the maximum throughput of the reference measurement channels as specified in clause A.3.2 with parameters specified in Tables 7.6B.3.5-1.</w:t>
      </w:r>
    </w:p>
    <w:p>
      <w:r>
        <w:rPr>
          <w:rFonts w:eastAsia="Osaka"/>
        </w:rPr>
        <w:t xml:space="preserve">For Table 7.6B.3.5-1 in frequency range 1, 2 and 3, up to 24 exceptions are allowed for spurious response frequencies in each assigned frequency channel when measured using a 1MHz step size. </w:t>
      </w:r>
      <w:r>
        <w:t>For these exceptions the requirements of subclause 7.7B spurious response are applicable.</w:t>
      </w:r>
    </w:p>
    <w:p>
      <w:pPr>
        <w:pStyle w:val="113"/>
      </w:pPr>
      <w:r>
        <w:t>Table 7.6B.3.5-1: Out-of-band blocking parameters for category NB1 and NB2 UE</w:t>
      </w:r>
    </w:p>
    <w:tbl>
      <w:tblPr>
        <w:tblStyle w:val="89"/>
        <w:tblW w:w="92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6"/>
        <w:gridCol w:w="1488"/>
        <w:gridCol w:w="799"/>
        <w:gridCol w:w="1939"/>
        <w:gridCol w:w="1939"/>
        <w:gridCol w:w="1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vMerge w:val="restart"/>
            <w:tcBorders>
              <w:top w:val="single" w:color="auto" w:sz="4" w:space="0"/>
              <w:left w:val="single" w:color="auto" w:sz="4" w:space="0"/>
              <w:right w:val="single" w:color="auto" w:sz="4" w:space="0"/>
            </w:tcBorders>
          </w:tcPr>
          <w:p>
            <w:pPr>
              <w:pStyle w:val="104"/>
            </w:pPr>
            <w:r>
              <w:rPr>
                <w:lang w:val="en-US"/>
              </w:rPr>
              <w:t>Operating Band</w:t>
            </w:r>
          </w:p>
        </w:tc>
        <w:tc>
          <w:tcPr>
            <w:tcW w:w="1488" w:type="dxa"/>
            <w:tcBorders>
              <w:top w:val="single" w:color="auto" w:sz="4" w:space="0"/>
              <w:left w:val="single" w:color="auto" w:sz="4" w:space="0"/>
              <w:bottom w:val="single" w:color="auto" w:sz="4" w:space="0"/>
              <w:right w:val="single" w:color="auto" w:sz="4" w:space="0"/>
            </w:tcBorders>
          </w:tcPr>
          <w:p>
            <w:pPr>
              <w:pStyle w:val="104"/>
            </w:pPr>
            <w:r>
              <w:t>Parameter</w:t>
            </w:r>
          </w:p>
        </w:tc>
        <w:tc>
          <w:tcPr>
            <w:tcW w:w="799" w:type="dxa"/>
            <w:tcBorders>
              <w:top w:val="single" w:color="auto" w:sz="4" w:space="0"/>
              <w:left w:val="single" w:color="auto" w:sz="4" w:space="0"/>
              <w:bottom w:val="single" w:color="auto" w:sz="4" w:space="0"/>
              <w:right w:val="single" w:color="auto" w:sz="4" w:space="0"/>
            </w:tcBorders>
          </w:tcPr>
          <w:p>
            <w:pPr>
              <w:pStyle w:val="104"/>
            </w:pPr>
            <w:r>
              <w:t>Unit</w:t>
            </w:r>
          </w:p>
        </w:tc>
        <w:tc>
          <w:tcPr>
            <w:tcW w:w="1939" w:type="dxa"/>
            <w:tcBorders>
              <w:top w:val="single" w:color="auto" w:sz="4" w:space="0"/>
              <w:left w:val="single" w:color="auto" w:sz="4" w:space="0"/>
              <w:bottom w:val="single" w:color="auto" w:sz="4" w:space="0"/>
              <w:right w:val="single" w:color="auto" w:sz="4" w:space="0"/>
            </w:tcBorders>
          </w:tcPr>
          <w:p>
            <w:pPr>
              <w:pStyle w:val="104"/>
            </w:pPr>
            <w:r>
              <w:t>Range 1</w:t>
            </w:r>
          </w:p>
        </w:tc>
        <w:tc>
          <w:tcPr>
            <w:tcW w:w="1939" w:type="dxa"/>
            <w:tcBorders>
              <w:top w:val="single" w:color="auto" w:sz="4" w:space="0"/>
              <w:left w:val="single" w:color="auto" w:sz="4" w:space="0"/>
              <w:bottom w:val="single" w:color="auto" w:sz="4" w:space="0"/>
              <w:right w:val="single" w:color="auto" w:sz="4" w:space="0"/>
            </w:tcBorders>
          </w:tcPr>
          <w:p>
            <w:pPr>
              <w:pStyle w:val="104"/>
            </w:pPr>
            <w:r>
              <w:t>Range 2</w:t>
            </w:r>
          </w:p>
        </w:tc>
        <w:tc>
          <w:tcPr>
            <w:tcW w:w="1939" w:type="dxa"/>
            <w:tcBorders>
              <w:top w:val="single" w:color="auto" w:sz="4" w:space="0"/>
              <w:left w:val="single" w:color="auto" w:sz="4" w:space="0"/>
              <w:bottom w:val="single" w:color="auto" w:sz="4" w:space="0"/>
              <w:right w:val="single" w:color="auto" w:sz="4" w:space="0"/>
            </w:tcBorders>
          </w:tcPr>
          <w:p>
            <w:pPr>
              <w:pStyle w:val="104"/>
            </w:pPr>
            <w:r>
              <w:t>Range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vMerge w:val="continue"/>
            <w:tcBorders>
              <w:left w:val="single" w:color="auto" w:sz="4" w:space="0"/>
              <w:right w:val="single" w:color="auto" w:sz="4" w:space="0"/>
            </w:tcBorders>
          </w:tcPr>
          <w:p>
            <w:pPr>
              <w:pStyle w:val="104"/>
              <w:rPr>
                <w:lang w:val="en-US"/>
              </w:rPr>
            </w:pPr>
          </w:p>
        </w:tc>
        <w:tc>
          <w:tcPr>
            <w:tcW w:w="1488" w:type="dxa"/>
            <w:tcBorders>
              <w:top w:val="single" w:color="auto" w:sz="4" w:space="0"/>
              <w:left w:val="single" w:color="auto" w:sz="4" w:space="0"/>
              <w:bottom w:val="single" w:color="auto" w:sz="4" w:space="0"/>
              <w:right w:val="single" w:color="auto" w:sz="4" w:space="0"/>
            </w:tcBorders>
            <w:vAlign w:val="center"/>
          </w:tcPr>
          <w:p>
            <w:pPr>
              <w:pStyle w:val="105"/>
              <w:rPr>
                <w:rFonts w:cs="Arial"/>
                <w:lang w:val="en-US"/>
              </w:rPr>
            </w:pPr>
            <w:r>
              <w:rPr>
                <w:rFonts w:cs="Arial"/>
                <w:lang w:val="en-US"/>
              </w:rPr>
              <w:t>P</w:t>
            </w:r>
            <w:r>
              <w:rPr>
                <w:rFonts w:cs="Arial"/>
                <w:vertAlign w:val="subscript"/>
                <w:lang w:val="en-US"/>
              </w:rPr>
              <w:t>w</w:t>
            </w:r>
          </w:p>
        </w:tc>
        <w:tc>
          <w:tcPr>
            <w:tcW w:w="799" w:type="dxa"/>
            <w:tcBorders>
              <w:top w:val="single" w:color="auto" w:sz="4" w:space="0"/>
              <w:left w:val="single" w:color="auto" w:sz="4" w:space="0"/>
              <w:bottom w:val="single" w:color="auto" w:sz="4" w:space="0"/>
              <w:right w:val="single" w:color="auto" w:sz="4" w:space="0"/>
            </w:tcBorders>
            <w:vAlign w:val="center"/>
          </w:tcPr>
          <w:p>
            <w:pPr>
              <w:pStyle w:val="105"/>
              <w:rPr>
                <w:rFonts w:cs="Arial"/>
                <w:lang w:val="en-US"/>
              </w:rPr>
            </w:pPr>
            <w:r>
              <w:rPr>
                <w:rFonts w:cs="Arial"/>
                <w:lang w:val="en-US"/>
              </w:rPr>
              <w:t>dBm</w:t>
            </w:r>
          </w:p>
        </w:tc>
        <w:tc>
          <w:tcPr>
            <w:tcW w:w="5817" w:type="dxa"/>
            <w:gridSpan w:val="3"/>
            <w:tcBorders>
              <w:top w:val="single" w:color="auto" w:sz="4" w:space="0"/>
              <w:left w:val="single" w:color="auto" w:sz="4" w:space="0"/>
              <w:bottom w:val="single" w:color="auto" w:sz="4" w:space="0"/>
              <w:right w:val="single" w:color="auto" w:sz="4" w:space="0"/>
            </w:tcBorders>
            <w:vAlign w:val="center"/>
          </w:tcPr>
          <w:p>
            <w:pPr>
              <w:pStyle w:val="104"/>
            </w:pPr>
            <w:r>
              <w:rPr>
                <w:rFonts w:cs="Arial"/>
                <w:lang w:val="en-US"/>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vMerge w:val="continue"/>
            <w:tcBorders>
              <w:left w:val="single" w:color="auto" w:sz="4" w:space="0"/>
              <w:bottom w:val="single" w:color="auto" w:sz="4" w:space="0"/>
              <w:right w:val="single" w:color="auto" w:sz="4" w:space="0"/>
            </w:tcBorders>
          </w:tcP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P</w:t>
            </w:r>
            <w:r>
              <w:rPr>
                <w:vertAlign w:val="subscript"/>
                <w:lang w:val="sv-SE"/>
              </w:rPr>
              <w:t>interferer</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dBm</w:t>
            </w:r>
          </w:p>
        </w:tc>
        <w:tc>
          <w:tcPr>
            <w:tcW w:w="1939" w:type="dxa"/>
            <w:tcBorders>
              <w:top w:val="single" w:color="auto" w:sz="4" w:space="0"/>
              <w:left w:val="single" w:color="auto" w:sz="4" w:space="0"/>
              <w:bottom w:val="single" w:color="auto" w:sz="4" w:space="0"/>
              <w:right w:val="single" w:color="auto" w:sz="4" w:space="0"/>
            </w:tcBorders>
          </w:tcPr>
          <w:p>
            <w:pPr>
              <w:pStyle w:val="105"/>
            </w:pPr>
            <w:r>
              <w:t>-44</w:t>
            </w:r>
          </w:p>
        </w:tc>
        <w:tc>
          <w:tcPr>
            <w:tcW w:w="1939" w:type="dxa"/>
            <w:tcBorders>
              <w:top w:val="single" w:color="auto" w:sz="4" w:space="0"/>
              <w:left w:val="single" w:color="auto" w:sz="4" w:space="0"/>
              <w:bottom w:val="single" w:color="auto" w:sz="4" w:space="0"/>
              <w:right w:val="single" w:color="auto" w:sz="4" w:space="0"/>
            </w:tcBorders>
          </w:tcPr>
          <w:p>
            <w:pPr>
              <w:pStyle w:val="105"/>
            </w:pPr>
            <w:r>
              <w:t>-30</w:t>
            </w:r>
          </w:p>
        </w:tc>
        <w:tc>
          <w:tcPr>
            <w:tcW w:w="1939" w:type="dxa"/>
            <w:tcBorders>
              <w:top w:val="single" w:color="auto" w:sz="4" w:space="0"/>
              <w:left w:val="single" w:color="auto" w:sz="4" w:space="0"/>
              <w:bottom w:val="single" w:color="auto" w:sz="4" w:space="0"/>
              <w:right w:val="single" w:color="auto" w:sz="4" w:space="0"/>
            </w:tcBorders>
          </w:tcPr>
          <w:p>
            <w:pPr>
              <w:pStyle w:val="105"/>
            </w:pPr>
            <w:r>
              <w:rPr>
                <w:lang w:val="sv-SE"/>
              </w:rPr>
              <w:t>-15</w:t>
            </w:r>
            <w:r>
              <w:rPr>
                <w:vertAlign w:val="superscript"/>
                <w:lang w:val="sv-SE"/>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r>
              <w:t>255</w:t>
            </w: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F</w:t>
            </w:r>
            <w:r>
              <w:rPr>
                <w:vertAlign w:val="subscript"/>
                <w:lang w:val="sv-SE"/>
              </w:rPr>
              <w:t>interferer</w:t>
            </w:r>
            <w:r>
              <w:rPr>
                <w:lang w:val="sv-SE"/>
              </w:rPr>
              <w:t xml:space="preserve"> (CW)</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MHz</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-60 &lt; f – F</w:t>
            </w:r>
            <w:r>
              <w:rPr>
                <w:rFonts w:cs="Arial"/>
                <w:vertAlign w:val="subscript"/>
              </w:rPr>
              <w:t>DL_low</w:t>
            </w:r>
            <w:r>
              <w:rPr>
                <w:rFonts w:cs="Arial"/>
              </w:rPr>
              <w:t xml:space="preserve"> &lt; -15</w:t>
            </w:r>
          </w:p>
          <w:p>
            <w:pPr>
              <w:pStyle w:val="105"/>
              <w:rPr>
                <w:rFonts w:cs="Arial"/>
              </w:rPr>
            </w:pPr>
            <w:r>
              <w:rPr>
                <w:rFonts w:cs="Arial"/>
              </w:rPr>
              <w:t>or</w:t>
            </w:r>
          </w:p>
          <w:p>
            <w:pPr>
              <w:pStyle w:val="105"/>
              <w:rPr>
                <w:rFonts w:cs="Arial"/>
              </w:rPr>
            </w:pPr>
            <w:r>
              <w:rPr>
                <w:rFonts w:cs="Arial"/>
              </w:rPr>
              <w:t>15 &lt; f – F</w:t>
            </w:r>
            <w:r>
              <w:rPr>
                <w:rFonts w:cs="Arial"/>
                <w:vertAlign w:val="subscript"/>
              </w:rPr>
              <w:t>DL_high</w:t>
            </w:r>
            <w:r>
              <w:rPr>
                <w:rFonts w:cs="Arial"/>
              </w:rPr>
              <w:t xml:space="preserve"> &lt; 60</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-85 &lt; f – F</w:t>
            </w:r>
            <w:r>
              <w:rPr>
                <w:rFonts w:cs="Arial"/>
                <w:vertAlign w:val="subscript"/>
              </w:rPr>
              <w:t>DL_low</w:t>
            </w:r>
            <w:r>
              <w:rPr>
                <w:rFonts w:cs="Arial"/>
              </w:rPr>
              <w:t xml:space="preserve"> ≤ -60</w:t>
            </w:r>
          </w:p>
          <w:p>
            <w:pPr>
              <w:pStyle w:val="105"/>
              <w:rPr>
                <w:rFonts w:cs="Arial"/>
              </w:rPr>
            </w:pPr>
            <w:r>
              <w:rPr>
                <w:rFonts w:cs="Arial"/>
              </w:rPr>
              <w:t>or</w:t>
            </w:r>
          </w:p>
          <w:p>
            <w:pPr>
              <w:pStyle w:val="105"/>
              <w:rPr>
                <w:rFonts w:cs="Arial"/>
              </w:rPr>
            </w:pPr>
            <w:r>
              <w:rPr>
                <w:rFonts w:cs="Arial"/>
              </w:rPr>
              <w:t>60 ≤ f – F</w:t>
            </w:r>
            <w:r>
              <w:rPr>
                <w:rFonts w:cs="Arial"/>
                <w:vertAlign w:val="subscript"/>
              </w:rPr>
              <w:t>DL_high</w:t>
            </w:r>
            <w:r>
              <w:rPr>
                <w:rFonts w:cs="Arial"/>
              </w:rPr>
              <w:t xml:space="preserve"> &lt; 85</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 ≤ f ≤ F</w:t>
            </w:r>
            <w:r>
              <w:rPr>
                <w:rFonts w:cs="Arial"/>
                <w:vertAlign w:val="subscript"/>
              </w:rPr>
              <w:t>DL_low</w:t>
            </w:r>
            <w:r>
              <w:rPr>
                <w:rFonts w:cs="Arial"/>
              </w:rPr>
              <w:t xml:space="preserve"> – 85</w:t>
            </w:r>
          </w:p>
          <w:p>
            <w:pPr>
              <w:pStyle w:val="105"/>
              <w:rPr>
                <w:rFonts w:cs="Arial"/>
              </w:rPr>
            </w:pPr>
            <w:r>
              <w:rPr>
                <w:rFonts w:cs="Arial"/>
              </w:rPr>
              <w:t>or</w:t>
            </w:r>
          </w:p>
          <w:p>
            <w:pPr>
              <w:pStyle w:val="105"/>
              <w:rPr>
                <w:rFonts w:cs="Arial"/>
              </w:rPr>
            </w:pPr>
            <w:r>
              <w:rPr>
                <w:rFonts w:cs="Arial"/>
              </w:rPr>
              <w:t>F</w:t>
            </w:r>
            <w:r>
              <w:rPr>
                <w:rFonts w:cs="Arial"/>
                <w:vertAlign w:val="subscript"/>
              </w:rPr>
              <w:t>DL_high</w:t>
            </w:r>
            <w:r>
              <w:rPr>
                <w:rFonts w:cs="Arial"/>
              </w:rPr>
              <w:t xml:space="preserve"> + 85 ≤ f</w:t>
            </w:r>
          </w:p>
          <w:p>
            <w:pPr>
              <w:pStyle w:val="105"/>
              <w:rPr>
                <w:rFonts w:cs="Arial"/>
              </w:rPr>
            </w:pPr>
            <w:r>
              <w:rPr>
                <w:rFonts w:cs="Arial"/>
              </w:rPr>
              <w:t>≤ 12750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r>
              <w:t>256</w:t>
            </w:r>
            <w:r>
              <w:rPr>
                <w:vertAlign w:val="superscript"/>
              </w:rPr>
              <w:t>2</w:t>
            </w: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F</w:t>
            </w:r>
            <w:r>
              <w:rPr>
                <w:vertAlign w:val="subscript"/>
                <w:lang w:val="sv-SE"/>
              </w:rPr>
              <w:t>interferer</w:t>
            </w:r>
            <w:r>
              <w:rPr>
                <w:lang w:val="sv-SE"/>
              </w:rPr>
              <w:t xml:space="preserve"> (CW)</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MHz</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-100 &lt; f – F</w:t>
            </w:r>
            <w:r>
              <w:rPr>
                <w:rFonts w:cs="Arial"/>
                <w:vertAlign w:val="subscript"/>
              </w:rPr>
              <w:t>DL_low</w:t>
            </w:r>
            <w:r>
              <w:rPr>
                <w:rFonts w:cs="Arial"/>
              </w:rPr>
              <w:t xml:space="preserve"> &lt; -15</w:t>
            </w:r>
          </w:p>
          <w:p>
            <w:pPr>
              <w:pStyle w:val="105"/>
              <w:rPr>
                <w:rFonts w:cs="Arial"/>
              </w:rPr>
            </w:pPr>
            <w:r>
              <w:rPr>
                <w:rFonts w:cs="Arial"/>
              </w:rPr>
              <w:t>or</w:t>
            </w:r>
          </w:p>
          <w:p>
            <w:pPr>
              <w:pStyle w:val="105"/>
              <w:rPr>
                <w:rFonts w:cs="Arial"/>
              </w:rPr>
            </w:pPr>
            <w:r>
              <w:rPr>
                <w:rFonts w:cs="Arial"/>
              </w:rPr>
              <w:t>15 &lt; f – F</w:t>
            </w:r>
            <w:r>
              <w:rPr>
                <w:rFonts w:cs="Arial"/>
                <w:vertAlign w:val="subscript"/>
              </w:rPr>
              <w:t>DL_high</w:t>
            </w:r>
            <w:r>
              <w:rPr>
                <w:rFonts w:cs="Arial"/>
              </w:rPr>
              <w:t xml:space="preserve"> &lt; 60</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-145 &lt; f – F</w:t>
            </w:r>
            <w:r>
              <w:rPr>
                <w:rFonts w:cs="Arial"/>
                <w:vertAlign w:val="subscript"/>
              </w:rPr>
              <w:t>DL_low</w:t>
            </w:r>
            <w:r>
              <w:rPr>
                <w:rFonts w:cs="Arial"/>
              </w:rPr>
              <w:t xml:space="preserve"> ≤ -100</w:t>
            </w:r>
          </w:p>
          <w:p>
            <w:pPr>
              <w:pStyle w:val="105"/>
              <w:rPr>
                <w:rFonts w:cs="Arial"/>
              </w:rPr>
            </w:pPr>
            <w:r>
              <w:rPr>
                <w:rFonts w:cs="Arial"/>
              </w:rPr>
              <w:t>or</w:t>
            </w:r>
          </w:p>
          <w:p>
            <w:pPr>
              <w:pStyle w:val="105"/>
              <w:rPr>
                <w:rFonts w:cs="Arial"/>
              </w:rPr>
            </w:pPr>
            <w:r>
              <w:rPr>
                <w:rFonts w:cs="Arial"/>
              </w:rPr>
              <w:t>60 ≤ f – F</w:t>
            </w:r>
            <w:r>
              <w:rPr>
                <w:rFonts w:cs="Arial"/>
                <w:vertAlign w:val="subscript"/>
              </w:rPr>
              <w:t>DL_high</w:t>
            </w:r>
            <w:r>
              <w:rPr>
                <w:rFonts w:cs="Arial"/>
              </w:rPr>
              <w:t xml:space="preserve"> &lt; 85</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 ≤ f ≤ F</w:t>
            </w:r>
            <w:r>
              <w:rPr>
                <w:rFonts w:cs="Arial"/>
                <w:vertAlign w:val="subscript"/>
              </w:rPr>
              <w:t>DL_low</w:t>
            </w:r>
            <w:r>
              <w:rPr>
                <w:rFonts w:cs="Arial"/>
              </w:rPr>
              <w:t xml:space="preserve"> – 145</w:t>
            </w:r>
          </w:p>
          <w:p>
            <w:pPr>
              <w:pStyle w:val="105"/>
              <w:rPr>
                <w:rFonts w:cs="Arial"/>
              </w:rPr>
            </w:pPr>
            <w:r>
              <w:rPr>
                <w:rFonts w:cs="Arial"/>
              </w:rPr>
              <w:t>or</w:t>
            </w:r>
          </w:p>
          <w:p>
            <w:pPr>
              <w:pStyle w:val="105"/>
              <w:rPr>
                <w:rFonts w:cs="Arial"/>
              </w:rPr>
            </w:pPr>
            <w:r>
              <w:rPr>
                <w:rFonts w:cs="Arial"/>
              </w:rPr>
              <w:t>F</w:t>
            </w:r>
            <w:r>
              <w:rPr>
                <w:rFonts w:cs="Arial"/>
                <w:vertAlign w:val="subscript"/>
              </w:rPr>
              <w:t>DL_high</w:t>
            </w:r>
            <w:r>
              <w:rPr>
                <w:rFonts w:cs="Arial"/>
              </w:rPr>
              <w:t xml:space="preserve"> + 85 ≤ f</w:t>
            </w:r>
          </w:p>
          <w:p>
            <w:pPr>
              <w:pStyle w:val="105"/>
              <w:rPr>
                <w:rFonts w:cs="Arial"/>
              </w:rPr>
            </w:pPr>
            <w:r>
              <w:rPr>
                <w:rFonts w:cs="Arial"/>
              </w:rPr>
              <w:t>≤ 12750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210" w:type="dxa"/>
            <w:gridSpan w:val="6"/>
            <w:tcBorders>
              <w:top w:val="single" w:color="auto" w:sz="4" w:space="0"/>
              <w:left w:val="single" w:color="auto" w:sz="4" w:space="0"/>
              <w:bottom w:val="single" w:color="auto" w:sz="4" w:space="0"/>
              <w:right w:val="single" w:color="auto" w:sz="4" w:space="0"/>
            </w:tcBorders>
          </w:tcPr>
          <w:p>
            <w:pPr>
              <w:pStyle w:val="118"/>
            </w:pPr>
            <w:r>
              <w:rPr>
                <w:rFonts w:eastAsia="MS Mincho" w:cs="Arial"/>
              </w:rPr>
              <w:t>NOTE 1:</w:t>
            </w:r>
            <w:r>
              <w:rPr>
                <w:rFonts w:eastAsia="MS Mincho" w:cs="Arial"/>
              </w:rPr>
              <w:tab/>
            </w:r>
            <w:r>
              <w:rPr>
                <w:rFonts w:hint="eastAsia" w:cs="Arial"/>
                <w:lang w:val="en-US"/>
              </w:rPr>
              <w:t>Void</w:t>
            </w:r>
            <w:r>
              <w:rPr>
                <w:rFonts w:eastAsia="MS Mincho" w:cs="Arial"/>
              </w:rPr>
              <w:t>.</w:t>
            </w:r>
          </w:p>
          <w:p>
            <w:pPr>
              <w:pStyle w:val="118"/>
              <w:rPr>
                <w:rFonts w:eastAsia="MS Mincho"/>
                <w:lang w:val="en-US"/>
              </w:rPr>
            </w:pPr>
            <w:r>
              <w:t xml:space="preserve">NOTE </w:t>
            </w:r>
            <w:r>
              <w:rPr>
                <w:lang w:val="en-US"/>
              </w:rPr>
              <w:t>2</w:t>
            </w:r>
            <w:r>
              <w:t>:</w:t>
            </w:r>
            <w:r>
              <w:tab/>
            </w:r>
            <w:r>
              <w:rPr>
                <w:rFonts w:eastAsia="MS Mincho"/>
                <w:lang w:val="en-US"/>
              </w:rPr>
              <w:t>Band 256 lower frequency ranges are modified to enable specific implementations.</w:t>
            </w:r>
          </w:p>
          <w:p>
            <w:pPr>
              <w:pStyle w:val="118"/>
              <w:rPr>
                <w:rFonts w:cs="Arial"/>
                <w:lang w:val="en-US"/>
              </w:rPr>
            </w:pPr>
            <w:r>
              <w:rPr>
                <w:rFonts w:cs="Arial"/>
              </w:rPr>
              <w:t>NOTE 3:</w:t>
            </w:r>
            <w:r>
              <w:rPr>
                <w:rFonts w:cs="Arial"/>
              </w:rPr>
              <w:tab/>
            </w:r>
            <w:r>
              <w:rPr>
                <w:rFonts w:cs="Arial"/>
              </w:rPr>
              <w:t>For operating bands which downlink band frequency range is between 1475.9 MHz &lt; f &lt; 2690 MHz the power level of the interferer (P</w:t>
            </w:r>
            <w:r>
              <w:rPr>
                <w:rFonts w:cs="Arial"/>
                <w:vertAlign w:val="subscript"/>
              </w:rPr>
              <w:t>Interferer</w:t>
            </w:r>
            <w:r>
              <w:rPr>
                <w:rFonts w:cs="Arial"/>
              </w:rPr>
              <w:t>) for Range 3 shall be modified to: -20 dBm for the frequency range which is bounded by F</w:t>
            </w:r>
            <w:r>
              <w:rPr>
                <w:rFonts w:cs="Arial"/>
                <w:vertAlign w:val="subscript"/>
              </w:rPr>
              <w:t>DL_low</w:t>
            </w:r>
            <w:r>
              <w:rPr>
                <w:rFonts w:cs="Arial"/>
              </w:rPr>
              <w:t xml:space="preserve">- 200 MHz of the lowest band that UE supports in frequency range </w:t>
            </w:r>
            <w:r>
              <w:rPr>
                <w:rFonts w:cs="Arial"/>
                <w:lang w:eastAsia="ja-JP"/>
              </w:rPr>
              <w:t>1475.9</w:t>
            </w:r>
            <w:r>
              <w:rPr>
                <w:rFonts w:cs="Arial"/>
              </w:rPr>
              <w:t xml:space="preserve"> MHz &lt; f &lt; 2690 MHz and F</w:t>
            </w:r>
            <w:r>
              <w:rPr>
                <w:rFonts w:cs="Arial"/>
                <w:vertAlign w:val="subscript"/>
              </w:rPr>
              <w:t xml:space="preserve">DL_high  </w:t>
            </w:r>
            <w:r>
              <w:rPr>
                <w:rFonts w:cs="Arial"/>
              </w:rPr>
              <w:t xml:space="preserve">+ 200 MHz of the highest band that UE supports in frequency range </w:t>
            </w:r>
            <w:r>
              <w:rPr>
                <w:rFonts w:cs="Arial"/>
                <w:lang w:eastAsia="ja-JP"/>
              </w:rPr>
              <w:t>1475.9</w:t>
            </w:r>
            <w:r>
              <w:rPr>
                <w:rFonts w:cs="Arial"/>
              </w:rPr>
              <w:t xml:space="preserve"> MHz &lt; f &lt; 2690 MHz.</w:t>
            </w:r>
            <w:r>
              <w:rPr>
                <w:rFonts w:cs="Arial"/>
                <w:lang w:val="en-US"/>
              </w:rPr>
              <w:t>”</w:t>
            </w:r>
          </w:p>
          <w:p>
            <w:pPr>
              <w:pStyle w:val="118"/>
              <w:rPr>
                <w:rFonts w:cs="Arial"/>
                <w:lang w:val="en-US"/>
              </w:rPr>
            </w:pPr>
            <w:r>
              <w:rPr>
                <w:rFonts w:eastAsia="MS Mincho"/>
              </w:rPr>
              <w:t>NOTE 4:</w:t>
            </w:r>
            <w:r>
              <w:rPr>
                <w:rFonts w:eastAsia="MS Mincho"/>
              </w:rPr>
              <w:tab/>
            </w:r>
            <w:r>
              <w:rPr>
                <w:rFonts w:eastAsia="MS Mincho"/>
              </w:rPr>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t>280</w:t>
            </w:r>
            <w:r>
              <w:rPr>
                <w:rFonts w:eastAsia="MS Mincho"/>
              </w:rPr>
              <w:t xml:space="preserve">0 MHz and </w:t>
            </w:r>
            <w:r>
              <w:t>F</w:t>
            </w:r>
            <w:r>
              <w:rPr>
                <w:vertAlign w:val="subscript"/>
              </w:rPr>
              <w:t>Interferer</w:t>
            </w:r>
            <w:r>
              <w:rPr>
                <w:rFonts w:eastAsia="MS Mincho"/>
              </w:rPr>
              <w:t xml:space="preserve"> &lt; 4400 MHz.</w:t>
            </w:r>
          </w:p>
        </w:tc>
      </w:tr>
    </w:tbl>
    <w:p>
      <w:pPr>
        <w:rPr>
          <w:lang w:eastAsia="zh-TW"/>
        </w:rPr>
      </w:pPr>
    </w:p>
    <w:bookmarkEnd w:id="1376"/>
    <w:p>
      <w:pPr>
        <w:pStyle w:val="4"/>
      </w:pPr>
      <w:bookmarkStart w:id="1387" w:name="_Toc111062097"/>
      <w:bookmarkStart w:id="1388" w:name="_Toc28196"/>
      <w:bookmarkStart w:id="1389" w:name="_Toc21153"/>
      <w:bookmarkStart w:id="1390" w:name="_Toc28277"/>
      <w:bookmarkStart w:id="1391" w:name="_Toc121162903"/>
      <w:bookmarkStart w:id="1392" w:name="_Toc13344"/>
      <w:bookmarkStart w:id="1393" w:name="_Toc23174"/>
      <w:bookmarkStart w:id="1394" w:name="_Toc368026388"/>
      <w:bookmarkStart w:id="1395" w:name="_Toc29671"/>
      <w:bookmarkStart w:id="1396" w:name="_Toc5716"/>
      <w:bookmarkStart w:id="1397" w:name="_Toc120570111"/>
      <w:r>
        <w:t>7.7</w:t>
      </w:r>
      <w:r>
        <w:tab/>
      </w:r>
      <w:r>
        <w:t>Spurious response</w:t>
      </w:r>
      <w:bookmarkEnd w:id="1387"/>
      <w:bookmarkEnd w:id="1388"/>
      <w:bookmarkEnd w:id="1389"/>
      <w:bookmarkEnd w:id="1390"/>
      <w:bookmarkEnd w:id="1391"/>
      <w:bookmarkEnd w:id="1392"/>
      <w:bookmarkEnd w:id="1393"/>
      <w:bookmarkEnd w:id="1394"/>
      <w:bookmarkEnd w:id="1395"/>
      <w:bookmarkEnd w:id="1396"/>
      <w:bookmarkEnd w:id="1397"/>
    </w:p>
    <w:p>
      <w:pPr>
        <w:rPr>
          <w:rFonts w:eastAsiaTheme="minorEastAsia"/>
          <w:color w:val="000000" w:themeColor="text1"/>
          <w:lang w:eastAsia="zh-TW"/>
          <w14:textFill>
            <w14:solidFill>
              <w14:schemeClr w14:val="tx1"/>
            </w14:solidFill>
          </w14:textFill>
        </w:rPr>
      </w:pPr>
      <w:r>
        <w:rPr>
          <w:rFonts w:eastAsia="宋体"/>
          <w:color w:val="000000" w:themeColor="text1"/>
          <w14:textFill>
            <w14:solidFill>
              <w14:schemeClr w14:val="tx1"/>
            </w14:solidFill>
          </w14:textFill>
        </w:rPr>
        <w:t>This clause is reserved</w:t>
      </w:r>
      <w:r>
        <w:rPr>
          <w:rFonts w:hint="eastAsia" w:eastAsiaTheme="minorEastAsia"/>
          <w:color w:val="000000" w:themeColor="text1"/>
          <w:lang w:eastAsia="zh-TW"/>
          <w14:textFill>
            <w14:solidFill>
              <w14:schemeClr w14:val="tx1"/>
            </w14:solidFill>
          </w14:textFill>
        </w:rPr>
        <w:t>.</w:t>
      </w:r>
    </w:p>
    <w:p>
      <w:pPr>
        <w:pStyle w:val="4"/>
      </w:pPr>
      <w:bookmarkStart w:id="1398" w:name="_Toc14595"/>
      <w:bookmarkStart w:id="1399" w:name="_Toc2851"/>
      <w:bookmarkStart w:id="1400" w:name="_Toc14766"/>
      <w:bookmarkStart w:id="1401" w:name="_Toc16922"/>
      <w:bookmarkStart w:id="1402" w:name="_Toc121162904"/>
      <w:bookmarkStart w:id="1403" w:name="_Toc120570112"/>
      <w:bookmarkStart w:id="1404" w:name="_Toc30019"/>
      <w:bookmarkStart w:id="1405" w:name="_Toc12699"/>
      <w:bookmarkStart w:id="1406" w:name="_Toc17604"/>
      <w:r>
        <w:t>7.7A</w:t>
      </w:r>
      <w:r>
        <w:tab/>
      </w:r>
      <w:r>
        <w:t>Spurious response for category M1</w:t>
      </w:r>
      <w:bookmarkEnd w:id="1398"/>
      <w:bookmarkEnd w:id="1399"/>
      <w:bookmarkEnd w:id="1400"/>
      <w:bookmarkEnd w:id="1401"/>
      <w:bookmarkEnd w:id="1402"/>
      <w:bookmarkEnd w:id="1403"/>
      <w:bookmarkEnd w:id="1404"/>
      <w:bookmarkEnd w:id="1405"/>
      <w:bookmarkEnd w:id="1406"/>
    </w:p>
    <w:p>
      <w:pPr>
        <w:pStyle w:val="112"/>
        <w:rPr>
          <w:i w:val="0"/>
          <w:iCs w:val="0"/>
          <w:lang w:val="en-GB"/>
        </w:rPr>
      </w:pPr>
      <w:r>
        <w:t>Editor’s Note: Addition to applicability spec is pending.</w:t>
      </w:r>
    </w:p>
    <w:p>
      <w:pPr>
        <w:pStyle w:val="9"/>
      </w:pPr>
      <w:r>
        <w:t>7.7A.1</w:t>
      </w:r>
      <w:r>
        <w:tab/>
      </w:r>
      <w:r>
        <w:t>Test Purpose</w:t>
      </w:r>
    </w:p>
    <w:p>
      <w:r>
        <w:t>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7.6A.3 is not met.</w:t>
      </w:r>
    </w:p>
    <w:p>
      <w:r>
        <w:t>The lack of the spurious response ability decreases the coverage area when other unwanted interfering signal exists at any other frequency.</w:t>
      </w:r>
    </w:p>
    <w:p>
      <w:pPr>
        <w:pStyle w:val="9"/>
      </w:pPr>
      <w:r>
        <w:t>7.7A.2</w:t>
      </w:r>
      <w:r>
        <w:tab/>
      </w:r>
      <w:r>
        <w:t>Test Applicability</w:t>
      </w:r>
    </w:p>
    <w:p>
      <w:r>
        <w:t>This test case applies to all types of E-UTRA UE release 17 and forward of category</w:t>
      </w:r>
      <w:r>
        <w:rPr>
          <w:lang w:eastAsia="zh-TW"/>
        </w:rPr>
        <w:t xml:space="preserve"> M1</w:t>
      </w:r>
      <w:r>
        <w:rPr>
          <w:rFonts w:ascii="宋体" w:hAnsi="宋体" w:cs="宋体"/>
          <w:lang w:eastAsia="zh-TW"/>
        </w:rPr>
        <w:t xml:space="preserve"> </w:t>
      </w:r>
      <w:r>
        <w:t>that support satellite access operation.</w:t>
      </w:r>
    </w:p>
    <w:p>
      <w:pPr>
        <w:pStyle w:val="9"/>
      </w:pPr>
      <w:r>
        <w:t>7.7A.3</w:t>
      </w:r>
      <w:r>
        <w:tab/>
      </w:r>
      <w:r>
        <w:t>Minimum Conformance Requirements</w:t>
      </w:r>
    </w:p>
    <w:p>
      <w:r>
        <w:t xml:space="preserve">The throughput shall be ≥ 95% of the maximum throughput of the reference measurement channels as specified in Annexes A.2.2, A.2.3 and A.3.2 (with one sided dynamic OCNG Pattern OP.1 FDD for the DL-signal as described in Annex A.5.1.1) with parameters specified in Tables 7.7A.3-1 and 7.7A.3-2. </w:t>
      </w:r>
    </w:p>
    <w:p>
      <w:pPr>
        <w:pStyle w:val="113"/>
      </w:pPr>
      <w:r>
        <w:t>Table 7.7A.3-1: Spurious response parameters</w:t>
      </w:r>
    </w:p>
    <w:tbl>
      <w:tblPr>
        <w:tblStyle w:val="89"/>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816"/>
        <w:gridCol w:w="6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restart"/>
          </w:tcPr>
          <w:p>
            <w:pPr>
              <w:pStyle w:val="104"/>
              <w:rPr>
                <w:rFonts w:cs="Arial"/>
              </w:rPr>
            </w:pPr>
            <w:r>
              <w:rPr>
                <w:rFonts w:cs="Arial"/>
              </w:rPr>
              <w:t>Rx parameter</w:t>
            </w:r>
          </w:p>
        </w:tc>
        <w:tc>
          <w:tcPr>
            <w:tcW w:w="816" w:type="dxa"/>
            <w:vMerge w:val="restart"/>
          </w:tcPr>
          <w:p>
            <w:pPr>
              <w:pStyle w:val="104"/>
              <w:rPr>
                <w:rFonts w:cs="Arial"/>
              </w:rPr>
            </w:pPr>
            <w:r>
              <w:rPr>
                <w:rFonts w:cs="Arial"/>
              </w:rPr>
              <w:t xml:space="preserve">Units </w:t>
            </w:r>
          </w:p>
        </w:tc>
        <w:tc>
          <w:tcPr>
            <w:tcW w:w="6409" w:type="dxa"/>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tcPr>
          <w:p>
            <w:pPr>
              <w:pStyle w:val="104"/>
              <w:rPr>
                <w:rFonts w:cs="Arial"/>
              </w:rPr>
            </w:pPr>
          </w:p>
        </w:tc>
        <w:tc>
          <w:tcPr>
            <w:tcW w:w="816" w:type="dxa"/>
            <w:vMerge w:val="continue"/>
          </w:tcPr>
          <w:p>
            <w:pPr>
              <w:pStyle w:val="104"/>
              <w:rPr>
                <w:rFonts w:cs="Arial"/>
              </w:rPr>
            </w:pPr>
          </w:p>
        </w:tc>
        <w:tc>
          <w:tcPr>
            <w:tcW w:w="6409" w:type="dxa"/>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restart"/>
            <w:vAlign w:val="center"/>
          </w:tcPr>
          <w:p>
            <w:pPr>
              <w:pStyle w:val="103"/>
              <w:rPr>
                <w:rFonts w:cs="Arial"/>
                <w:bCs/>
              </w:rPr>
            </w:pPr>
            <w:r>
              <w:rPr>
                <w:rFonts w:cs="Arial"/>
              </w:rPr>
              <w:t>Power in Transmission Bandwidth Configuration</w:t>
            </w:r>
          </w:p>
        </w:tc>
        <w:tc>
          <w:tcPr>
            <w:tcW w:w="816" w:type="dxa"/>
            <w:vMerge w:val="restart"/>
            <w:vAlign w:val="center"/>
          </w:tcPr>
          <w:p>
            <w:pPr>
              <w:pStyle w:val="105"/>
              <w:rPr>
                <w:rFonts w:cs="Arial"/>
              </w:rPr>
            </w:pPr>
            <w:r>
              <w:rPr>
                <w:rFonts w:cs="Arial"/>
              </w:rPr>
              <w:t>dBm</w:t>
            </w:r>
          </w:p>
        </w:tc>
        <w:tc>
          <w:tcPr>
            <w:tcW w:w="6409" w:type="dxa"/>
            <w:vAlign w:val="bottom"/>
          </w:tcPr>
          <w:p>
            <w:pPr>
              <w:pStyle w:val="105"/>
              <w:rPr>
                <w:rFonts w:cs="Arial"/>
              </w:rPr>
            </w:pPr>
            <w:r>
              <w:rPr>
                <w:rFonts w:cs="Aria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vAlign w:val="center"/>
          </w:tcPr>
          <w:p>
            <w:pPr>
              <w:pStyle w:val="185"/>
              <w:jc w:val="left"/>
              <w:rPr>
                <w:rFonts w:cs="Arial"/>
                <w:bCs/>
                <w:sz w:val="18"/>
                <w:szCs w:val="18"/>
              </w:rPr>
            </w:pPr>
          </w:p>
        </w:tc>
        <w:tc>
          <w:tcPr>
            <w:tcW w:w="816" w:type="dxa"/>
            <w:vMerge w:val="continue"/>
            <w:vAlign w:val="center"/>
          </w:tcPr>
          <w:p>
            <w:pPr>
              <w:pStyle w:val="105"/>
              <w:rPr>
                <w:rFonts w:cs="Arial"/>
              </w:rPr>
            </w:pPr>
          </w:p>
        </w:tc>
        <w:tc>
          <w:tcPr>
            <w:tcW w:w="6409" w:type="dxa"/>
            <w:vAlign w:val="center"/>
          </w:tcPr>
          <w:p>
            <w:pPr>
              <w:pStyle w:val="105"/>
              <w:rPr>
                <w:rFonts w:cs="Arial"/>
              </w:rPr>
            </w:pPr>
            <w:r>
              <w:rPr>
                <w:rFonts w:cs="Aria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784" w:type="dxa"/>
            <w:gridSpan w:val="3"/>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 OTE 2:</w:t>
            </w:r>
            <w:r>
              <w:rPr>
                <w:rFonts w:eastAsia="MS Mincho" w:cs="Arial"/>
              </w:rPr>
              <w:tab/>
            </w:r>
            <w:r>
              <w:rPr>
                <w:rFonts w:eastAsia="MS Mincho" w:cs="Arial"/>
              </w:rPr>
              <w:t xml:space="preserve">Reference measurement channel is specified in Annex A.3.2 </w:t>
            </w:r>
            <w:r>
              <w:rPr>
                <w:rFonts w:eastAsia="?? ??" w:cs="Arial"/>
              </w:rPr>
              <w:t xml:space="preserve">with </w:t>
            </w:r>
            <w:r>
              <w:rPr>
                <w:rFonts w:cs="Arial"/>
              </w:rPr>
              <w:t>one sided dynamic OCNG Pattern OP.1 FDD as described in Annex A.5.1.1</w:t>
            </w:r>
            <w:r>
              <w:rPr>
                <w:rFonts w:eastAsia="MS Mincho" w:cs="Arial"/>
              </w:rPr>
              <w:t>.</w:t>
            </w:r>
          </w:p>
          <w:p>
            <w:pPr>
              <w:pStyle w:val="118"/>
              <w:rPr>
                <w:rFonts w:eastAsia="MS Mincho" w:cs="Arial"/>
              </w:rPr>
            </w:pPr>
            <w:r>
              <w:rPr>
                <w:rFonts w:eastAsia="MS Mincho" w:cs="Arial"/>
              </w:rPr>
              <w:t>NOTE 3:</w:t>
            </w:r>
            <w:r>
              <w:rPr>
                <w:rFonts w:eastAsia="MS Mincho" w:cs="Arial"/>
              </w:rPr>
              <w:tab/>
            </w:r>
            <w:r>
              <w:rPr>
                <w:rFonts w:eastAsia="MS Mincho" w:cs="Arial"/>
              </w:rPr>
              <w:t>The REFSENS power level is specified in Table 7.3A.3-1.</w:t>
            </w:r>
          </w:p>
        </w:tc>
      </w:tr>
    </w:tbl>
    <w:p/>
    <w:p>
      <w:pPr>
        <w:pStyle w:val="113"/>
      </w:pPr>
      <w:r>
        <w:t>Table 7.7A.3-2: Spurious response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0"/>
        <w:gridCol w:w="2261"/>
        <w:gridCol w:w="2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tcPr>
          <w:p>
            <w:pPr>
              <w:pStyle w:val="104"/>
              <w:rPr>
                <w:rFonts w:cs="Arial"/>
              </w:rPr>
            </w:pPr>
            <w:r>
              <w:rPr>
                <w:rFonts w:cs="Arial"/>
              </w:rPr>
              <w:br w:type="page"/>
            </w:r>
            <w:r>
              <w:rPr>
                <w:rFonts w:cs="Arial"/>
              </w:rPr>
              <w:t>Parameter</w:t>
            </w:r>
          </w:p>
        </w:tc>
        <w:tc>
          <w:tcPr>
            <w:tcW w:w="2261" w:type="dxa"/>
          </w:tcPr>
          <w:p>
            <w:pPr>
              <w:pStyle w:val="104"/>
              <w:rPr>
                <w:rFonts w:cs="Arial"/>
              </w:rPr>
            </w:pPr>
            <w:r>
              <w:rPr>
                <w:rFonts w:cs="Arial"/>
              </w:rPr>
              <w:t>Unit</w:t>
            </w:r>
          </w:p>
        </w:tc>
        <w:tc>
          <w:tcPr>
            <w:tcW w:w="2749" w:type="dxa"/>
          </w:tcPr>
          <w:p>
            <w:pPr>
              <w:pStyle w:val="104"/>
              <w:rPr>
                <w:rFonts w:cs="Arial"/>
              </w:rPr>
            </w:pPr>
            <w:r>
              <w:rPr>
                <w:rFonts w:cs="Arial"/>
              </w:rPr>
              <w:t>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vertAlign w:val="subscript"/>
              </w:rPr>
            </w:pPr>
            <w:r>
              <w:rPr>
                <w:rFonts w:cs="Arial"/>
              </w:rPr>
              <w:t>P</w:t>
            </w:r>
            <w:r>
              <w:rPr>
                <w:rFonts w:cs="Arial"/>
                <w:vertAlign w:val="subscript"/>
              </w:rPr>
              <w:t>Interferer</w:t>
            </w:r>
          </w:p>
          <w:p>
            <w:pPr>
              <w:pStyle w:val="103"/>
              <w:rPr>
                <w:rFonts w:cs="Arial"/>
              </w:rPr>
            </w:pPr>
            <w:r>
              <w:rPr>
                <w:rFonts w:cs="Arial"/>
              </w:rPr>
              <w:t>(CW)</w:t>
            </w:r>
          </w:p>
        </w:tc>
        <w:tc>
          <w:tcPr>
            <w:tcW w:w="2261" w:type="dxa"/>
            <w:vAlign w:val="center"/>
          </w:tcPr>
          <w:p>
            <w:pPr>
              <w:pStyle w:val="105"/>
              <w:rPr>
                <w:rFonts w:cs="Arial"/>
              </w:rPr>
            </w:pPr>
            <w:r>
              <w:rPr>
                <w:rFonts w:cs="Arial"/>
              </w:rPr>
              <w:t>dBm</w:t>
            </w:r>
          </w:p>
        </w:tc>
        <w:tc>
          <w:tcPr>
            <w:tcW w:w="2749" w:type="dxa"/>
            <w:vAlign w:val="center"/>
          </w:tcPr>
          <w:p>
            <w:pPr>
              <w:pStyle w:val="105"/>
              <w:rPr>
                <w:rFonts w:cs="Arial"/>
              </w:rPr>
            </w:pPr>
            <w:r>
              <w:rPr>
                <w:rFonts w:cs="Arial"/>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F</w:t>
            </w:r>
            <w:r>
              <w:rPr>
                <w:rFonts w:cs="Arial"/>
                <w:vertAlign w:val="subscript"/>
              </w:rPr>
              <w:t>Interferer</w:t>
            </w:r>
          </w:p>
        </w:tc>
        <w:tc>
          <w:tcPr>
            <w:tcW w:w="2261" w:type="dxa"/>
            <w:vAlign w:val="center"/>
          </w:tcPr>
          <w:p>
            <w:pPr>
              <w:pStyle w:val="105"/>
              <w:rPr>
                <w:rFonts w:cs="Arial"/>
              </w:rPr>
            </w:pPr>
            <w:r>
              <w:rPr>
                <w:rFonts w:cs="Arial"/>
              </w:rPr>
              <w:t>MHz</w:t>
            </w:r>
          </w:p>
        </w:tc>
        <w:tc>
          <w:tcPr>
            <w:tcW w:w="2749" w:type="dxa"/>
            <w:vAlign w:val="center"/>
          </w:tcPr>
          <w:p>
            <w:pPr>
              <w:pStyle w:val="105"/>
              <w:rPr>
                <w:rFonts w:cs="Arial"/>
              </w:rPr>
            </w:pPr>
            <w:r>
              <w:rPr>
                <w:rFonts w:cs="Arial"/>
              </w:rPr>
              <w:t>Spurious response frequencies</w:t>
            </w:r>
          </w:p>
        </w:tc>
      </w:tr>
    </w:tbl>
    <w:p/>
    <w:p>
      <w:r>
        <w:t>The normative reference for this requirement is TS 36.102 [11] clause 7.7A.</w:t>
      </w:r>
    </w:p>
    <w:p>
      <w:pPr>
        <w:pStyle w:val="9"/>
      </w:pPr>
      <w:r>
        <w:t>7.7A.4</w:t>
      </w:r>
      <w:r>
        <w:tab/>
      </w:r>
      <w:r>
        <w:t>Test Description</w:t>
      </w:r>
    </w:p>
    <w:p>
      <w:pPr>
        <w:pStyle w:val="9"/>
      </w:pPr>
      <w:r>
        <w:t>7.7A.4.1</w:t>
      </w:r>
      <w:r>
        <w:tab/>
      </w:r>
      <w:r>
        <w:t>Initial Conditions</w:t>
      </w:r>
    </w:p>
    <w:p>
      <w:r>
        <w:t>The initial conditions shall be the same as in clause 7.6A.3.4.1 in order to test spurious responses obtained in clause 7.6A.3 under the same conditions.</w:t>
      </w:r>
    </w:p>
    <w:p>
      <w:pPr>
        <w:pStyle w:val="9"/>
      </w:pPr>
      <w:r>
        <w:t>7.7A.4.2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PDSCH via MPDCCH DCI format 6-1A for C_RNTI to transmit the DL RMC according to Table 7.6A.3.4.1-1. The SS sends downlink MAC padding bits on the DL RMC. The SS sends one sided dynamic OCNG Pattern OP.1 FDD for the DL-signal as described in Annex A.5.1.1.</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SS sends uplink scheduling information for each UL HARQ process via MPDCCH DCI format 6-0A for C_RNTI to schedule the UL RMC according to Table 7.6A.3.4.1-1.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Set the parameters of the CW signal generator for an interfering signal according to Table 7.7A.5-2. The spurious frequencies are taken from records in the final step of test procedures in clause 7.6A.3.4.2.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Set the Downlink signal level to the value as defined in Table 7.7A.5-1. Send uplink power control commands to the UE using 1dB power step size to ensure that the UE output power measured by the test system is within the Uplink power control window, defined as -MU to -(MU + Uplink power control window size) dB of the target power level in Table 7.7A.5-1 for at least the duration of the </w:t>
      </w:r>
      <w:r>
        <w:rPr>
          <w:rFonts w:hint="eastAsia" w:eastAsia="Malgun Gothic"/>
        </w:rPr>
        <w:t>t</w:t>
      </w:r>
      <w:r>
        <w:rPr>
          <w:rFonts w:eastAsia="Malgun Gothic"/>
        </w:rPr>
        <w:t>hroughput measurement, where:</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MU is the test system uplink power measurement uncertainty and is specified in Table F.1.3-1 for the carrier frequency f and the channel bandwidth BW</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For the spurious frequency, measure the average throughput for a duration sufficient to achieve statistical significance according to Annex G.2.</w:t>
      </w:r>
    </w:p>
    <w:p>
      <w:pPr>
        <w:pStyle w:val="9"/>
      </w:pPr>
      <w:r>
        <w:t>7.7A.4.3</w:t>
      </w:r>
      <w:r>
        <w:tab/>
      </w:r>
      <w:r>
        <w:t>Message Contents</w:t>
      </w:r>
    </w:p>
    <w:p>
      <w:r>
        <w:t xml:space="preserve">Message contents are according to TS 36.508 [12] subclause 4.6 with the condition CEModeA </w:t>
      </w:r>
      <w:r>
        <w:rPr>
          <w:rFonts w:eastAsia="Batang"/>
        </w:rPr>
        <w:t xml:space="preserve">and the </w:t>
      </w:r>
      <w:r>
        <w:t>following exception.</w:t>
      </w:r>
    </w:p>
    <w:p>
      <w:pPr>
        <w:pStyle w:val="113"/>
      </w:pPr>
      <w:r>
        <w:t>Table 7.7A.4.3-1: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p0-UePUSCH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p0-uePUCCH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
          <w:p>
            <w:pPr>
              <w:pStyle w:val="103"/>
            </w:pPr>
            <w:r>
              <w:t>fc8</w:t>
            </w:r>
          </w:p>
        </w:tc>
        <w:tc>
          <w:tcPr>
            <w:tcW w:w="1701" w:type="dxa"/>
            <w:tcBorders>
              <w:top w:val="single" w:color="auto" w:sz="4" w:space="0"/>
              <w:left w:val="single" w:color="auto" w:sz="4" w:space="0"/>
              <w:bottom w:val="single" w:color="auto" w:sz="4" w:space="0"/>
              <w:right w:val="single" w:color="auto" w:sz="4" w:space="0"/>
            </w:tcBorders>
          </w:tcPr>
          <w:p>
            <w:pPr>
              <w:pStyle w:val="103"/>
            </w:pPr>
            <w:r>
              <w:t>larger filter length is used to reduce the RSRP measurement variation</w:t>
            </w: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7.7A.5</w:t>
      </w:r>
      <w:r>
        <w:tab/>
      </w:r>
      <w:r>
        <w:t>Test Requirement</w:t>
      </w:r>
    </w:p>
    <w:p>
      <w:pPr>
        <w:rPr>
          <w:rFonts w:eastAsia="??"/>
        </w:rPr>
      </w:pPr>
      <w:r>
        <w:t>The throughput measurement derived in test procedure shall be ≥ 95% of the maximum throughput of the reference measurement channels as specified in Annex A.3.2 with parameters specified in Tables 7.7A.5-1 and 7.7A.5-2.</w:t>
      </w:r>
    </w:p>
    <w:p>
      <w:pPr>
        <w:pStyle w:val="113"/>
      </w:pPr>
      <w:r>
        <w:t>Table 7.7A.5-1: Spurious response parameters</w:t>
      </w:r>
    </w:p>
    <w:tbl>
      <w:tblPr>
        <w:tblStyle w:val="89"/>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816"/>
        <w:gridCol w:w="6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restart"/>
          </w:tcPr>
          <w:p>
            <w:pPr>
              <w:pStyle w:val="104"/>
              <w:rPr>
                <w:rFonts w:cs="Arial"/>
              </w:rPr>
            </w:pPr>
            <w:r>
              <w:rPr>
                <w:rFonts w:cs="Arial"/>
              </w:rPr>
              <w:t>Rx parameter</w:t>
            </w:r>
          </w:p>
        </w:tc>
        <w:tc>
          <w:tcPr>
            <w:tcW w:w="816" w:type="dxa"/>
            <w:vMerge w:val="restart"/>
          </w:tcPr>
          <w:p>
            <w:pPr>
              <w:pStyle w:val="104"/>
              <w:rPr>
                <w:rFonts w:cs="Arial"/>
              </w:rPr>
            </w:pPr>
            <w:r>
              <w:rPr>
                <w:rFonts w:cs="Arial"/>
              </w:rPr>
              <w:t xml:space="preserve">Units </w:t>
            </w:r>
          </w:p>
        </w:tc>
        <w:tc>
          <w:tcPr>
            <w:tcW w:w="6409" w:type="dxa"/>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tcPr>
          <w:p>
            <w:pPr>
              <w:pStyle w:val="104"/>
              <w:rPr>
                <w:rFonts w:cs="Arial"/>
              </w:rPr>
            </w:pPr>
          </w:p>
        </w:tc>
        <w:tc>
          <w:tcPr>
            <w:tcW w:w="816" w:type="dxa"/>
            <w:vMerge w:val="continue"/>
          </w:tcPr>
          <w:p>
            <w:pPr>
              <w:pStyle w:val="104"/>
              <w:rPr>
                <w:rFonts w:cs="Arial"/>
              </w:rPr>
            </w:pPr>
          </w:p>
        </w:tc>
        <w:tc>
          <w:tcPr>
            <w:tcW w:w="6409" w:type="dxa"/>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restart"/>
            <w:vAlign w:val="center"/>
          </w:tcPr>
          <w:p>
            <w:pPr>
              <w:pStyle w:val="103"/>
              <w:rPr>
                <w:rFonts w:cs="Arial"/>
                <w:bCs/>
              </w:rPr>
            </w:pPr>
            <w:r>
              <w:rPr>
                <w:rFonts w:cs="Arial"/>
              </w:rPr>
              <w:t>Power in Transmission Bandwidth Configuration</w:t>
            </w:r>
          </w:p>
        </w:tc>
        <w:tc>
          <w:tcPr>
            <w:tcW w:w="816" w:type="dxa"/>
            <w:vMerge w:val="restart"/>
            <w:vAlign w:val="center"/>
          </w:tcPr>
          <w:p>
            <w:pPr>
              <w:pStyle w:val="105"/>
              <w:rPr>
                <w:rFonts w:cs="Arial"/>
              </w:rPr>
            </w:pPr>
            <w:r>
              <w:rPr>
                <w:rFonts w:cs="Arial"/>
              </w:rPr>
              <w:t>dBm</w:t>
            </w:r>
          </w:p>
        </w:tc>
        <w:tc>
          <w:tcPr>
            <w:tcW w:w="6409" w:type="dxa"/>
            <w:vAlign w:val="bottom"/>
          </w:tcPr>
          <w:p>
            <w:pPr>
              <w:pStyle w:val="105"/>
              <w:rPr>
                <w:rFonts w:cs="Arial"/>
              </w:rPr>
            </w:pPr>
            <w:r>
              <w:rPr>
                <w:rFonts w:cs="Aria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vAlign w:val="center"/>
          </w:tcPr>
          <w:p>
            <w:pPr>
              <w:pStyle w:val="185"/>
              <w:jc w:val="left"/>
              <w:rPr>
                <w:rFonts w:cs="Arial"/>
                <w:bCs/>
                <w:sz w:val="18"/>
                <w:szCs w:val="18"/>
              </w:rPr>
            </w:pPr>
          </w:p>
        </w:tc>
        <w:tc>
          <w:tcPr>
            <w:tcW w:w="816" w:type="dxa"/>
            <w:vMerge w:val="continue"/>
            <w:vAlign w:val="center"/>
          </w:tcPr>
          <w:p>
            <w:pPr>
              <w:pStyle w:val="105"/>
              <w:rPr>
                <w:rFonts w:cs="Arial"/>
              </w:rPr>
            </w:pPr>
          </w:p>
        </w:tc>
        <w:tc>
          <w:tcPr>
            <w:tcW w:w="6409" w:type="dxa"/>
            <w:vAlign w:val="center"/>
          </w:tcPr>
          <w:p>
            <w:pPr>
              <w:pStyle w:val="105"/>
              <w:rPr>
                <w:rFonts w:cs="Arial"/>
              </w:rPr>
            </w:pPr>
            <w:r>
              <w:rPr>
                <w:rFonts w:cs="Aria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784" w:type="dxa"/>
            <w:gridSpan w:val="3"/>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 OTE 2:</w:t>
            </w:r>
            <w:r>
              <w:rPr>
                <w:rFonts w:eastAsia="MS Mincho" w:cs="Arial"/>
              </w:rPr>
              <w:tab/>
            </w:r>
            <w:r>
              <w:rPr>
                <w:rFonts w:eastAsia="MS Mincho" w:cs="Arial"/>
              </w:rPr>
              <w:t xml:space="preserve">Reference measurement channel is specified in Annex A.3.2 </w:t>
            </w:r>
            <w:r>
              <w:rPr>
                <w:rFonts w:eastAsia="?? ??" w:cs="Arial"/>
              </w:rPr>
              <w:t xml:space="preserve">with </w:t>
            </w:r>
            <w:r>
              <w:rPr>
                <w:rFonts w:cs="Arial"/>
              </w:rPr>
              <w:t>one sided dynamic OCNG Pattern OP.1 FDD as described in Annex A.5.1.1</w:t>
            </w:r>
            <w:r>
              <w:rPr>
                <w:rFonts w:eastAsia="MS Mincho" w:cs="Arial"/>
              </w:rPr>
              <w:t>.</w:t>
            </w:r>
          </w:p>
          <w:p>
            <w:pPr>
              <w:pStyle w:val="118"/>
              <w:rPr>
                <w:rFonts w:eastAsia="MS Mincho" w:cs="Arial"/>
              </w:rPr>
            </w:pPr>
            <w:r>
              <w:rPr>
                <w:rFonts w:eastAsia="MS Mincho" w:cs="Arial"/>
              </w:rPr>
              <w:t>NOTE 3:</w:t>
            </w:r>
            <w:r>
              <w:rPr>
                <w:rFonts w:eastAsia="MS Mincho" w:cs="Arial"/>
              </w:rPr>
              <w:tab/>
            </w:r>
            <w:r>
              <w:rPr>
                <w:rFonts w:eastAsia="MS Mincho" w:cs="Arial"/>
              </w:rPr>
              <w:t>The REFSENS power level is specified in Table 7.3A.3-1.</w:t>
            </w:r>
          </w:p>
        </w:tc>
      </w:tr>
    </w:tbl>
    <w:p/>
    <w:p>
      <w:pPr>
        <w:pStyle w:val="113"/>
      </w:pPr>
      <w:r>
        <w:t>Table 7.7A.5-2: Spurious response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0"/>
        <w:gridCol w:w="2261"/>
        <w:gridCol w:w="2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tcPr>
          <w:p>
            <w:pPr>
              <w:pStyle w:val="104"/>
              <w:rPr>
                <w:rFonts w:cs="Arial"/>
              </w:rPr>
            </w:pPr>
            <w:r>
              <w:rPr>
                <w:rFonts w:cs="Arial"/>
              </w:rPr>
              <w:br w:type="page"/>
            </w:r>
            <w:r>
              <w:rPr>
                <w:rFonts w:cs="Arial"/>
              </w:rPr>
              <w:t>Parameter</w:t>
            </w:r>
          </w:p>
        </w:tc>
        <w:tc>
          <w:tcPr>
            <w:tcW w:w="2261" w:type="dxa"/>
          </w:tcPr>
          <w:p>
            <w:pPr>
              <w:pStyle w:val="104"/>
              <w:rPr>
                <w:rFonts w:cs="Arial"/>
              </w:rPr>
            </w:pPr>
            <w:r>
              <w:rPr>
                <w:rFonts w:cs="Arial"/>
              </w:rPr>
              <w:t>Unit</w:t>
            </w:r>
          </w:p>
        </w:tc>
        <w:tc>
          <w:tcPr>
            <w:tcW w:w="2749" w:type="dxa"/>
          </w:tcPr>
          <w:p>
            <w:pPr>
              <w:pStyle w:val="104"/>
              <w:rPr>
                <w:rFonts w:cs="Arial"/>
              </w:rPr>
            </w:pPr>
            <w:r>
              <w:rPr>
                <w:rFonts w:cs="Arial"/>
              </w:rPr>
              <w:t>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vertAlign w:val="subscript"/>
              </w:rPr>
            </w:pPr>
            <w:r>
              <w:rPr>
                <w:rFonts w:cs="Arial"/>
              </w:rPr>
              <w:t>P</w:t>
            </w:r>
            <w:r>
              <w:rPr>
                <w:rFonts w:cs="Arial"/>
                <w:vertAlign w:val="subscript"/>
              </w:rPr>
              <w:t>Interferer</w:t>
            </w:r>
          </w:p>
          <w:p>
            <w:pPr>
              <w:pStyle w:val="103"/>
              <w:rPr>
                <w:rFonts w:cs="Arial"/>
              </w:rPr>
            </w:pPr>
            <w:r>
              <w:rPr>
                <w:rFonts w:cs="Arial"/>
              </w:rPr>
              <w:t>(CW)</w:t>
            </w:r>
          </w:p>
        </w:tc>
        <w:tc>
          <w:tcPr>
            <w:tcW w:w="2261" w:type="dxa"/>
            <w:vAlign w:val="center"/>
          </w:tcPr>
          <w:p>
            <w:pPr>
              <w:pStyle w:val="105"/>
              <w:rPr>
                <w:rFonts w:cs="Arial"/>
              </w:rPr>
            </w:pPr>
            <w:r>
              <w:rPr>
                <w:rFonts w:cs="Arial"/>
              </w:rPr>
              <w:t>dBm</w:t>
            </w:r>
          </w:p>
        </w:tc>
        <w:tc>
          <w:tcPr>
            <w:tcW w:w="2749" w:type="dxa"/>
            <w:vAlign w:val="center"/>
          </w:tcPr>
          <w:p>
            <w:pPr>
              <w:pStyle w:val="105"/>
              <w:rPr>
                <w:rFonts w:cs="Arial"/>
              </w:rPr>
            </w:pPr>
            <w:r>
              <w:rPr>
                <w:rFonts w:cs="Arial"/>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F</w:t>
            </w:r>
            <w:r>
              <w:rPr>
                <w:rFonts w:cs="Arial"/>
                <w:vertAlign w:val="subscript"/>
              </w:rPr>
              <w:t>Interferer</w:t>
            </w:r>
          </w:p>
        </w:tc>
        <w:tc>
          <w:tcPr>
            <w:tcW w:w="2261" w:type="dxa"/>
            <w:vAlign w:val="center"/>
          </w:tcPr>
          <w:p>
            <w:pPr>
              <w:pStyle w:val="105"/>
              <w:rPr>
                <w:rFonts w:cs="Arial"/>
              </w:rPr>
            </w:pPr>
            <w:r>
              <w:rPr>
                <w:rFonts w:cs="Arial"/>
              </w:rPr>
              <w:t>MHz</w:t>
            </w:r>
          </w:p>
        </w:tc>
        <w:tc>
          <w:tcPr>
            <w:tcW w:w="2749" w:type="dxa"/>
            <w:vAlign w:val="center"/>
          </w:tcPr>
          <w:p>
            <w:pPr>
              <w:pStyle w:val="105"/>
              <w:rPr>
                <w:rFonts w:cs="Arial"/>
              </w:rPr>
            </w:pPr>
            <w:r>
              <w:rPr>
                <w:rFonts w:cs="Arial"/>
              </w:rPr>
              <w:t>Spurious response frequencies</w:t>
            </w:r>
          </w:p>
        </w:tc>
      </w:tr>
    </w:tbl>
    <w:p>
      <w:pPr>
        <w:rPr>
          <w:lang w:eastAsia="zh-TW"/>
        </w:rPr>
      </w:pPr>
    </w:p>
    <w:p>
      <w:pPr>
        <w:pStyle w:val="4"/>
      </w:pPr>
      <w:bookmarkStart w:id="1407" w:name="_Toc6398"/>
      <w:bookmarkStart w:id="1408" w:name="_Toc121162905"/>
      <w:bookmarkStart w:id="1409" w:name="_Toc120570113"/>
      <w:bookmarkStart w:id="1410" w:name="_Toc16417"/>
      <w:bookmarkStart w:id="1411" w:name="_Toc5904"/>
      <w:bookmarkStart w:id="1412" w:name="_Toc10062"/>
      <w:bookmarkStart w:id="1413" w:name="_Toc4474"/>
      <w:bookmarkStart w:id="1414" w:name="_Toc30139"/>
      <w:bookmarkStart w:id="1415" w:name="_Toc26009"/>
      <w:r>
        <w:t>7.7B</w:t>
      </w:r>
      <w:r>
        <w:tab/>
      </w:r>
      <w:r>
        <w:t>Spurious response for category NB1 and NB2</w:t>
      </w:r>
      <w:bookmarkEnd w:id="1407"/>
      <w:bookmarkEnd w:id="1408"/>
      <w:bookmarkEnd w:id="1409"/>
      <w:bookmarkEnd w:id="1410"/>
      <w:bookmarkEnd w:id="1411"/>
      <w:bookmarkEnd w:id="1412"/>
      <w:bookmarkEnd w:id="1413"/>
      <w:bookmarkEnd w:id="1414"/>
      <w:bookmarkEnd w:id="1415"/>
    </w:p>
    <w:p>
      <w:pPr>
        <w:pStyle w:val="112"/>
        <w:rPr>
          <w:i w:val="0"/>
          <w:iCs w:val="0"/>
          <w:lang w:val="en-GB"/>
        </w:rPr>
      </w:pPr>
      <w:r>
        <w:t>Editor’s Note: Addition to applicability spec is pending.</w:t>
      </w:r>
    </w:p>
    <w:p>
      <w:pPr>
        <w:pStyle w:val="9"/>
      </w:pPr>
      <w:r>
        <w:t>7.7B.1</w:t>
      </w:r>
      <w:r>
        <w:tab/>
      </w:r>
      <w:r>
        <w:t>Test purpose</w:t>
      </w:r>
    </w:p>
    <w:p>
      <w:pPr>
        <w:rPr>
          <w:rFonts w:cs="v5.0.0"/>
        </w:rPr>
      </w:pPr>
      <w:r>
        <w:rPr>
          <w:rFonts w:cs="v5.0.0"/>
        </w:rPr>
        <w:t xml:space="preserve">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t xml:space="preserve">as specified in sub-clause 7.6B.3 </w:t>
      </w:r>
      <w:r>
        <w:rPr>
          <w:rFonts w:cs="v5.0.0"/>
        </w:rPr>
        <w:t>is not met.</w:t>
      </w:r>
    </w:p>
    <w:p>
      <w:r>
        <w:t>The lack of the spurious response ability decreases the coverage area when other unwanted interfering signal exists at any other frequency.</w:t>
      </w:r>
    </w:p>
    <w:p>
      <w:pPr>
        <w:pStyle w:val="9"/>
      </w:pPr>
      <w:r>
        <w:t>7.7B.2</w:t>
      </w:r>
      <w:r>
        <w:tab/>
      </w:r>
      <w:r>
        <w:t>Test applicability</w:t>
      </w:r>
    </w:p>
    <w:p>
      <w:r>
        <w:t>This test case applies to all types of E-UTRA UE release 17 and forward of category</w:t>
      </w:r>
      <w:r>
        <w:rPr>
          <w:lang w:eastAsia="zh-TW"/>
        </w:rPr>
        <w:t xml:space="preserve"> NB1 and</w:t>
      </w:r>
      <w:r>
        <w:t xml:space="preserve"> NB2</w:t>
      </w:r>
      <w:r>
        <w:rPr>
          <w:rFonts w:ascii="宋体" w:hAnsi="宋体" w:cs="宋体"/>
          <w:lang w:eastAsia="zh-TW"/>
        </w:rPr>
        <w:t xml:space="preserve"> </w:t>
      </w:r>
      <w:r>
        <w:t>that support satellite access operation.</w:t>
      </w:r>
    </w:p>
    <w:p>
      <w:pPr>
        <w:pStyle w:val="9"/>
      </w:pPr>
      <w:r>
        <w:t>7.7B.3</w:t>
      </w:r>
      <w:r>
        <w:tab/>
      </w:r>
      <w:r>
        <w:t>Minimum conformance requirements</w:t>
      </w:r>
    </w:p>
    <w:p>
      <w:r>
        <w:rPr>
          <w:rFonts w:cs="v5.0.0"/>
        </w:rPr>
        <w:t>The</w:t>
      </w:r>
      <w:r>
        <w:t xml:space="preserve"> category NB1 and NB2 UE throughput shall be ≥ 95% of the maximum throughput of the reference measurement channel as specified in Annexe A.3.2 with parameters specified in Tables 7.7B.3-1.</w:t>
      </w:r>
    </w:p>
    <w:p>
      <w:pPr>
        <w:pStyle w:val="113"/>
      </w:pPr>
      <w:r>
        <w:t>Table 7.7B.3-1: Spurious response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0"/>
        <w:gridCol w:w="2261"/>
        <w:gridCol w:w="2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tcPr>
          <w:p>
            <w:pPr>
              <w:pStyle w:val="104"/>
              <w:rPr>
                <w:rFonts w:cs="Arial"/>
              </w:rPr>
            </w:pPr>
            <w:r>
              <w:rPr>
                <w:rFonts w:cs="Arial"/>
              </w:rPr>
              <w:br w:type="page"/>
            </w:r>
            <w:r>
              <w:rPr>
                <w:rFonts w:cs="Arial"/>
              </w:rPr>
              <w:t>Parameter</w:t>
            </w:r>
          </w:p>
        </w:tc>
        <w:tc>
          <w:tcPr>
            <w:tcW w:w="2261" w:type="dxa"/>
          </w:tcPr>
          <w:p>
            <w:pPr>
              <w:pStyle w:val="104"/>
              <w:rPr>
                <w:rFonts w:cs="Arial"/>
              </w:rPr>
            </w:pPr>
            <w:r>
              <w:rPr>
                <w:rFonts w:cs="Arial"/>
              </w:rPr>
              <w:t>Unit</w:t>
            </w:r>
          </w:p>
        </w:tc>
        <w:tc>
          <w:tcPr>
            <w:tcW w:w="2749" w:type="dxa"/>
          </w:tcPr>
          <w:p>
            <w:pPr>
              <w:pStyle w:val="104"/>
              <w:rPr>
                <w:rFonts w:cs="Arial"/>
              </w:rPr>
            </w:pPr>
            <w:r>
              <w:rPr>
                <w:rFonts w:cs="Arial"/>
              </w:rPr>
              <w:t>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P</w:t>
            </w:r>
            <w:r>
              <w:rPr>
                <w:rFonts w:cs="Arial"/>
                <w:vertAlign w:val="subscript"/>
              </w:rPr>
              <w:t>signal</w:t>
            </w:r>
          </w:p>
        </w:tc>
        <w:tc>
          <w:tcPr>
            <w:tcW w:w="2261" w:type="dxa"/>
            <w:vAlign w:val="center"/>
          </w:tcPr>
          <w:p>
            <w:pPr>
              <w:pStyle w:val="105"/>
              <w:rPr>
                <w:rFonts w:cs="Arial"/>
              </w:rPr>
            </w:pPr>
            <w:r>
              <w:rPr>
                <w:rFonts w:cs="Arial"/>
              </w:rPr>
              <w:t>dBm</w:t>
            </w:r>
          </w:p>
        </w:tc>
        <w:tc>
          <w:tcPr>
            <w:tcW w:w="2749" w:type="dxa"/>
            <w:vAlign w:val="center"/>
          </w:tcPr>
          <w:p>
            <w:pPr>
              <w:pStyle w:val="105"/>
              <w:rPr>
                <w:rFonts w:cs="Arial"/>
              </w:rPr>
            </w:pPr>
            <w:r>
              <w:rPr>
                <w:rFonts w:cs="Arial"/>
              </w:rPr>
              <w:t>REFSENS+6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P</w:t>
            </w:r>
            <w:r>
              <w:rPr>
                <w:rFonts w:cs="Arial"/>
                <w:vertAlign w:val="subscript"/>
              </w:rPr>
              <w:t xml:space="preserve">Interferer </w:t>
            </w:r>
            <w:r>
              <w:rPr>
                <w:rFonts w:cs="Arial"/>
              </w:rPr>
              <w:t>(CW)</w:t>
            </w:r>
          </w:p>
        </w:tc>
        <w:tc>
          <w:tcPr>
            <w:tcW w:w="2261" w:type="dxa"/>
            <w:vAlign w:val="center"/>
          </w:tcPr>
          <w:p>
            <w:pPr>
              <w:pStyle w:val="105"/>
              <w:rPr>
                <w:rFonts w:cs="Arial"/>
              </w:rPr>
            </w:pPr>
            <w:r>
              <w:rPr>
                <w:rFonts w:cs="Arial"/>
              </w:rPr>
              <w:t>dBm</w:t>
            </w:r>
          </w:p>
        </w:tc>
        <w:tc>
          <w:tcPr>
            <w:tcW w:w="2749" w:type="dxa"/>
            <w:vAlign w:val="center"/>
          </w:tcPr>
          <w:p>
            <w:pPr>
              <w:pStyle w:val="105"/>
              <w:rPr>
                <w:rFonts w:cs="Arial"/>
              </w:rPr>
            </w:pPr>
            <w:r>
              <w:rPr>
                <w:rFonts w:cs="Arial"/>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F</w:t>
            </w:r>
            <w:r>
              <w:rPr>
                <w:rFonts w:cs="Arial"/>
                <w:vertAlign w:val="subscript"/>
              </w:rPr>
              <w:t>Interferer</w:t>
            </w:r>
          </w:p>
        </w:tc>
        <w:tc>
          <w:tcPr>
            <w:tcW w:w="2261" w:type="dxa"/>
            <w:vAlign w:val="center"/>
          </w:tcPr>
          <w:p>
            <w:pPr>
              <w:pStyle w:val="105"/>
              <w:rPr>
                <w:rFonts w:cs="Arial"/>
              </w:rPr>
            </w:pPr>
            <w:r>
              <w:rPr>
                <w:rFonts w:cs="Arial"/>
              </w:rPr>
              <w:t>MHz</w:t>
            </w:r>
          </w:p>
        </w:tc>
        <w:tc>
          <w:tcPr>
            <w:tcW w:w="2749" w:type="dxa"/>
            <w:vAlign w:val="center"/>
          </w:tcPr>
          <w:p>
            <w:pPr>
              <w:pStyle w:val="105"/>
              <w:rPr>
                <w:rFonts w:cs="Arial"/>
              </w:rPr>
            </w:pPr>
            <w:r>
              <w:rPr>
                <w:rFonts w:cs="Arial"/>
              </w:rPr>
              <w:t>Spurious response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Number of spurious response frequencies</w:t>
            </w:r>
          </w:p>
        </w:tc>
        <w:tc>
          <w:tcPr>
            <w:tcW w:w="2261" w:type="dxa"/>
            <w:vAlign w:val="center"/>
          </w:tcPr>
          <w:p>
            <w:pPr>
              <w:pStyle w:val="105"/>
              <w:rPr>
                <w:rFonts w:cs="Arial"/>
              </w:rPr>
            </w:pPr>
          </w:p>
        </w:tc>
        <w:tc>
          <w:tcPr>
            <w:tcW w:w="2749" w:type="dxa"/>
            <w:vAlign w:val="center"/>
          </w:tcPr>
          <w:p>
            <w:pPr>
              <w:pStyle w:val="105"/>
              <w:rPr>
                <w:rFonts w:cs="Arial"/>
              </w:rPr>
            </w:pPr>
            <w:r>
              <w:rPr>
                <w:rFonts w:cs="Arial"/>
              </w:rPr>
              <w:t>24 (in OOB range 1, 2, 3)</w:t>
            </w:r>
          </w:p>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7270" w:type="dxa"/>
            <w:gridSpan w:val="3"/>
            <w:vAlign w:val="center"/>
          </w:tcPr>
          <w:p>
            <w:pPr>
              <w:pStyle w:val="118"/>
              <w:ind w:left="976" w:hanging="976"/>
              <w:rPr>
                <w:rFonts w:eastAsia="MS Mincho" w:cs="Arial"/>
              </w:rPr>
            </w:pPr>
            <w:r>
              <w:rPr>
                <w:rFonts w:eastAsia="MS Mincho" w:cs="Arial"/>
              </w:rPr>
              <w:t>NOTE 1:</w:t>
            </w:r>
            <w:r>
              <w:rPr>
                <w:rFonts w:eastAsia="MS Mincho" w:cs="Arial"/>
              </w:rPr>
              <w:tab/>
            </w:r>
            <w:r>
              <w:rPr>
                <w:rFonts w:eastAsia="MS Mincho" w:cs="Arial"/>
              </w:rPr>
              <w:t>Reference measurement channel is specified in Annex A.3.2.</w:t>
            </w:r>
          </w:p>
          <w:p>
            <w:pPr>
              <w:pStyle w:val="105"/>
              <w:ind w:left="976" w:hanging="976"/>
              <w:jc w:val="left"/>
              <w:rPr>
                <w:rFonts w:eastAsia="MS Mincho" w:cs="Arial"/>
              </w:rPr>
            </w:pPr>
            <w:r>
              <w:rPr>
                <w:rFonts w:eastAsia="MS Mincho" w:cs="Arial"/>
              </w:rPr>
              <w:t>NOTE 2:</w:t>
            </w:r>
            <w:r>
              <w:rPr>
                <w:rFonts w:eastAsia="MS Mincho" w:cs="Arial"/>
              </w:rPr>
              <w:tab/>
            </w:r>
            <w:r>
              <w:rPr>
                <w:rFonts w:eastAsia="MS Mincho" w:cs="Arial"/>
              </w:rPr>
              <w:t>The REFSENS power level is specified in 7.3B.3-1.</w:t>
            </w:r>
          </w:p>
          <w:p>
            <w:pPr>
              <w:pStyle w:val="105"/>
              <w:ind w:left="976" w:hanging="976"/>
              <w:jc w:val="left"/>
              <w:rPr>
                <w:rFonts w:cs="Arial"/>
              </w:rPr>
            </w:pPr>
            <w:r>
              <w:rPr>
                <w:rFonts w:eastAsia="MS Mincho" w:cs="Arial"/>
              </w:rPr>
              <w:t>NOTE 3:</w:t>
            </w:r>
            <w:r>
              <w:rPr>
                <w:rFonts w:eastAsia="MS Mincho" w:cs="Arial"/>
              </w:rPr>
              <w:tab/>
            </w:r>
            <w:r>
              <w:rPr>
                <w:rFonts w:cs="Arial"/>
              </w:rPr>
              <w:t>OOB range 1, 2, 3 refers to Table 7.6B.3.3-1.</w:t>
            </w:r>
          </w:p>
        </w:tc>
      </w:tr>
    </w:tbl>
    <w:p/>
    <w:p>
      <w:r>
        <w:t>The normative reference for this requirement is TS 36.102 [11] clause 7.7B.</w:t>
      </w:r>
    </w:p>
    <w:p>
      <w:pPr>
        <w:pStyle w:val="9"/>
      </w:pPr>
      <w:r>
        <w:t>7.7B.4</w:t>
      </w:r>
      <w:r>
        <w:tab/>
      </w:r>
      <w:r>
        <w:t>Test description</w:t>
      </w:r>
    </w:p>
    <w:p>
      <w:pPr>
        <w:pStyle w:val="9"/>
      </w:pPr>
      <w:r>
        <w:t>7.7B.4.1</w:t>
      </w:r>
      <w:r>
        <w:tab/>
      </w:r>
      <w:r>
        <w:t>Initial conditions</w:t>
      </w:r>
    </w:p>
    <w:p>
      <w:r>
        <w:rPr>
          <w:lang w:eastAsia="ko-KR"/>
        </w:rPr>
        <w:t>The initial conditions shall be the same as in clause 7.6B.3.4.1 in order to test spurious responses obtained in clause 7.6B.3 under the same conditions.</w:t>
      </w:r>
    </w:p>
    <w:p>
      <w:pPr>
        <w:pStyle w:val="9"/>
      </w:pPr>
      <w:r>
        <w:t>7.7B.4.2</w:t>
      </w:r>
      <w:r>
        <w:tab/>
      </w:r>
      <w:r>
        <w:rPr>
          <w:snapToGrid w:val="0"/>
        </w:rP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 7.6B.3.4.1-1.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parameters of the CW signal generator for an interfering signal according to Table 7.7B.5-1. The spurious frequencies are taken from records in the final step of test procedures in clause 7.6B.3.4.2</w:t>
      </w:r>
    </w:p>
    <w:p>
      <w:pPr>
        <w:pStyle w:val="111"/>
        <w:overflowPunct w:val="0"/>
        <w:autoSpaceDE w:val="0"/>
        <w:autoSpaceDN w:val="0"/>
        <w:adjustRightInd w:val="0"/>
        <w:contextualSpacing w:val="0"/>
        <w:textAlignment w:val="baseline"/>
        <w:rPr>
          <w:rFonts w:eastAsia="Malgun Gothic" w:cs="Times New Roman"/>
        </w:rPr>
      </w:pPr>
      <w:r>
        <w:rPr>
          <w:rFonts w:eastAsia="Malgun Gothic"/>
        </w:rPr>
        <w:t>3.</w:t>
      </w:r>
      <w:r>
        <w:rPr>
          <w:rFonts w:eastAsia="Malgun Gothic"/>
        </w:rPr>
        <w:tab/>
      </w:r>
      <w:r>
        <w:rPr>
          <w:rFonts w:eastAsia="Malgun Gothic"/>
        </w:rPr>
        <w:t>Set the Downlink signal level according to the Table 7.7B.5-1</w:t>
      </w:r>
      <w:r>
        <w:rPr>
          <w:rFonts w:eastAsia="Malgun Gothic" w:cs="Times New Roman"/>
        </w:rPr>
        <w:t>.</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For the spurious frequency, measure the average throughput for a duration sufficient to achieve statistical significance according to Annex G.2. </w:t>
      </w:r>
    </w:p>
    <w:p>
      <w:pPr>
        <w:pStyle w:val="9"/>
      </w:pPr>
      <w:r>
        <w:t>7.7B.4.3</w:t>
      </w:r>
      <w:r>
        <w:tab/>
      </w:r>
      <w:r>
        <w:rPr>
          <w:snapToGrid w:val="0"/>
        </w:rPr>
        <w:t>Message contents</w:t>
      </w:r>
    </w:p>
    <w:p>
      <w:r>
        <w:t xml:space="preserve">Message contents are according to TS 36.508 [12] clause 8.1.6. </w:t>
      </w:r>
    </w:p>
    <w:p>
      <w:pPr>
        <w:pStyle w:val="9"/>
      </w:pPr>
      <w:r>
        <w:t>7.7B.5</w:t>
      </w:r>
      <w:r>
        <w:tab/>
      </w:r>
      <w:r>
        <w:t>Test requirement</w:t>
      </w:r>
    </w:p>
    <w:p>
      <w:pPr>
        <w:ind w:right="-140"/>
      </w:pPr>
      <w:r>
        <w:t xml:space="preserve">The throughput measurement derived in test procedure shall be ≥ 95% of the maximum throughput of the reference measurement channels as specified in Annex A.3.2 with parameters specified in Tables 7.7B.5-1. </w:t>
      </w:r>
    </w:p>
    <w:p>
      <w:pPr>
        <w:pStyle w:val="113"/>
      </w:pPr>
      <w:r>
        <w:t>Table 7.7B.5-1: Spurious response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0"/>
        <w:gridCol w:w="2261"/>
        <w:gridCol w:w="2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tcPr>
          <w:p>
            <w:pPr>
              <w:pStyle w:val="104"/>
              <w:rPr>
                <w:rFonts w:cs="Arial"/>
              </w:rPr>
            </w:pPr>
            <w:r>
              <w:rPr>
                <w:rFonts w:cs="Arial"/>
              </w:rPr>
              <w:br w:type="page"/>
            </w:r>
            <w:r>
              <w:rPr>
                <w:rFonts w:cs="Arial"/>
              </w:rPr>
              <w:t>Parameter</w:t>
            </w:r>
          </w:p>
        </w:tc>
        <w:tc>
          <w:tcPr>
            <w:tcW w:w="2261" w:type="dxa"/>
          </w:tcPr>
          <w:p>
            <w:pPr>
              <w:pStyle w:val="104"/>
              <w:rPr>
                <w:rFonts w:cs="Arial"/>
              </w:rPr>
            </w:pPr>
            <w:r>
              <w:rPr>
                <w:rFonts w:cs="Arial"/>
              </w:rPr>
              <w:t>Unit</w:t>
            </w:r>
          </w:p>
        </w:tc>
        <w:tc>
          <w:tcPr>
            <w:tcW w:w="2749" w:type="dxa"/>
          </w:tcPr>
          <w:p>
            <w:pPr>
              <w:pStyle w:val="104"/>
              <w:rPr>
                <w:rFonts w:cs="Arial"/>
              </w:rPr>
            </w:pPr>
            <w:r>
              <w:rPr>
                <w:rFonts w:cs="Arial"/>
              </w:rPr>
              <w:t>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P</w:t>
            </w:r>
            <w:r>
              <w:rPr>
                <w:rFonts w:cs="Arial"/>
                <w:vertAlign w:val="subscript"/>
              </w:rPr>
              <w:t>signal</w:t>
            </w:r>
          </w:p>
        </w:tc>
        <w:tc>
          <w:tcPr>
            <w:tcW w:w="2261" w:type="dxa"/>
            <w:vAlign w:val="center"/>
          </w:tcPr>
          <w:p>
            <w:pPr>
              <w:pStyle w:val="105"/>
              <w:rPr>
                <w:rFonts w:cs="Arial"/>
              </w:rPr>
            </w:pPr>
            <w:r>
              <w:rPr>
                <w:rFonts w:cs="Arial"/>
              </w:rPr>
              <w:t>dBm</w:t>
            </w:r>
          </w:p>
        </w:tc>
        <w:tc>
          <w:tcPr>
            <w:tcW w:w="2749" w:type="dxa"/>
            <w:vAlign w:val="center"/>
          </w:tcPr>
          <w:p>
            <w:pPr>
              <w:pStyle w:val="105"/>
              <w:rPr>
                <w:rFonts w:cs="Arial"/>
              </w:rPr>
            </w:pPr>
            <w:r>
              <w:rPr>
                <w:rFonts w:cs="Arial"/>
              </w:rPr>
              <w:t>REFSENS+6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P</w:t>
            </w:r>
            <w:r>
              <w:rPr>
                <w:rFonts w:cs="Arial"/>
                <w:vertAlign w:val="subscript"/>
              </w:rPr>
              <w:t xml:space="preserve">Interferer </w:t>
            </w:r>
            <w:r>
              <w:rPr>
                <w:rFonts w:cs="Arial"/>
              </w:rPr>
              <w:t>(CW)</w:t>
            </w:r>
          </w:p>
        </w:tc>
        <w:tc>
          <w:tcPr>
            <w:tcW w:w="2261" w:type="dxa"/>
            <w:vAlign w:val="center"/>
          </w:tcPr>
          <w:p>
            <w:pPr>
              <w:pStyle w:val="105"/>
              <w:rPr>
                <w:rFonts w:cs="Arial"/>
              </w:rPr>
            </w:pPr>
            <w:r>
              <w:rPr>
                <w:rFonts w:cs="Arial"/>
              </w:rPr>
              <w:t>dBm</w:t>
            </w:r>
          </w:p>
        </w:tc>
        <w:tc>
          <w:tcPr>
            <w:tcW w:w="2749" w:type="dxa"/>
            <w:vAlign w:val="center"/>
          </w:tcPr>
          <w:p>
            <w:pPr>
              <w:pStyle w:val="105"/>
              <w:rPr>
                <w:rFonts w:cs="Arial"/>
              </w:rPr>
            </w:pPr>
            <w:r>
              <w:rPr>
                <w:rFonts w:cs="Arial"/>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F</w:t>
            </w:r>
            <w:r>
              <w:rPr>
                <w:rFonts w:cs="Arial"/>
                <w:vertAlign w:val="subscript"/>
              </w:rPr>
              <w:t>Interferer</w:t>
            </w:r>
          </w:p>
        </w:tc>
        <w:tc>
          <w:tcPr>
            <w:tcW w:w="2261" w:type="dxa"/>
            <w:vAlign w:val="center"/>
          </w:tcPr>
          <w:p>
            <w:pPr>
              <w:pStyle w:val="105"/>
              <w:rPr>
                <w:rFonts w:cs="Arial"/>
              </w:rPr>
            </w:pPr>
            <w:r>
              <w:rPr>
                <w:rFonts w:cs="Arial"/>
              </w:rPr>
              <w:t>MHz</w:t>
            </w:r>
          </w:p>
        </w:tc>
        <w:tc>
          <w:tcPr>
            <w:tcW w:w="2749" w:type="dxa"/>
            <w:vAlign w:val="center"/>
          </w:tcPr>
          <w:p>
            <w:pPr>
              <w:pStyle w:val="105"/>
              <w:rPr>
                <w:rFonts w:cs="Arial"/>
              </w:rPr>
            </w:pPr>
            <w:r>
              <w:rPr>
                <w:rFonts w:cs="Arial"/>
              </w:rPr>
              <w:t>Spurious response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Number of spurious response frequencies</w:t>
            </w:r>
          </w:p>
        </w:tc>
        <w:tc>
          <w:tcPr>
            <w:tcW w:w="2261" w:type="dxa"/>
            <w:vAlign w:val="center"/>
          </w:tcPr>
          <w:p>
            <w:pPr>
              <w:pStyle w:val="105"/>
              <w:rPr>
                <w:rFonts w:cs="Arial"/>
              </w:rPr>
            </w:pPr>
          </w:p>
        </w:tc>
        <w:tc>
          <w:tcPr>
            <w:tcW w:w="2749" w:type="dxa"/>
            <w:vAlign w:val="center"/>
          </w:tcPr>
          <w:p>
            <w:pPr>
              <w:pStyle w:val="105"/>
              <w:rPr>
                <w:rFonts w:cs="Arial"/>
              </w:rPr>
            </w:pPr>
            <w:r>
              <w:rPr>
                <w:rFonts w:cs="Arial"/>
              </w:rPr>
              <w:t>24 (in OOB range 1, 2, 3)</w:t>
            </w:r>
          </w:p>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7270" w:type="dxa"/>
            <w:gridSpan w:val="3"/>
            <w:vAlign w:val="center"/>
          </w:tcPr>
          <w:p>
            <w:pPr>
              <w:pStyle w:val="118"/>
              <w:ind w:left="976" w:hanging="976"/>
              <w:rPr>
                <w:rFonts w:eastAsia="MS Mincho" w:cs="Arial"/>
              </w:rPr>
            </w:pPr>
            <w:r>
              <w:rPr>
                <w:rFonts w:eastAsia="MS Mincho" w:cs="Arial"/>
              </w:rPr>
              <w:t>NOTE 1:</w:t>
            </w:r>
            <w:r>
              <w:rPr>
                <w:rFonts w:eastAsia="MS Mincho" w:cs="Arial"/>
              </w:rPr>
              <w:tab/>
            </w:r>
            <w:r>
              <w:rPr>
                <w:rFonts w:eastAsia="MS Mincho" w:cs="Arial"/>
              </w:rPr>
              <w:t>Reference measurement channel is specified in Annex A.3.2.</w:t>
            </w:r>
          </w:p>
          <w:p>
            <w:pPr>
              <w:pStyle w:val="105"/>
              <w:ind w:left="976" w:hanging="976"/>
              <w:jc w:val="left"/>
              <w:rPr>
                <w:rFonts w:eastAsia="MS Mincho" w:cs="Arial"/>
              </w:rPr>
            </w:pPr>
            <w:r>
              <w:rPr>
                <w:rFonts w:eastAsia="MS Mincho" w:cs="Arial"/>
              </w:rPr>
              <w:t>NOTE 2:</w:t>
            </w:r>
            <w:r>
              <w:rPr>
                <w:rFonts w:eastAsia="MS Mincho" w:cs="Arial"/>
              </w:rPr>
              <w:tab/>
            </w:r>
            <w:r>
              <w:rPr>
                <w:rFonts w:eastAsia="MS Mincho" w:cs="Arial"/>
              </w:rPr>
              <w:t>The REFSENS power level is specified in 7.3B.3-1.</w:t>
            </w:r>
          </w:p>
          <w:p>
            <w:pPr>
              <w:pStyle w:val="105"/>
              <w:ind w:left="976" w:hanging="976"/>
              <w:jc w:val="left"/>
              <w:rPr>
                <w:rFonts w:cs="Arial"/>
              </w:rPr>
            </w:pPr>
            <w:r>
              <w:rPr>
                <w:rFonts w:eastAsia="MS Mincho" w:cs="Arial"/>
              </w:rPr>
              <w:t>NOTE 3:</w:t>
            </w:r>
            <w:r>
              <w:rPr>
                <w:rFonts w:eastAsia="MS Mincho" w:cs="Arial"/>
              </w:rPr>
              <w:tab/>
            </w:r>
            <w:r>
              <w:rPr>
                <w:rFonts w:cs="Arial"/>
              </w:rPr>
              <w:t>OOB range 1, 2, 3 refers to Table 7.6B.3.3-1.</w:t>
            </w:r>
          </w:p>
        </w:tc>
      </w:tr>
    </w:tbl>
    <w:p/>
    <w:p>
      <w:pPr>
        <w:pStyle w:val="4"/>
      </w:pPr>
      <w:bookmarkStart w:id="1416" w:name="_Toc120570114"/>
      <w:bookmarkStart w:id="1417" w:name="_Toc19453"/>
      <w:bookmarkStart w:id="1418" w:name="_Toc111062100"/>
      <w:bookmarkStart w:id="1419" w:name="_Toc121162906"/>
      <w:bookmarkStart w:id="1420" w:name="_Toc15174"/>
      <w:bookmarkStart w:id="1421" w:name="_Toc9555"/>
      <w:bookmarkStart w:id="1422" w:name="_Toc20358"/>
      <w:bookmarkStart w:id="1423" w:name="_Toc30184"/>
      <w:bookmarkStart w:id="1424" w:name="_Toc23038"/>
      <w:bookmarkStart w:id="1425" w:name="_Toc21116"/>
      <w:bookmarkStart w:id="1426" w:name="_Toc368026392"/>
      <w:r>
        <w:t>7.8</w:t>
      </w:r>
      <w:r>
        <w:tab/>
      </w:r>
      <w:r>
        <w:t>Intermodulation characteristics</w:t>
      </w:r>
      <w:bookmarkEnd w:id="1416"/>
      <w:bookmarkEnd w:id="1417"/>
      <w:bookmarkEnd w:id="1418"/>
      <w:bookmarkEnd w:id="1419"/>
      <w:bookmarkEnd w:id="1420"/>
      <w:bookmarkEnd w:id="1421"/>
      <w:bookmarkEnd w:id="1422"/>
      <w:bookmarkEnd w:id="1423"/>
      <w:bookmarkEnd w:id="1424"/>
      <w:bookmarkEnd w:id="1425"/>
      <w:bookmarkEnd w:id="1426"/>
    </w:p>
    <w:p>
      <w:pPr>
        <w:numPr>
          <w:ilvl w:val="12"/>
          <w:numId w:val="0"/>
        </w:numPr>
        <w:rPr>
          <w:rFonts w:cs="v5.0.0"/>
        </w:rPr>
      </w:pPr>
      <w:r>
        <w:rPr>
          <w:rFonts w:hint="eastAsia"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pPr>
        <w:pStyle w:val="4"/>
        <w:rPr>
          <w:lang w:eastAsia="zh-CN"/>
        </w:rPr>
      </w:pPr>
      <w:bookmarkStart w:id="1427" w:name="_Toc8707"/>
      <w:bookmarkStart w:id="1428" w:name="_Toc121162907"/>
      <w:bookmarkStart w:id="1429" w:name="_Toc31626"/>
      <w:bookmarkStart w:id="1430" w:name="_Toc8579"/>
      <w:bookmarkStart w:id="1431" w:name="_Toc17764"/>
      <w:bookmarkStart w:id="1432" w:name="_Toc15955"/>
      <w:bookmarkStart w:id="1433" w:name="_Toc4570"/>
      <w:bookmarkStart w:id="1434" w:name="_Toc120570115"/>
      <w:bookmarkStart w:id="1435" w:name="_Toc23306"/>
      <w:r>
        <w:t>7.8</w:t>
      </w:r>
      <w:r>
        <w:rPr>
          <w:rFonts w:eastAsia="宋体"/>
          <w:lang w:eastAsia="zh-CN"/>
        </w:rPr>
        <w:t>A</w:t>
      </w:r>
      <w:r>
        <w:tab/>
      </w:r>
      <w:r>
        <w:t>Intermodulation</w:t>
      </w:r>
      <w:r>
        <w:rPr>
          <w:rFonts w:eastAsia="宋体"/>
          <w:lang w:eastAsia="zh-CN"/>
        </w:rPr>
        <w:t xml:space="preserve"> characteristics for category </w:t>
      </w:r>
      <w:r>
        <w:rPr>
          <w:lang w:eastAsia="zh-CN"/>
        </w:rPr>
        <w:t>M1</w:t>
      </w:r>
      <w:bookmarkEnd w:id="1427"/>
      <w:bookmarkEnd w:id="1428"/>
      <w:bookmarkEnd w:id="1429"/>
      <w:bookmarkEnd w:id="1430"/>
      <w:bookmarkEnd w:id="1431"/>
      <w:bookmarkEnd w:id="1432"/>
      <w:bookmarkEnd w:id="1433"/>
      <w:bookmarkEnd w:id="1434"/>
      <w:bookmarkEnd w:id="1435"/>
    </w:p>
    <w:p>
      <w:pPr>
        <w:pStyle w:val="112"/>
        <w:rPr>
          <w:i w:val="0"/>
          <w:iCs w:val="0"/>
          <w:lang w:val="en-GB"/>
        </w:rPr>
      </w:pPr>
      <w:r>
        <w:t>Editor’s Note: Addition to applicability spec is pending.</w:t>
      </w:r>
    </w:p>
    <w:p>
      <w:pPr>
        <w:pStyle w:val="9"/>
      </w:pPr>
      <w:r>
        <w:t>7.8A.1</w:t>
      </w:r>
      <w:r>
        <w:tab/>
      </w:r>
      <w:r>
        <w:t>Test purpose</w:t>
      </w:r>
    </w:p>
    <w:p>
      <w:r>
        <w:rPr>
          <w:rFonts w:cs="v5.0.0"/>
        </w:rPr>
        <w:t xml:space="preserve">Intermodulation response </w:t>
      </w:r>
      <w:r>
        <w:t xml:space="preserve">tests the UE's ability to receive data with a given average throughput for a specified reference measurement channel, in the presence of </w:t>
      </w:r>
      <w:r>
        <w:rPr>
          <w:rFonts w:cs="v5.0.0"/>
        </w:rPr>
        <w:t>two or more interfering signals which have a specific frequency relationship to the wanted signa</w:t>
      </w:r>
      <w:r>
        <w:t>l, under conditions of ideal propagation and no added noise.</w:t>
      </w:r>
    </w:p>
    <w:p>
      <w:pPr>
        <w:rPr>
          <w:rFonts w:cs="v5.0.0"/>
        </w:rPr>
      </w:pPr>
      <w:r>
        <w:t>A UE unable to meet the throughput requirement under these conditions will decrease the coverage area when two or more interfering signals exist which have a specific frequency relationship to the wanted signal.</w:t>
      </w:r>
    </w:p>
    <w:p>
      <w:pPr>
        <w:pStyle w:val="9"/>
      </w:pPr>
      <w:r>
        <w:t>7.8A.2</w:t>
      </w:r>
      <w:r>
        <w:tab/>
      </w:r>
      <w:r>
        <w:t>Test applicability</w:t>
      </w:r>
    </w:p>
    <w:p>
      <w:r>
        <w:t>This test case applies to all types of E-UTRA UE release 17 and forward of category M1</w:t>
      </w:r>
      <w:r>
        <w:rPr>
          <w:rFonts w:ascii="宋体" w:hAnsi="宋体" w:cs="宋体"/>
          <w:lang w:eastAsia="zh-TW"/>
        </w:rPr>
        <w:t xml:space="preserve"> </w:t>
      </w:r>
      <w:r>
        <w:t>that support satellite access operation.</w:t>
      </w:r>
    </w:p>
    <w:p>
      <w:pPr>
        <w:pStyle w:val="9"/>
      </w:pPr>
      <w:r>
        <w:t>7.8A.3</w:t>
      </w:r>
      <w:r>
        <w:tab/>
      </w:r>
      <w:r>
        <w:t>Minimum conformance requirements</w:t>
      </w:r>
    </w:p>
    <w:p>
      <w:pPr>
        <w:rPr>
          <w:rFonts w:eastAsia="MS Mincho"/>
        </w:rPr>
      </w:pPr>
      <w:r>
        <w:rPr>
          <w:rFonts w:eastAsia="MS Mincho"/>
        </w:rPr>
        <w:t>The definition in clause 7.8 shall apply. The wide band intermodulation requirement is defined following the same principles using modulated E-UTRA carrier and CW signal as interferer.</w:t>
      </w:r>
    </w:p>
    <w:p>
      <w:r>
        <w:t xml:space="preserve">The throughput shall be ≥ 95% of the maximum throughput of the reference measurement channels as specified in Annexes A.2.2, A.2.3 and A.3.2 (with one sided dynamic OCNG Pattern OP.1 FDD for the DL-signal as described in Annex A.5.1.1) with parameters specified in Table 7.8A.3-1 for the specified wanted signal mean power in the </w:t>
      </w:r>
      <w:r>
        <w:rPr>
          <w:rFonts w:eastAsia="MS Mincho"/>
        </w:rPr>
        <w:t xml:space="preserve">presence of two interfering signals. </w:t>
      </w:r>
    </w:p>
    <w:p>
      <w:pPr>
        <w:pStyle w:val="113"/>
      </w:pPr>
      <w:r>
        <w:t>Table 7.8A.3-1: Wide band intermodulation</w:t>
      </w:r>
    </w:p>
    <w:tbl>
      <w:tblPr>
        <w:tblStyle w:val="89"/>
        <w:tblW w:w="88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3"/>
        <w:gridCol w:w="809"/>
        <w:gridCol w:w="63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vMerge w:val="restart"/>
          </w:tcPr>
          <w:p>
            <w:pPr>
              <w:pStyle w:val="104"/>
              <w:rPr>
                <w:rFonts w:cs="Arial"/>
              </w:rPr>
            </w:pPr>
            <w:r>
              <w:rPr>
                <w:rFonts w:cs="Arial"/>
              </w:rPr>
              <w:t>Rx Parameter</w:t>
            </w:r>
          </w:p>
        </w:tc>
        <w:tc>
          <w:tcPr>
            <w:tcW w:w="809" w:type="dxa"/>
            <w:vMerge w:val="restart"/>
          </w:tcPr>
          <w:p>
            <w:pPr>
              <w:pStyle w:val="104"/>
              <w:rPr>
                <w:rFonts w:cs="Arial"/>
              </w:rPr>
            </w:pPr>
            <w:r>
              <w:rPr>
                <w:rFonts w:cs="Arial"/>
              </w:rPr>
              <w:t xml:space="preserve">Units </w:t>
            </w:r>
          </w:p>
        </w:tc>
        <w:tc>
          <w:tcPr>
            <w:tcW w:w="6379" w:type="dxa"/>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vMerge w:val="continue"/>
          </w:tcPr>
          <w:p>
            <w:pPr>
              <w:pStyle w:val="104"/>
              <w:rPr>
                <w:rFonts w:cs="Arial"/>
              </w:rPr>
            </w:pPr>
          </w:p>
        </w:tc>
        <w:tc>
          <w:tcPr>
            <w:tcW w:w="809" w:type="dxa"/>
            <w:vMerge w:val="continue"/>
          </w:tcPr>
          <w:p>
            <w:pPr>
              <w:pStyle w:val="104"/>
              <w:rPr>
                <w:rFonts w:cs="Arial"/>
              </w:rPr>
            </w:pPr>
          </w:p>
        </w:tc>
        <w:tc>
          <w:tcPr>
            <w:tcW w:w="6379" w:type="dxa"/>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vMerge w:val="restart"/>
            <w:vAlign w:val="center"/>
          </w:tcPr>
          <w:p>
            <w:pPr>
              <w:pStyle w:val="103"/>
              <w:rPr>
                <w:rFonts w:cs="Arial"/>
                <w:bCs/>
              </w:rPr>
            </w:pPr>
            <w:r>
              <w:rPr>
                <w:rFonts w:cs="Arial"/>
              </w:rPr>
              <w:t>Power in Transmission Bandwidth Configuration</w:t>
            </w:r>
          </w:p>
        </w:tc>
        <w:tc>
          <w:tcPr>
            <w:tcW w:w="809" w:type="dxa"/>
            <w:vMerge w:val="restart"/>
            <w:vAlign w:val="center"/>
          </w:tcPr>
          <w:p>
            <w:pPr>
              <w:pStyle w:val="105"/>
              <w:rPr>
                <w:rFonts w:cs="Arial"/>
              </w:rPr>
            </w:pPr>
            <w:r>
              <w:rPr>
                <w:rFonts w:cs="Arial"/>
              </w:rPr>
              <w:t>dBm</w:t>
            </w:r>
          </w:p>
        </w:tc>
        <w:tc>
          <w:tcPr>
            <w:tcW w:w="6379" w:type="dxa"/>
            <w:vAlign w:val="bottom"/>
          </w:tcPr>
          <w:p>
            <w:pPr>
              <w:pStyle w:val="105"/>
              <w:rPr>
                <w:rFonts w:cs="Arial"/>
              </w:rPr>
            </w:pPr>
            <w:r>
              <w:rPr>
                <w:rFonts w:cs="Aria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vMerge w:val="continue"/>
            <w:vAlign w:val="center"/>
          </w:tcPr>
          <w:p>
            <w:pPr>
              <w:pStyle w:val="103"/>
              <w:rPr>
                <w:rFonts w:cs="Arial"/>
                <w:bCs/>
              </w:rPr>
            </w:pPr>
          </w:p>
        </w:tc>
        <w:tc>
          <w:tcPr>
            <w:tcW w:w="809" w:type="dxa"/>
            <w:vMerge w:val="continue"/>
            <w:vAlign w:val="center"/>
          </w:tcPr>
          <w:p>
            <w:pPr>
              <w:pStyle w:val="105"/>
              <w:rPr>
                <w:rFonts w:cs="Arial"/>
              </w:rPr>
            </w:pPr>
          </w:p>
        </w:tc>
        <w:tc>
          <w:tcPr>
            <w:tcW w:w="6379" w:type="dxa"/>
            <w:vAlign w:val="center"/>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P</w:t>
            </w:r>
            <w:r>
              <w:rPr>
                <w:rFonts w:cs="Arial"/>
                <w:bCs/>
                <w:vertAlign w:val="subscript"/>
              </w:rPr>
              <w:t>Interferer 1</w:t>
            </w:r>
          </w:p>
          <w:p>
            <w:pPr>
              <w:pStyle w:val="103"/>
              <w:rPr>
                <w:rFonts w:cs="Arial"/>
                <w:bCs/>
                <w:vertAlign w:val="subscript"/>
              </w:rPr>
            </w:pPr>
            <w:r>
              <w:rPr>
                <w:rFonts w:cs="Arial"/>
                <w:bCs/>
              </w:rPr>
              <w:t>(CW)</w:t>
            </w:r>
          </w:p>
        </w:tc>
        <w:tc>
          <w:tcPr>
            <w:tcW w:w="809" w:type="dxa"/>
          </w:tcPr>
          <w:p>
            <w:pPr>
              <w:pStyle w:val="105"/>
              <w:rPr>
                <w:rFonts w:cs="Arial"/>
              </w:rPr>
            </w:pPr>
            <w:r>
              <w:rPr>
                <w:rFonts w:cs="Arial"/>
              </w:rPr>
              <w:t>dBm</w:t>
            </w:r>
          </w:p>
        </w:tc>
        <w:tc>
          <w:tcPr>
            <w:tcW w:w="6379" w:type="dxa"/>
            <w:vAlign w:val="center"/>
          </w:tcPr>
          <w:p>
            <w:pPr>
              <w:pStyle w:val="105"/>
              <w:rPr>
                <w:rFonts w:cs="Arial"/>
              </w:rPr>
            </w:pPr>
            <w:r>
              <w:rPr>
                <w:rFonts w:cs="Arial"/>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P</w:t>
            </w:r>
            <w:r>
              <w:rPr>
                <w:rFonts w:cs="Arial"/>
                <w:bCs/>
                <w:vertAlign w:val="subscript"/>
              </w:rPr>
              <w:t>Interferer 2</w:t>
            </w:r>
          </w:p>
          <w:p>
            <w:pPr>
              <w:pStyle w:val="103"/>
              <w:rPr>
                <w:rFonts w:cs="Arial"/>
                <w:bCs/>
              </w:rPr>
            </w:pPr>
            <w:r>
              <w:rPr>
                <w:rFonts w:cs="Arial"/>
                <w:bCs/>
              </w:rPr>
              <w:t>(Modulated)</w:t>
            </w:r>
          </w:p>
        </w:tc>
        <w:tc>
          <w:tcPr>
            <w:tcW w:w="809" w:type="dxa"/>
          </w:tcPr>
          <w:p>
            <w:pPr>
              <w:pStyle w:val="105"/>
              <w:rPr>
                <w:rFonts w:cs="Arial"/>
              </w:rPr>
            </w:pPr>
            <w:r>
              <w:rPr>
                <w:rFonts w:cs="Arial"/>
              </w:rPr>
              <w:t>dBm</w:t>
            </w:r>
          </w:p>
        </w:tc>
        <w:tc>
          <w:tcPr>
            <w:tcW w:w="6379" w:type="dxa"/>
            <w:vAlign w:val="center"/>
          </w:tcPr>
          <w:p>
            <w:pPr>
              <w:pStyle w:val="105"/>
              <w:rPr>
                <w:rFonts w:cs="Arial"/>
              </w:rPr>
            </w:pPr>
            <w:r>
              <w:rPr>
                <w:rFonts w:cs="Arial"/>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BW</w:t>
            </w:r>
            <w:r>
              <w:rPr>
                <w:rFonts w:cs="Arial"/>
                <w:bCs/>
                <w:vertAlign w:val="subscript"/>
              </w:rPr>
              <w:t>Interferer 2</w:t>
            </w:r>
          </w:p>
        </w:tc>
        <w:tc>
          <w:tcPr>
            <w:tcW w:w="809" w:type="dxa"/>
          </w:tcPr>
          <w:p>
            <w:pPr>
              <w:pStyle w:val="105"/>
              <w:rPr>
                <w:rFonts w:cs="Arial"/>
              </w:rPr>
            </w:pPr>
          </w:p>
        </w:tc>
        <w:tc>
          <w:tcPr>
            <w:tcW w:w="6379" w:type="dxa"/>
            <w:vAlign w:val="center"/>
          </w:tcPr>
          <w:p>
            <w:pPr>
              <w:pStyle w:val="105"/>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F</w:t>
            </w:r>
            <w:r>
              <w:rPr>
                <w:rFonts w:cs="Arial"/>
                <w:bCs/>
                <w:vertAlign w:val="subscript"/>
              </w:rPr>
              <w:t>Interferer 1</w:t>
            </w:r>
          </w:p>
          <w:p>
            <w:pPr>
              <w:pStyle w:val="103"/>
              <w:rPr>
                <w:rFonts w:cs="Arial"/>
                <w:i/>
              </w:rPr>
            </w:pPr>
            <w:r>
              <w:rPr>
                <w:rFonts w:cs="Arial"/>
                <w:bCs/>
              </w:rPr>
              <w:t>(Offset)</w:t>
            </w:r>
          </w:p>
        </w:tc>
        <w:tc>
          <w:tcPr>
            <w:tcW w:w="809" w:type="dxa"/>
          </w:tcPr>
          <w:p>
            <w:pPr>
              <w:pStyle w:val="105"/>
              <w:rPr>
                <w:rFonts w:cs="Arial"/>
              </w:rPr>
            </w:pPr>
            <w:r>
              <w:rPr>
                <w:rFonts w:cs="Arial"/>
              </w:rPr>
              <w:t>MHz</w:t>
            </w:r>
          </w:p>
        </w:tc>
        <w:tc>
          <w:tcPr>
            <w:tcW w:w="6379" w:type="dxa"/>
            <w:vAlign w:val="bottom"/>
          </w:tcPr>
          <w:p>
            <w:pPr>
              <w:pStyle w:val="105"/>
              <w:rPr>
                <w:rFonts w:cs="Arial"/>
              </w:rPr>
            </w:pPr>
            <w:r>
              <w:rPr>
                <w:rFonts w:cs="Arial"/>
              </w:rPr>
              <w:t>-BW/2 –2.1</w:t>
            </w:r>
          </w:p>
          <w:p>
            <w:pPr>
              <w:pStyle w:val="105"/>
              <w:rPr>
                <w:rFonts w:cs="Arial"/>
              </w:rPr>
            </w:pPr>
            <w:r>
              <w:rPr>
                <w:rFonts w:cs="Arial"/>
              </w:rPr>
              <w:t>/</w:t>
            </w:r>
          </w:p>
          <w:p>
            <w:pPr>
              <w:pStyle w:val="105"/>
              <w:rPr>
                <w:rFonts w:cs="Arial"/>
              </w:rPr>
            </w:pPr>
            <w:r>
              <w:rPr>
                <w:rFonts w:cs="Arial"/>
              </w:rPr>
              <w:t>+BW/2+ 2.1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F</w:t>
            </w:r>
            <w:r>
              <w:rPr>
                <w:rFonts w:cs="Arial"/>
                <w:bCs/>
                <w:vertAlign w:val="subscript"/>
              </w:rPr>
              <w:t>Interferer 2</w:t>
            </w:r>
          </w:p>
          <w:p>
            <w:pPr>
              <w:pStyle w:val="103"/>
              <w:rPr>
                <w:rFonts w:cs="Arial"/>
                <w:bCs/>
              </w:rPr>
            </w:pPr>
            <w:r>
              <w:rPr>
                <w:rFonts w:cs="Arial"/>
                <w:bCs/>
              </w:rPr>
              <w:t>(Offset)</w:t>
            </w:r>
          </w:p>
        </w:tc>
        <w:tc>
          <w:tcPr>
            <w:tcW w:w="809" w:type="dxa"/>
          </w:tcPr>
          <w:p>
            <w:pPr>
              <w:pStyle w:val="105"/>
              <w:rPr>
                <w:rFonts w:cs="Arial"/>
              </w:rPr>
            </w:pPr>
            <w:r>
              <w:rPr>
                <w:rFonts w:cs="Arial"/>
              </w:rPr>
              <w:t>MHz</w:t>
            </w:r>
          </w:p>
        </w:tc>
        <w:tc>
          <w:tcPr>
            <w:tcW w:w="6379" w:type="dxa"/>
            <w:vAlign w:val="center"/>
          </w:tcPr>
          <w:p>
            <w:pPr>
              <w:pStyle w:val="105"/>
              <w:rPr>
                <w:rFonts w:cs="Arial"/>
              </w:rPr>
            </w:pPr>
            <w:r>
              <w:rPr>
                <w:rFonts w:cs="Arial"/>
                <w:bCs/>
              </w:rPr>
              <w:t>2*F</w:t>
            </w:r>
            <w:r>
              <w:rPr>
                <w:rFonts w:cs="Arial"/>
                <w:bCs/>
                <w:vertAlign w:val="subscript"/>
              </w:rPr>
              <w:t>Interferer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851" w:type="dxa"/>
            <w:gridSpan w:val="3"/>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Reference measurement channel is specified in Annex A.3.2 with </w:t>
            </w:r>
            <w:r>
              <w:rPr>
                <w:rFonts w:cs="Arial"/>
              </w:rPr>
              <w:t>one sided dynamic OCNG Pattern OP.1 FDD as described in Annex A.5.1.1</w:t>
            </w:r>
            <w:r>
              <w:rPr>
                <w:rFonts w:eastAsia="MS Mincho" w:cs="Arial"/>
              </w:rPr>
              <w:t>.</w:t>
            </w:r>
          </w:p>
          <w:p>
            <w:pPr>
              <w:pStyle w:val="118"/>
              <w:rPr>
                <w:rFonts w:eastAsia="MS Mincho" w:cs="Arial"/>
              </w:rPr>
            </w:pPr>
            <w:r>
              <w:rPr>
                <w:rFonts w:eastAsia="MS Mincho" w:cs="Arial"/>
              </w:rPr>
              <w:t>NOTE 3:</w:t>
            </w:r>
            <w:r>
              <w:rPr>
                <w:rFonts w:eastAsia="MS Mincho" w:cs="Arial"/>
              </w:rPr>
              <w:tab/>
            </w:r>
            <w:r>
              <w:rPr>
                <w:rFonts w:eastAsia="MS Mincho" w:cs="Arial"/>
              </w:rPr>
              <w:t xml:space="preserve">The modulated interferer consists of the Reference measurement channel specified in Annex A.3.2 with </w:t>
            </w:r>
            <w:r>
              <w:rPr>
                <w:rFonts w:cs="Arial"/>
              </w:rPr>
              <w:t xml:space="preserve">one sided dynamic OCNG Pattern OP.1 FDD as described in Annex A.5.1.1 </w:t>
            </w:r>
            <w:r>
              <w:rPr>
                <w:rFonts w:eastAsia="MS Mincho" w:cs="Arial"/>
              </w:rPr>
              <w:t>with set-up according to Annex C.3.1.</w:t>
            </w:r>
          </w:p>
          <w:p>
            <w:pPr>
              <w:pStyle w:val="118"/>
              <w:rPr>
                <w:rFonts w:eastAsia="MS Mincho" w:cs="Arial"/>
              </w:rPr>
            </w:pPr>
            <w:r>
              <w:rPr>
                <w:rFonts w:eastAsia="MS Mincho" w:cs="Arial"/>
              </w:rPr>
              <w:t>NOTE 4:</w:t>
            </w:r>
            <w:r>
              <w:rPr>
                <w:rFonts w:eastAsia="MS Mincho" w:cs="Arial"/>
              </w:rPr>
              <w:tab/>
            </w:r>
            <w:r>
              <w:rPr>
                <w:rFonts w:eastAsia="MS Mincho" w:cs="Arial"/>
              </w:rPr>
              <w:t>For DL category M1 UE, the reference sensitivity for category M1 in Table 7.3A.3-1 should be used as REFSENS for the power in Transmission Bandwidth Configuration.</w:t>
            </w:r>
          </w:p>
          <w:p>
            <w:pPr>
              <w:pStyle w:val="118"/>
              <w:rPr>
                <w:rFonts w:eastAsia="MS Mincho" w:cs="Arial"/>
              </w:rPr>
            </w:pPr>
            <w:r>
              <w:rPr>
                <w:rFonts w:eastAsia="MS Mincho" w:cs="Arial"/>
              </w:rPr>
              <w:t>NOTE 5:</w:t>
            </w:r>
            <w:r>
              <w:rPr>
                <w:rFonts w:eastAsia="MS Mincho" w:cs="Arial"/>
              </w:rPr>
              <w:tab/>
            </w:r>
            <w:r>
              <w:rPr>
                <w:rFonts w:cs="Arial"/>
              </w:rPr>
              <w:t>For DL category M1 UE, the parameters for the applicable channel bandwidth apply, and BW refers to the corresponding channel bandwidth.</w:t>
            </w:r>
          </w:p>
        </w:tc>
      </w:tr>
    </w:tbl>
    <w:p/>
    <w:p>
      <w:r>
        <w:t>The normative reference for this requirement is TS 36.102 [11] clause 7.8A.</w:t>
      </w:r>
    </w:p>
    <w:p>
      <w:pPr>
        <w:pStyle w:val="9"/>
      </w:pPr>
      <w:r>
        <w:t>7.8A.4</w:t>
      </w:r>
      <w:r>
        <w:tab/>
      </w:r>
      <w:r>
        <w:t>Test description</w:t>
      </w:r>
    </w:p>
    <w:p>
      <w:pPr>
        <w:pStyle w:val="9"/>
      </w:pPr>
      <w:r>
        <w:t>7.8A.4.1</w:t>
      </w:r>
      <w:r>
        <w:tab/>
      </w:r>
      <w:r>
        <w:t>Initial condition</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7.8A.4.1-1. The details of the uplink and downlink reference measurement channels (RMCs) are specified in Annexes A.2 and A.3 respectively. The details of the OCNG patterns used are specified in Annex A.5. </w:t>
      </w:r>
      <w:r>
        <w:rPr>
          <w:rFonts w:cs="v5.0.0"/>
        </w:rPr>
        <w:t>Configurations of PDSCH and MPDCCH before measurement are specified in Annex C.2</w:t>
      </w:r>
    </w:p>
    <w:p>
      <w:pPr>
        <w:pStyle w:val="113"/>
      </w:pPr>
      <w:r>
        <w:t>Table 7.8A.4.1-1: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6"/>
        <w:gridCol w:w="1166"/>
        <w:gridCol w:w="2238"/>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 36.508 [12] subclause 4.3.1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Channel Bandwidths as specified in TS 36.508 [12] subclause 4.3.1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w:t>
            </w:r>
            <w:r>
              <w:t xml:space="preserve"> </w:t>
            </w:r>
            <w:r>
              <w:rPr>
                <w:rFonts w:ascii="Arial" w:hAnsi="Arial"/>
                <w:b/>
                <w:sz w:val="18"/>
              </w:rPr>
              <w:t>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 ID</w:t>
            </w:r>
          </w:p>
        </w:tc>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4664"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Mod'n</w:t>
            </w:r>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Mod'n</w:t>
            </w:r>
          </w:p>
        </w:tc>
        <w:tc>
          <w:tcPr>
            <w:tcW w:w="223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2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Narrowband index</w:t>
            </w:r>
          </w:p>
          <w:p>
            <w:pPr>
              <w:keepNext/>
              <w:keepLines/>
              <w:spacing w:after="0"/>
              <w:jc w:val="center"/>
              <w:rPr>
                <w:rFonts w:ascii="Arial" w:hAnsi="Arial"/>
                <w:sz w:val="18"/>
              </w:rPr>
            </w:pPr>
            <w:r>
              <w:rPr>
                <w:rFonts w:ascii="Arial" w:hAnsi="Arial" w:cs="Arial"/>
                <w:sz w:val="18"/>
                <w:szCs w:val="18"/>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ko-KR"/>
              </w:rPr>
            </w:pPr>
            <w:r>
              <w:rPr>
                <w:rFonts w:ascii="Arial" w:hAnsi="Arial"/>
                <w:sz w:val="18"/>
                <w:lang w:eastAsia="ko-KR"/>
              </w:rPr>
              <w:t>4</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23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p>
        </w:tc>
        <w:tc>
          <w:tcPr>
            <w:tcW w:w="12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lang w:eastAsia="ko-K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ko-KR"/>
              </w:rPr>
            </w:pPr>
            <w:r>
              <w:rPr>
                <w:rFonts w:ascii="Arial" w:hAnsi="Arial"/>
                <w:sz w:val="18"/>
                <w:lang w:eastAsia="ko-KR"/>
              </w:rPr>
              <w:t>Note 1:</w:t>
            </w:r>
            <w:r>
              <w:rPr>
                <w:rFonts w:ascii="Arial" w:hAnsi="Arial"/>
                <w:sz w:val="18"/>
              </w:rPr>
              <w:tab/>
            </w:r>
            <w:r>
              <w:rPr>
                <w:rFonts w:ascii="Arial" w:hAnsi="Arial"/>
                <w:sz w:val="18"/>
              </w:rPr>
              <w:t>Denotes where in the channel Bandwidth the narrowband shall be placed. Narrowband and Narrowband index are defined in TS36.211</w:t>
            </w:r>
            <w:r>
              <w:t>[3]</w:t>
            </w:r>
            <w:r>
              <w:rPr>
                <w:rFonts w:ascii="Arial" w:hAnsi="Arial"/>
                <w:sz w:val="18"/>
              </w:rPr>
              <w:t>, 5.2.4.</w:t>
            </w:r>
          </w:p>
          <w:p>
            <w:pPr>
              <w:keepNext/>
              <w:keepLines/>
              <w:spacing w:after="0"/>
              <w:ind w:left="851" w:hanging="851"/>
              <w:rPr>
                <w:rFonts w:ascii="Arial" w:hAnsi="Arial"/>
                <w:sz w:val="18"/>
              </w:rPr>
            </w:pPr>
            <w:r>
              <w:rPr>
                <w:rFonts w:ascii="Arial" w:hAnsi="Arial"/>
                <w:sz w:val="18"/>
              </w:rPr>
              <w:t>Note 2:</w:t>
            </w:r>
            <w:r>
              <w:rPr>
                <w:rFonts w:ascii="Arial" w:hAnsi="Arial"/>
                <w:sz w:val="18"/>
              </w:rPr>
              <w:tab/>
            </w:r>
            <w:r>
              <w:rPr>
                <w:rFonts w:ascii="Arial" w:hAnsi="Arial"/>
                <w:sz w:val="18"/>
              </w:rPr>
              <w:t>Downlink RB position shall be RB</w:t>
            </w:r>
            <w:r>
              <w:rPr>
                <w:rFonts w:ascii="Arial" w:hAnsi="Arial"/>
                <w:sz w:val="18"/>
                <w:vertAlign w:val="subscript"/>
              </w:rPr>
              <w:t>start</w:t>
            </w:r>
            <w:r>
              <w:rPr>
                <w:rFonts w:ascii="Arial" w:hAnsi="Arial"/>
                <w:sz w:val="18"/>
              </w:rPr>
              <w:t xml:space="preserve"> = 0 within the narrowband.</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36.508[12] Annex A Figure A.6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 xml:space="preserve">Downlink signals are initially set up according to Annex </w:t>
      </w:r>
      <w:r>
        <w:rPr>
          <w:rFonts w:eastAsia="Malgun Gothic"/>
          <w:lang w:eastAsia="en-US"/>
        </w:rPr>
        <w:t xml:space="preserve">C.0, </w:t>
      </w:r>
      <w:r>
        <w:rPr>
          <w:rFonts w:eastAsia="Malgun Gothic"/>
        </w:rPr>
        <w:t>C.1 and C.3.1, and uplink signals according to Annex H.1 and H.3.1.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UL and DL Reference Measurement channels are set according to Table 7.8A.4.1-1.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hint="eastAsia" w:eastAsia="Malgun Gothic"/>
        </w:rPr>
        <w:t>6.</w:t>
      </w:r>
      <w:r>
        <w:rPr>
          <w:rFonts w:hint="eastAsia" w:eastAsia="Malgun Gothic"/>
          <w:lang w:val="en-GB" w:eastAsia="en-US"/>
        </w:rPr>
        <w:tab/>
      </w:r>
      <w:r>
        <w:rPr>
          <w:rFonts w:hint="eastAsia" w:eastAsia="Malgun Gothic"/>
        </w:rPr>
        <w:t>UE location according to TS 36.508 [12] clause 5.6.1 is provided to the UE through any preconfigured means.</w:t>
      </w:r>
    </w:p>
    <w:p>
      <w:pPr>
        <w:pStyle w:val="111"/>
        <w:overflowPunct w:val="0"/>
        <w:autoSpaceDE w:val="0"/>
        <w:autoSpaceDN w:val="0"/>
        <w:adjustRightInd w:val="0"/>
        <w:contextualSpacing w:val="0"/>
        <w:textAlignment w:val="baseline"/>
        <w:rPr>
          <w:rFonts w:eastAsia="Malgun Gothic"/>
        </w:rPr>
      </w:pPr>
      <w:r>
        <w:rPr>
          <w:rFonts w:hint="eastAsia" w:eastAsia="Malgun Gothic"/>
        </w:rPr>
        <w:t>7. </w:t>
      </w:r>
      <w:r>
        <w:rPr>
          <w:rFonts w:eastAsia="Malgun Gothic"/>
        </w:rPr>
        <w:t xml:space="preserve"> </w:t>
      </w:r>
      <w:r>
        <w:rPr>
          <w:rFonts w:hint="eastAsia" w:eastAsia="Malgun Gothic"/>
        </w:rPr>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pPr>
        <w:pStyle w:val="111"/>
        <w:overflowPunct w:val="0"/>
        <w:autoSpaceDE w:val="0"/>
        <w:autoSpaceDN w:val="0"/>
        <w:adjustRightInd w:val="0"/>
        <w:contextualSpacing w:val="0"/>
        <w:textAlignment w:val="baseline"/>
        <w:rPr>
          <w:rFonts w:eastAsia="Malgun Gothic"/>
        </w:rPr>
      </w:pPr>
      <w:r>
        <w:rPr>
          <w:rFonts w:hint="eastAsia" w:eastAsia="Malgun Gothic"/>
        </w:rPr>
        <w:t>8.</w:t>
      </w:r>
      <w:r>
        <w:rPr>
          <w:rFonts w:hint="eastAsia" w:eastAsia="Malgun Gothic"/>
          <w:lang w:val="en-GB" w:eastAsia="en-US"/>
        </w:rPr>
        <w:tab/>
      </w:r>
      <w:r>
        <w:rPr>
          <w:rFonts w:hint="eastAsia" w:eastAsia="Malgun Gothic"/>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hint="eastAsia" w:eastAsia="Malgun Gothic"/>
        </w:rPr>
        <w:t>.</w:t>
      </w:r>
      <w:r>
        <w:rPr>
          <w:rFonts w:hint="eastAsia" w:eastAsia="Malgun Gothic"/>
        </w:rPr>
        <w:tab/>
      </w:r>
      <w:r>
        <w:rPr>
          <w:rFonts w:eastAsia="Malgun Gothic"/>
        </w:rPr>
        <w:t>Ensure the UE is in State 3A-RF-CE according to TS 36.508 [12] clause 5.2A.2AA. Message contents are defined in clause 7.8A.4.3.</w:t>
      </w:r>
    </w:p>
    <w:p>
      <w:pPr>
        <w:pStyle w:val="9"/>
      </w:pPr>
      <w:r>
        <w:t>7.8A.4.2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PDSCH via MPDCCH DCI format 6-1A for C_RNTI to transmit the DL RMC according to Table 7.8A.4.1-1. The SS sends downlink MAC padding bits on the DL RMC. The SS sends one sided dynamic OCNG Pattern OP.1 FDD for the DL-signal as described in Annex A.5.1.1.</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SS sends uplink scheduling information for each UL HARQ process via MPDCCH DCI format 6-0A for C_RNTI to schedule the UL RMC according to Table 7.8A.4.1-1.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 xml:space="preserve">Set the Downlink signal level to the value as defined in Table 7.8A.5-1. Send uplink power control commands to the UE using 1dB power step size to ensure that the UE output power measured by the test system is within the Uplink power control window, defined as -MU to -(MU + Uplink power control window size) dB of the target power level in Table 7.8A.5-1 for at least the duration of the </w:t>
      </w:r>
      <w:r>
        <w:rPr>
          <w:rFonts w:hint="eastAsia" w:eastAsia="Malgun Gothic"/>
        </w:rPr>
        <w:t>t</w:t>
      </w:r>
      <w:r>
        <w:rPr>
          <w:rFonts w:eastAsia="Malgun Gothic"/>
        </w:rPr>
        <w:t>hroughput measurement, where:</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MU is the test system uplink power measurement uncertainty and is specified in Table F.1.3-1 for the carrier frequency f and the channel bandwidth BW</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Set the Interfering signal levels to the values as defined in Table 7.8A.5-1 and frequency below the wanted signal, using a modulated interferer bandwidth as defined in Annex D of the present document.</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Repeat steps from 3 to 5, using an interfering signal above the wanted signal at step 4.</w:t>
      </w:r>
    </w:p>
    <w:p>
      <w:pPr>
        <w:pStyle w:val="9"/>
      </w:pPr>
      <w:r>
        <w:t>7.8A.4.3</w:t>
      </w:r>
      <w:r>
        <w:tab/>
      </w:r>
      <w:r>
        <w:t>Message contents</w:t>
      </w:r>
    </w:p>
    <w:p>
      <w:r>
        <w:t xml:space="preserve">Message contents are according to TS 36.508 [12] subclause 4.6 with the condition CEModeA </w:t>
      </w:r>
      <w:r>
        <w:rPr>
          <w:rFonts w:eastAsia="Batang"/>
        </w:rPr>
        <w:t xml:space="preserve">and the </w:t>
      </w:r>
      <w:r>
        <w:t>following exception.</w:t>
      </w:r>
    </w:p>
    <w:p>
      <w:pPr>
        <w:pStyle w:val="113"/>
      </w:pPr>
      <w:r>
        <w:t>Table 7.8A.4.3-1: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p0-U</w:t>
            </w:r>
            <w:r>
              <w:rPr>
                <w:lang w:eastAsia="ko-KR"/>
              </w:rPr>
              <w:t>E-</w:t>
            </w:r>
            <w:r>
              <w:t xml:space="preserve">PUSCH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en0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w:t>
            </w:r>
            <w:r>
              <w:rPr>
                <w:lang w:eastAsia="ko-KR"/>
              </w:rPr>
              <w:t>UE-</w:t>
            </w:r>
            <w:r>
              <w:t>PUCCH</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fc8</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larger filter length is used to reduce the RSRP measurement variation</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9"/>
      </w:pPr>
      <w:r>
        <w:t>7.8A.5</w:t>
      </w:r>
      <w:r>
        <w:tab/>
      </w:r>
      <w:r>
        <w:t>Test requirements</w:t>
      </w:r>
    </w:p>
    <w:p>
      <w:r>
        <w:t>The throughput shall be ≥ 95% of the maximum throughput of the reference measurement channels as specified in Annex A.3.2 with parameters specified in Table 7.8A.5-1 for the specified wanted signal mean power in the presence of two interfering signals.</w:t>
      </w:r>
    </w:p>
    <w:p>
      <w:pPr>
        <w:pStyle w:val="113"/>
      </w:pPr>
      <w:r>
        <w:t>Table 7.8A.5-1: Wide band intermodulation</w:t>
      </w:r>
    </w:p>
    <w:tbl>
      <w:tblPr>
        <w:tblStyle w:val="89"/>
        <w:tblW w:w="88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3"/>
        <w:gridCol w:w="809"/>
        <w:gridCol w:w="63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vMerge w:val="restart"/>
          </w:tcPr>
          <w:p>
            <w:pPr>
              <w:pStyle w:val="104"/>
              <w:rPr>
                <w:rFonts w:cs="Arial"/>
              </w:rPr>
            </w:pPr>
            <w:r>
              <w:rPr>
                <w:rFonts w:cs="Arial"/>
              </w:rPr>
              <w:t>Rx Parameter</w:t>
            </w:r>
          </w:p>
        </w:tc>
        <w:tc>
          <w:tcPr>
            <w:tcW w:w="809" w:type="dxa"/>
            <w:vMerge w:val="restart"/>
          </w:tcPr>
          <w:p>
            <w:pPr>
              <w:pStyle w:val="104"/>
              <w:rPr>
                <w:rFonts w:cs="Arial"/>
              </w:rPr>
            </w:pPr>
            <w:r>
              <w:rPr>
                <w:rFonts w:cs="Arial"/>
              </w:rPr>
              <w:t xml:space="preserve">Units </w:t>
            </w:r>
          </w:p>
        </w:tc>
        <w:tc>
          <w:tcPr>
            <w:tcW w:w="6379" w:type="dxa"/>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vMerge w:val="continue"/>
          </w:tcPr>
          <w:p>
            <w:pPr>
              <w:pStyle w:val="104"/>
              <w:rPr>
                <w:rFonts w:cs="Arial"/>
              </w:rPr>
            </w:pPr>
          </w:p>
        </w:tc>
        <w:tc>
          <w:tcPr>
            <w:tcW w:w="809" w:type="dxa"/>
            <w:vMerge w:val="continue"/>
          </w:tcPr>
          <w:p>
            <w:pPr>
              <w:pStyle w:val="104"/>
              <w:rPr>
                <w:rFonts w:cs="Arial"/>
              </w:rPr>
            </w:pPr>
          </w:p>
        </w:tc>
        <w:tc>
          <w:tcPr>
            <w:tcW w:w="6379" w:type="dxa"/>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vMerge w:val="restart"/>
            <w:vAlign w:val="center"/>
          </w:tcPr>
          <w:p>
            <w:pPr>
              <w:pStyle w:val="103"/>
              <w:rPr>
                <w:rFonts w:cs="Arial"/>
                <w:bCs/>
              </w:rPr>
            </w:pPr>
            <w:r>
              <w:rPr>
                <w:rFonts w:cs="Arial"/>
              </w:rPr>
              <w:t>Power in Transmission Bandwidth Configuration</w:t>
            </w:r>
          </w:p>
        </w:tc>
        <w:tc>
          <w:tcPr>
            <w:tcW w:w="809" w:type="dxa"/>
            <w:vMerge w:val="restart"/>
            <w:vAlign w:val="center"/>
          </w:tcPr>
          <w:p>
            <w:pPr>
              <w:pStyle w:val="105"/>
              <w:rPr>
                <w:rFonts w:cs="Arial"/>
              </w:rPr>
            </w:pPr>
            <w:r>
              <w:rPr>
                <w:rFonts w:cs="Arial"/>
              </w:rPr>
              <w:t>dBm</w:t>
            </w:r>
          </w:p>
        </w:tc>
        <w:tc>
          <w:tcPr>
            <w:tcW w:w="6379" w:type="dxa"/>
            <w:vAlign w:val="bottom"/>
          </w:tcPr>
          <w:p>
            <w:pPr>
              <w:pStyle w:val="105"/>
              <w:rPr>
                <w:rFonts w:cs="Arial"/>
              </w:rPr>
            </w:pPr>
            <w:r>
              <w:rPr>
                <w:rFonts w:cs="Aria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vMerge w:val="continue"/>
            <w:vAlign w:val="center"/>
          </w:tcPr>
          <w:p>
            <w:pPr>
              <w:pStyle w:val="103"/>
              <w:rPr>
                <w:rFonts w:cs="Arial"/>
                <w:bCs/>
              </w:rPr>
            </w:pPr>
          </w:p>
        </w:tc>
        <w:tc>
          <w:tcPr>
            <w:tcW w:w="809" w:type="dxa"/>
            <w:vMerge w:val="continue"/>
            <w:vAlign w:val="center"/>
          </w:tcPr>
          <w:p>
            <w:pPr>
              <w:pStyle w:val="105"/>
              <w:rPr>
                <w:rFonts w:cs="Arial"/>
              </w:rPr>
            </w:pPr>
          </w:p>
        </w:tc>
        <w:tc>
          <w:tcPr>
            <w:tcW w:w="6379" w:type="dxa"/>
            <w:vAlign w:val="center"/>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P</w:t>
            </w:r>
            <w:r>
              <w:rPr>
                <w:rFonts w:cs="Arial"/>
                <w:bCs/>
                <w:vertAlign w:val="subscript"/>
              </w:rPr>
              <w:t>Interferer 1</w:t>
            </w:r>
          </w:p>
          <w:p>
            <w:pPr>
              <w:pStyle w:val="103"/>
              <w:rPr>
                <w:rFonts w:cs="Arial"/>
                <w:bCs/>
                <w:vertAlign w:val="subscript"/>
              </w:rPr>
            </w:pPr>
            <w:r>
              <w:rPr>
                <w:rFonts w:cs="Arial"/>
                <w:bCs/>
              </w:rPr>
              <w:t>(CW)</w:t>
            </w:r>
          </w:p>
        </w:tc>
        <w:tc>
          <w:tcPr>
            <w:tcW w:w="809" w:type="dxa"/>
          </w:tcPr>
          <w:p>
            <w:pPr>
              <w:pStyle w:val="105"/>
              <w:rPr>
                <w:rFonts w:cs="Arial"/>
              </w:rPr>
            </w:pPr>
            <w:r>
              <w:rPr>
                <w:rFonts w:cs="Arial"/>
              </w:rPr>
              <w:t>dBm</w:t>
            </w:r>
          </w:p>
        </w:tc>
        <w:tc>
          <w:tcPr>
            <w:tcW w:w="6379" w:type="dxa"/>
            <w:vAlign w:val="center"/>
          </w:tcPr>
          <w:p>
            <w:pPr>
              <w:pStyle w:val="105"/>
              <w:rPr>
                <w:rFonts w:cs="Arial"/>
              </w:rPr>
            </w:pPr>
            <w:r>
              <w:rPr>
                <w:rFonts w:cs="Arial"/>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P</w:t>
            </w:r>
            <w:r>
              <w:rPr>
                <w:rFonts w:cs="Arial"/>
                <w:bCs/>
                <w:vertAlign w:val="subscript"/>
              </w:rPr>
              <w:t>Interferer 2</w:t>
            </w:r>
          </w:p>
          <w:p>
            <w:pPr>
              <w:pStyle w:val="103"/>
              <w:rPr>
                <w:rFonts w:cs="Arial"/>
                <w:bCs/>
              </w:rPr>
            </w:pPr>
            <w:r>
              <w:rPr>
                <w:rFonts w:cs="Arial"/>
                <w:bCs/>
              </w:rPr>
              <w:t>(Modulated)</w:t>
            </w:r>
          </w:p>
        </w:tc>
        <w:tc>
          <w:tcPr>
            <w:tcW w:w="809" w:type="dxa"/>
          </w:tcPr>
          <w:p>
            <w:pPr>
              <w:pStyle w:val="105"/>
              <w:rPr>
                <w:rFonts w:cs="Arial"/>
              </w:rPr>
            </w:pPr>
            <w:r>
              <w:rPr>
                <w:rFonts w:cs="Arial"/>
              </w:rPr>
              <w:t>dBm</w:t>
            </w:r>
          </w:p>
        </w:tc>
        <w:tc>
          <w:tcPr>
            <w:tcW w:w="6379" w:type="dxa"/>
            <w:vAlign w:val="center"/>
          </w:tcPr>
          <w:p>
            <w:pPr>
              <w:pStyle w:val="105"/>
              <w:rPr>
                <w:rFonts w:cs="Arial"/>
              </w:rPr>
            </w:pPr>
            <w:r>
              <w:rPr>
                <w:rFonts w:cs="Arial"/>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BW</w:t>
            </w:r>
            <w:r>
              <w:rPr>
                <w:rFonts w:cs="Arial"/>
                <w:bCs/>
                <w:vertAlign w:val="subscript"/>
              </w:rPr>
              <w:t>Interferer 2</w:t>
            </w:r>
          </w:p>
        </w:tc>
        <w:tc>
          <w:tcPr>
            <w:tcW w:w="809" w:type="dxa"/>
          </w:tcPr>
          <w:p>
            <w:pPr>
              <w:pStyle w:val="105"/>
              <w:rPr>
                <w:rFonts w:cs="Arial"/>
              </w:rPr>
            </w:pPr>
          </w:p>
        </w:tc>
        <w:tc>
          <w:tcPr>
            <w:tcW w:w="6379" w:type="dxa"/>
            <w:vAlign w:val="center"/>
          </w:tcPr>
          <w:p>
            <w:pPr>
              <w:pStyle w:val="105"/>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F</w:t>
            </w:r>
            <w:r>
              <w:rPr>
                <w:rFonts w:cs="Arial"/>
                <w:bCs/>
                <w:vertAlign w:val="subscript"/>
              </w:rPr>
              <w:t>Interferer 1</w:t>
            </w:r>
          </w:p>
          <w:p>
            <w:pPr>
              <w:pStyle w:val="103"/>
              <w:rPr>
                <w:rFonts w:cs="Arial"/>
                <w:i/>
              </w:rPr>
            </w:pPr>
            <w:r>
              <w:rPr>
                <w:rFonts w:cs="Arial"/>
                <w:bCs/>
              </w:rPr>
              <w:t>(Offset)</w:t>
            </w:r>
          </w:p>
        </w:tc>
        <w:tc>
          <w:tcPr>
            <w:tcW w:w="809" w:type="dxa"/>
          </w:tcPr>
          <w:p>
            <w:pPr>
              <w:pStyle w:val="105"/>
              <w:rPr>
                <w:rFonts w:cs="Arial"/>
              </w:rPr>
            </w:pPr>
            <w:r>
              <w:rPr>
                <w:rFonts w:cs="Arial"/>
              </w:rPr>
              <w:t>MHz</w:t>
            </w:r>
          </w:p>
        </w:tc>
        <w:tc>
          <w:tcPr>
            <w:tcW w:w="6379" w:type="dxa"/>
            <w:vAlign w:val="bottom"/>
          </w:tcPr>
          <w:p>
            <w:pPr>
              <w:pStyle w:val="105"/>
              <w:rPr>
                <w:rFonts w:cs="Arial"/>
              </w:rPr>
            </w:pPr>
            <w:r>
              <w:rPr>
                <w:rFonts w:cs="Arial"/>
              </w:rPr>
              <w:t>-BW/2 –2.1</w:t>
            </w:r>
          </w:p>
          <w:p>
            <w:pPr>
              <w:pStyle w:val="105"/>
              <w:rPr>
                <w:rFonts w:cs="Arial"/>
              </w:rPr>
            </w:pPr>
            <w:r>
              <w:rPr>
                <w:rFonts w:cs="Arial"/>
              </w:rPr>
              <w:t>/</w:t>
            </w:r>
          </w:p>
          <w:p>
            <w:pPr>
              <w:pStyle w:val="105"/>
              <w:rPr>
                <w:rFonts w:cs="Arial"/>
              </w:rPr>
            </w:pPr>
            <w:r>
              <w:rPr>
                <w:rFonts w:cs="Arial"/>
              </w:rPr>
              <w:t>+BW/2+ 2.1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F</w:t>
            </w:r>
            <w:r>
              <w:rPr>
                <w:rFonts w:cs="Arial"/>
                <w:bCs/>
                <w:vertAlign w:val="subscript"/>
              </w:rPr>
              <w:t>Interferer 2</w:t>
            </w:r>
          </w:p>
          <w:p>
            <w:pPr>
              <w:pStyle w:val="103"/>
              <w:rPr>
                <w:rFonts w:cs="Arial"/>
                <w:bCs/>
              </w:rPr>
            </w:pPr>
            <w:r>
              <w:rPr>
                <w:rFonts w:cs="Arial"/>
                <w:bCs/>
              </w:rPr>
              <w:t>(Offset)</w:t>
            </w:r>
          </w:p>
        </w:tc>
        <w:tc>
          <w:tcPr>
            <w:tcW w:w="809" w:type="dxa"/>
          </w:tcPr>
          <w:p>
            <w:pPr>
              <w:pStyle w:val="105"/>
              <w:rPr>
                <w:rFonts w:cs="Arial"/>
              </w:rPr>
            </w:pPr>
            <w:r>
              <w:rPr>
                <w:rFonts w:cs="Arial"/>
              </w:rPr>
              <w:t>MHz</w:t>
            </w:r>
          </w:p>
        </w:tc>
        <w:tc>
          <w:tcPr>
            <w:tcW w:w="6379" w:type="dxa"/>
            <w:vAlign w:val="center"/>
          </w:tcPr>
          <w:p>
            <w:pPr>
              <w:pStyle w:val="105"/>
              <w:rPr>
                <w:rFonts w:cs="Arial"/>
              </w:rPr>
            </w:pPr>
            <w:r>
              <w:rPr>
                <w:rFonts w:cs="Arial"/>
                <w:bCs/>
              </w:rPr>
              <w:t>2*F</w:t>
            </w:r>
            <w:r>
              <w:rPr>
                <w:rFonts w:cs="Arial"/>
                <w:bCs/>
                <w:vertAlign w:val="subscript"/>
              </w:rPr>
              <w:t>Interferer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851" w:type="dxa"/>
            <w:gridSpan w:val="3"/>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Reference measurement channel is specified in Annex A.3.2 with </w:t>
            </w:r>
            <w:r>
              <w:rPr>
                <w:rFonts w:cs="Arial"/>
              </w:rPr>
              <w:t>one sided dynamic OCNG Pattern OP.1 FDD as described in Annex A.5.1.1</w:t>
            </w:r>
            <w:r>
              <w:rPr>
                <w:rFonts w:eastAsia="MS Mincho" w:cs="Arial"/>
              </w:rPr>
              <w:t>.</w:t>
            </w:r>
          </w:p>
          <w:p>
            <w:pPr>
              <w:pStyle w:val="118"/>
              <w:rPr>
                <w:rFonts w:eastAsia="MS Mincho" w:cs="Arial"/>
              </w:rPr>
            </w:pPr>
            <w:r>
              <w:rPr>
                <w:rFonts w:eastAsia="MS Mincho" w:cs="Arial"/>
              </w:rPr>
              <w:t>NOTE 3:</w:t>
            </w:r>
            <w:r>
              <w:rPr>
                <w:rFonts w:eastAsia="MS Mincho" w:cs="Arial"/>
              </w:rPr>
              <w:tab/>
            </w:r>
            <w:r>
              <w:rPr>
                <w:rFonts w:eastAsia="MS Mincho" w:cs="Arial"/>
              </w:rPr>
              <w:t xml:space="preserve">The modulated interferer consists of the Reference measurement channel specified in Annex A.3.2 with </w:t>
            </w:r>
            <w:r>
              <w:rPr>
                <w:rFonts w:cs="Arial"/>
              </w:rPr>
              <w:t xml:space="preserve">one sided dynamic OCNG Pattern OP.1 FDD as described in Annex A.5.1.1 </w:t>
            </w:r>
            <w:r>
              <w:rPr>
                <w:rFonts w:eastAsia="MS Mincho" w:cs="Arial"/>
              </w:rPr>
              <w:t>with set-up according to Annex C.3.1.</w:t>
            </w:r>
          </w:p>
          <w:p>
            <w:pPr>
              <w:pStyle w:val="118"/>
              <w:rPr>
                <w:rFonts w:eastAsia="MS Mincho" w:cs="Arial"/>
              </w:rPr>
            </w:pPr>
            <w:r>
              <w:rPr>
                <w:rFonts w:eastAsia="MS Mincho" w:cs="Arial"/>
              </w:rPr>
              <w:t>NOTE 4:</w:t>
            </w:r>
            <w:r>
              <w:rPr>
                <w:rFonts w:eastAsia="MS Mincho" w:cs="Arial"/>
              </w:rPr>
              <w:tab/>
            </w:r>
            <w:r>
              <w:rPr>
                <w:rFonts w:eastAsia="MS Mincho" w:cs="Arial"/>
              </w:rPr>
              <w:t>For DL category M1 UE, the reference sensitivity for category M1 in Table 7.3A.3-1 should be used as REFSENS for the power in Transmission Bandwidth Configuration.</w:t>
            </w:r>
          </w:p>
          <w:p>
            <w:pPr>
              <w:pStyle w:val="118"/>
              <w:rPr>
                <w:rFonts w:eastAsia="MS Mincho" w:cs="Arial"/>
              </w:rPr>
            </w:pPr>
            <w:r>
              <w:rPr>
                <w:rFonts w:eastAsia="MS Mincho" w:cs="Arial"/>
              </w:rPr>
              <w:t>NOTE 5:</w:t>
            </w:r>
            <w:r>
              <w:rPr>
                <w:rFonts w:eastAsia="MS Mincho" w:cs="Arial"/>
              </w:rPr>
              <w:tab/>
            </w:r>
            <w:r>
              <w:rPr>
                <w:rFonts w:cs="Arial"/>
              </w:rPr>
              <w:t>For DL category M1 UE, the parameters for the applicable channel bandwidth apply, and BW refers to the corresponding channel bandwidth.</w:t>
            </w:r>
          </w:p>
        </w:tc>
      </w:tr>
    </w:tbl>
    <w:p>
      <w:pPr>
        <w:rPr>
          <w:lang w:eastAsia="zh-TW"/>
        </w:rPr>
      </w:pPr>
    </w:p>
    <w:p>
      <w:pPr>
        <w:pStyle w:val="4"/>
        <w:rPr>
          <w:lang w:eastAsia="zh-CN"/>
        </w:rPr>
      </w:pPr>
      <w:bookmarkStart w:id="1436" w:name="_Toc23435"/>
      <w:bookmarkStart w:id="1437" w:name="_Toc24993"/>
      <w:bookmarkStart w:id="1438" w:name="_Toc18848"/>
      <w:bookmarkStart w:id="1439" w:name="_Toc30362"/>
      <w:bookmarkStart w:id="1440" w:name="_Toc28688"/>
      <w:bookmarkStart w:id="1441" w:name="_Toc28333"/>
      <w:r>
        <w:t>7.8</w:t>
      </w:r>
      <w:r>
        <w:rPr>
          <w:rFonts w:eastAsia="宋体"/>
          <w:lang w:eastAsia="zh-CN"/>
        </w:rPr>
        <w:t>B</w:t>
      </w:r>
      <w:r>
        <w:tab/>
      </w:r>
      <w:r>
        <w:t>Intermodulation</w:t>
      </w:r>
      <w:r>
        <w:rPr>
          <w:rFonts w:eastAsia="宋体"/>
          <w:lang w:eastAsia="zh-CN"/>
        </w:rPr>
        <w:t xml:space="preserve"> characteristics for category </w:t>
      </w:r>
      <w:r>
        <w:rPr>
          <w:lang w:eastAsia="zh-CN"/>
        </w:rPr>
        <w:t>NB1 and NB2</w:t>
      </w:r>
      <w:bookmarkEnd w:id="1436"/>
      <w:bookmarkEnd w:id="1437"/>
      <w:bookmarkEnd w:id="1438"/>
      <w:bookmarkEnd w:id="1439"/>
    </w:p>
    <w:p>
      <w:pPr>
        <w:pStyle w:val="112"/>
        <w:rPr>
          <w:i w:val="0"/>
          <w:iCs w:val="0"/>
          <w:lang w:val="en-GB"/>
        </w:rPr>
      </w:pPr>
      <w:r>
        <w:t>Editor’s Note: Addition to applicability spec is pending.</w:t>
      </w:r>
    </w:p>
    <w:p>
      <w:pPr>
        <w:pStyle w:val="9"/>
      </w:pPr>
      <w:r>
        <w:t>7.8B.1</w:t>
      </w:r>
      <w:r>
        <w:tab/>
      </w:r>
      <w:r>
        <w:t>Test purpose</w:t>
      </w:r>
    </w:p>
    <w:p>
      <w:r>
        <w:rPr>
          <w:rFonts w:cs="v5.0.0"/>
        </w:rPr>
        <w:t xml:space="preserve">Intermodulation response </w:t>
      </w:r>
      <w:r>
        <w:t xml:space="preserve">tests the UE's ability to receive data with a given average throughput for a specified reference measurement channel, in the presence of </w:t>
      </w:r>
      <w:r>
        <w:rPr>
          <w:rFonts w:cs="v5.0.0"/>
        </w:rPr>
        <w:t>two or more interfering signals which have a specific frequency relationship to the wanted signa</w:t>
      </w:r>
      <w:r>
        <w:t>l, under conditions of ideal propagation and no added noise.</w:t>
      </w:r>
    </w:p>
    <w:p>
      <w:pPr>
        <w:rPr>
          <w:rFonts w:cs="v5.0.0"/>
        </w:rPr>
      </w:pPr>
      <w:r>
        <w:t>A UE unable to meet the throughput requirement under these conditions will decrease the coverage area when two or more interfering signals exist which have a specific frequency relationship to the wanted signal.</w:t>
      </w:r>
    </w:p>
    <w:p>
      <w:pPr>
        <w:pStyle w:val="9"/>
      </w:pPr>
      <w:r>
        <w:t>7.8B.2</w:t>
      </w:r>
      <w:r>
        <w:tab/>
      </w:r>
      <w:r>
        <w:t>Test applicability</w:t>
      </w:r>
    </w:p>
    <w:p>
      <w:r>
        <w:t>This test case applies to all types of E-UTRA UE release 17 and forward of category</w:t>
      </w:r>
      <w:r>
        <w:rPr>
          <w:lang w:eastAsia="zh-TW"/>
        </w:rPr>
        <w:t xml:space="preserve"> NB1 and</w:t>
      </w:r>
      <w:r>
        <w:t xml:space="preserve"> NB2</w:t>
      </w:r>
      <w:r>
        <w:rPr>
          <w:rFonts w:ascii="宋体" w:hAnsi="宋体" w:cs="宋体"/>
          <w:lang w:eastAsia="zh-TW"/>
        </w:rPr>
        <w:t xml:space="preserve"> </w:t>
      </w:r>
      <w:r>
        <w:t>that support satellite access operation.</w:t>
      </w:r>
    </w:p>
    <w:p>
      <w:pPr>
        <w:pStyle w:val="9"/>
      </w:pPr>
      <w:r>
        <w:t>7.8B.3</w:t>
      </w:r>
      <w:r>
        <w:tab/>
      </w:r>
      <w:r>
        <w:t>Minimum conformance requirements</w:t>
      </w:r>
    </w:p>
    <w:p>
      <w:pPr>
        <w:rPr>
          <w:rFonts w:eastAsia="MS Mincho"/>
        </w:rPr>
      </w:pPr>
      <w:r>
        <w:t xml:space="preserve">The throughput shall be ≥ 95% of the maximum throughput of the reference measurement channel as specified in Annex A.3.2 with parameters specified in Table 7.8B.3-1 for the specified wanted signal mean power in the </w:t>
      </w:r>
      <w:r>
        <w:rPr>
          <w:rFonts w:eastAsia="MS Mincho"/>
        </w:rPr>
        <w:t>presence of two interfering signals.</w:t>
      </w:r>
    </w:p>
    <w:p>
      <w:pPr>
        <w:pStyle w:val="113"/>
      </w:pPr>
      <w:r>
        <w:t>Table 7.8B.3-1: Wide band intermodulation for category NB1 and NB2</w:t>
      </w:r>
    </w:p>
    <w:tbl>
      <w:tblPr>
        <w:tblStyle w:val="89"/>
        <w:tblW w:w="0" w:type="auto"/>
        <w:jc w:val="center"/>
        <w:tblLayout w:type="autofit"/>
        <w:tblCellMar>
          <w:top w:w="0" w:type="dxa"/>
          <w:left w:w="108" w:type="dxa"/>
          <w:bottom w:w="0" w:type="dxa"/>
          <w:right w:w="108" w:type="dxa"/>
        </w:tblCellMar>
      </w:tblPr>
      <w:tblGrid>
        <w:gridCol w:w="3438"/>
        <w:gridCol w:w="1742"/>
      </w:tblGrid>
      <w:tr>
        <w:tblPrEx>
          <w:tblCellMar>
            <w:top w:w="0" w:type="dxa"/>
            <w:left w:w="108" w:type="dxa"/>
            <w:bottom w:w="0" w:type="dxa"/>
            <w:right w:w="108" w:type="dxa"/>
          </w:tblCellMar>
        </w:tblPrEx>
        <w:trPr>
          <w:trHeight w:val="288"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rPr>
                <w:rFonts w:cs="Arial"/>
              </w:rPr>
            </w:pPr>
            <w:r>
              <w:rPr>
                <w:rFonts w:cs="Arial"/>
              </w:rPr>
              <w:t>Parameters for wideband intermodulation</w:t>
            </w:r>
          </w:p>
        </w:tc>
      </w:tr>
      <w:tr>
        <w:tblPrEx>
          <w:tblCellMar>
            <w:top w:w="0" w:type="dxa"/>
            <w:left w:w="108" w:type="dxa"/>
            <w:bottom w:w="0" w:type="dxa"/>
            <w:right w:w="108" w:type="dxa"/>
          </w:tblCellMar>
        </w:tblPrEx>
        <w:trPr>
          <w:trHeight w:val="288"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eastAsia="MS Mincho" w:cs="Arial"/>
                <w:bCs/>
              </w:rPr>
              <w:t xml:space="preserve">Category NB1 or NB2 </w:t>
            </w:r>
            <w:r>
              <w:rPr>
                <w:rFonts w:cs="Arial"/>
              </w:rPr>
              <w:t>Signal power</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REFSENS + 12 dB</w:t>
            </w:r>
          </w:p>
        </w:tc>
      </w:tr>
      <w:tr>
        <w:tblPrEx>
          <w:tblCellMar>
            <w:top w:w="0" w:type="dxa"/>
            <w:left w:w="108" w:type="dxa"/>
            <w:bottom w:w="0" w:type="dxa"/>
            <w:right w:w="108" w:type="dxa"/>
          </w:tblCellMar>
        </w:tblPrEx>
        <w:trPr>
          <w:trHeight w:val="28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CW interferer signal power</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- 46 dBm</w:t>
            </w:r>
          </w:p>
        </w:tc>
      </w:tr>
      <w:tr>
        <w:tblPrEx>
          <w:tblCellMar>
            <w:top w:w="0" w:type="dxa"/>
            <w:left w:w="108" w:type="dxa"/>
            <w:bottom w:w="0" w:type="dxa"/>
            <w:right w:w="108" w:type="dxa"/>
          </w:tblCellMar>
        </w:tblPrEx>
        <w:trPr>
          <w:trHeight w:val="28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1.4 MHz E-UTRA interferer signal power</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- 46 dBm</w:t>
            </w:r>
          </w:p>
        </w:tc>
      </w:tr>
      <w:tr>
        <w:tblPrEx>
          <w:tblCellMar>
            <w:top w:w="0" w:type="dxa"/>
            <w:left w:w="108" w:type="dxa"/>
            <w:bottom w:w="0" w:type="dxa"/>
            <w:right w:w="108" w:type="dxa"/>
          </w:tblCellMar>
        </w:tblPrEx>
        <w:trPr>
          <w:trHeight w:val="28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CW interferer offset</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 2.2 MHz</w:t>
            </w:r>
          </w:p>
        </w:tc>
      </w:tr>
      <w:tr>
        <w:tblPrEx>
          <w:tblCellMar>
            <w:top w:w="0" w:type="dxa"/>
            <w:left w:w="108" w:type="dxa"/>
            <w:bottom w:w="0" w:type="dxa"/>
            <w:right w:w="108" w:type="dxa"/>
          </w:tblCellMar>
        </w:tblPrEx>
        <w:trPr>
          <w:trHeight w:val="28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1.4 MHz E-UTRA interferer</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 4.4 MHz</w:t>
            </w:r>
          </w:p>
        </w:tc>
      </w:tr>
    </w:tbl>
    <w:p/>
    <w:p>
      <w:r>
        <w:t>The normative reference for this requirement is TS 36.102 [11] clause 7.8B.</w:t>
      </w:r>
    </w:p>
    <w:p>
      <w:pPr>
        <w:pStyle w:val="9"/>
      </w:pPr>
      <w:r>
        <w:t>7.8B.4</w:t>
      </w:r>
      <w:r>
        <w:tab/>
      </w:r>
      <w:r>
        <w:t>Test description</w:t>
      </w:r>
    </w:p>
    <w:p>
      <w:pPr>
        <w:pStyle w:val="9"/>
      </w:pPr>
      <w:r>
        <w:t>7.8B.4.1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7.8B.4.1-1. The details of the downlink reference measurement channels (RMCs) are specified in Annex A.3. Configurations of NPDSCH and NPDCCH before measurement are specified in Annex C.2.</w:t>
      </w:r>
    </w:p>
    <w:p>
      <w:pPr>
        <w:pStyle w:val="113"/>
      </w:pPr>
      <w:r>
        <w:t>Table 7.8B.4.1-1: Test Configuration 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214"/>
        <w:gridCol w:w="130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 xml:space="preserve">Test Environment as specified in TS 36.508 [12] clause 8.1.1 </w:t>
            </w:r>
          </w:p>
        </w:tc>
        <w:tc>
          <w:tcPr>
            <w:tcW w:w="4497" w:type="dxa"/>
            <w:gridSpan w:val="3"/>
          </w:tcPr>
          <w:p>
            <w:pPr>
              <w:pStyle w:val="103"/>
            </w:pPr>
            <w:r>
              <w:t>N</w:t>
            </w:r>
            <w:r>
              <w:rPr>
                <w:rFonts w:hint="eastAsia"/>
              </w:rPr>
              <w:t>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 xml:space="preserve">Test Frequencies as specified in TS36.508 [12] clause 8.1.3.1 </w:t>
            </w:r>
          </w:p>
        </w:tc>
        <w:tc>
          <w:tcPr>
            <w:tcW w:w="4497" w:type="dxa"/>
            <w:gridSpan w:val="3"/>
          </w:tcPr>
          <w:p>
            <w:pPr>
              <w:pStyle w:val="103"/>
            </w:pPr>
            <w:r>
              <w:t xml:space="preserve">Frequency ranges defined in Annex K.1.1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214" w:type="dxa"/>
          </w:tcPr>
          <w:p>
            <w:pPr>
              <w:pStyle w:val="105"/>
            </w:pPr>
            <w:r>
              <w:t>Modulation</w:t>
            </w:r>
          </w:p>
        </w:tc>
        <w:tc>
          <w:tcPr>
            <w:tcW w:w="1304" w:type="dxa"/>
          </w:tcPr>
          <w:p>
            <w:pPr>
              <w:pStyle w:val="105"/>
            </w:pPr>
            <w:r>
              <w:rPr>
                <w:rFonts w:cs="Arial"/>
              </w:rPr>
              <w:t>Subcarriers</w:t>
            </w:r>
          </w:p>
        </w:tc>
        <w:tc>
          <w:tcPr>
            <w:tcW w:w="2139" w:type="dxa"/>
          </w:tcPr>
          <w:p>
            <w:pPr>
              <w:pStyle w:val="105"/>
            </w:pPr>
            <w:r>
              <w:t>Modulation</w:t>
            </w:r>
          </w:p>
        </w:tc>
        <w:tc>
          <w:tcPr>
            <w:tcW w:w="1164" w:type="dxa"/>
          </w:tcPr>
          <w:p>
            <w:pPr>
              <w:pStyle w:val="105"/>
            </w:pPr>
            <w:r>
              <w:t>N</w:t>
            </w:r>
            <w:r>
              <w:rPr>
                <w:vertAlign w:val="subscript"/>
              </w:rPr>
              <w:t>tones</w:t>
            </w:r>
          </w:p>
        </w:tc>
        <w:tc>
          <w:tcPr>
            <w:tcW w:w="1194" w:type="dxa"/>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1214" w:type="dxa"/>
          </w:tcPr>
          <w:p>
            <w:pPr>
              <w:pStyle w:val="105"/>
              <w:rPr>
                <w:lang w:eastAsia="ko-KR"/>
              </w:rPr>
            </w:pPr>
            <w:r>
              <w:rPr>
                <w:lang w:eastAsia="ko-KR"/>
              </w:rPr>
              <w:t>QPSK</w:t>
            </w:r>
          </w:p>
        </w:tc>
        <w:tc>
          <w:tcPr>
            <w:tcW w:w="1304" w:type="dxa"/>
          </w:tcPr>
          <w:p>
            <w:pPr>
              <w:pStyle w:val="105"/>
              <w:rPr>
                <w:lang w:eastAsia="ko-KR"/>
              </w:rPr>
            </w:pPr>
            <w:r>
              <w:rPr>
                <w:lang w:eastAsia="ko-KR"/>
              </w:rPr>
              <w:t>12</w:t>
            </w:r>
          </w:p>
        </w:tc>
        <w:tc>
          <w:tcPr>
            <w:tcW w:w="2139" w:type="dxa"/>
          </w:tcPr>
          <w:p>
            <w:pPr>
              <w:pStyle w:val="105"/>
            </w:pPr>
            <w:r>
              <w:t>BPSK</w:t>
            </w:r>
          </w:p>
        </w:tc>
        <w:tc>
          <w:tcPr>
            <w:tcW w:w="1164" w:type="dxa"/>
          </w:tcPr>
          <w:p>
            <w:pPr>
              <w:pStyle w:val="105"/>
            </w:pPr>
            <w:r>
              <w:t>1@0</w:t>
            </w:r>
          </w:p>
        </w:tc>
        <w:tc>
          <w:tcPr>
            <w:tcW w:w="1194" w:type="dxa"/>
          </w:tcPr>
          <w:p>
            <w:pPr>
              <w:pStyle w:val="105"/>
            </w:pPr>
            <w:r>
              <w:t>15 kHz</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 as shown in TS 36.508 [12] Annex A, Figure A.6 using only the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 xml:space="preserve">The parameter settings for the cell are set up according to TS 36.508 [12] subclause 8.1.4.3 </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C.2, and NPUSCH Format 2 is used to carry ACK/NACK on the uplink.</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 is set according to Table 7.8B.4.1-1.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hint="eastAsia" w:eastAsia="Malgun Gothic"/>
        </w:rPr>
        <w:t>6.</w:t>
      </w:r>
      <w:r>
        <w:rPr>
          <w:rFonts w:hint="eastAsia" w:eastAsia="Malgun Gothic"/>
          <w:lang w:val="en-GB" w:eastAsia="en-US"/>
        </w:rPr>
        <w:tab/>
      </w:r>
      <w:r>
        <w:rPr>
          <w:rFonts w:hint="eastAsia" w:eastAsia="Malgun Gothic"/>
        </w:rPr>
        <w:t>UE location according to TS 36.508 [12] clause 8.2.6.1 is provided to the UE through any preconfigured means.</w:t>
      </w:r>
    </w:p>
    <w:p>
      <w:pPr>
        <w:pStyle w:val="111"/>
        <w:overflowPunct w:val="0"/>
        <w:autoSpaceDE w:val="0"/>
        <w:autoSpaceDN w:val="0"/>
        <w:adjustRightInd w:val="0"/>
        <w:contextualSpacing w:val="0"/>
        <w:textAlignment w:val="baseline"/>
        <w:rPr>
          <w:rFonts w:eastAsia="Malgun Gothic"/>
        </w:rPr>
      </w:pPr>
      <w:r>
        <w:rPr>
          <w:rFonts w:hint="eastAsia" w:eastAsia="Malgun Gothic"/>
        </w:rPr>
        <w:t>7.</w:t>
      </w:r>
      <w:r>
        <w:rPr>
          <w:rFonts w:hint="eastAsia" w:eastAsia="Malgun Gothic"/>
          <w:lang w:val="en-GB" w:eastAsia="en-US"/>
        </w:rPr>
        <w:tab/>
      </w:r>
      <w:r>
        <w:rPr>
          <w:rFonts w:hint="eastAsia" w:eastAsia="Malgun Gothic"/>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pPr>
        <w:pStyle w:val="111"/>
        <w:overflowPunct w:val="0"/>
        <w:autoSpaceDE w:val="0"/>
        <w:autoSpaceDN w:val="0"/>
        <w:adjustRightInd w:val="0"/>
        <w:contextualSpacing w:val="0"/>
        <w:textAlignment w:val="baseline"/>
        <w:rPr>
          <w:rFonts w:eastAsia="Malgun Gothic"/>
        </w:rPr>
      </w:pPr>
      <w:r>
        <w:rPr>
          <w:rFonts w:hint="eastAsia" w:eastAsia="Malgun Gothic"/>
        </w:rPr>
        <w:t>8.</w:t>
      </w:r>
      <w:r>
        <w:rPr>
          <w:rFonts w:hint="eastAsia" w:eastAsia="Malgun Gothic"/>
          <w:lang w:val="en-GB" w:eastAsia="en-US"/>
        </w:rPr>
        <w:tab/>
      </w:r>
      <w:r>
        <w:rPr>
          <w:rFonts w:hint="eastAsia" w:eastAsia="Malgun Gothic"/>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hint="eastAsia" w:eastAsia="Malgun Gothic"/>
        </w:rPr>
        <w:t>.</w:t>
      </w:r>
      <w:r>
        <w:rPr>
          <w:rFonts w:hint="eastAsia" w:eastAsia="Malgun Gothic"/>
        </w:rPr>
        <w:tab/>
      </w:r>
      <w:r>
        <w:rPr>
          <w:rFonts w:eastAsia="Malgun Gothic"/>
        </w:rPr>
        <w:t>Ensure the UE is in State 2A-NB with CP CIoT Optimisation according to TS 36.508 [12] clause 8.1.5. Message contents are defined in clause 7.8B.4.3.</w:t>
      </w:r>
    </w:p>
    <w:p>
      <w:pPr>
        <w:pStyle w:val="9"/>
      </w:pPr>
      <w:r>
        <w:t>7.8B.4.2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 7.8B.4.1-1.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rPr>
          <w:rFonts w:eastAsia="Malgun Gothic" w:cs="Times New Roman"/>
        </w:rPr>
      </w:pPr>
      <w:r>
        <w:rPr>
          <w:rFonts w:eastAsia="Malgun Gothic"/>
        </w:rPr>
        <w:t>2.</w:t>
      </w:r>
      <w:r>
        <w:rPr>
          <w:rFonts w:eastAsia="Malgun Gothic"/>
        </w:rPr>
        <w:tab/>
      </w:r>
      <w:r>
        <w:rPr>
          <w:rFonts w:eastAsia="Malgun Gothic"/>
        </w:rPr>
        <w:t>Set the Downlink signal level according to the Table 7.8B.5-1</w:t>
      </w:r>
      <w:r>
        <w:rPr>
          <w:rFonts w:eastAsia="Malgun Gothic" w:cs="Times New Roman"/>
        </w:rPr>
        <w:t>.</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 xml:space="preserve">Set the Interfering signal levels to the values as defined in Table 7.8B.5-1 and frequency below the wanted signal, using a modulated interferer bandwidth as defined in Annex D of the present document. </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Repeat steps from 2 to 4, using an interfering signal above the wanted signal at step 3.</w:t>
      </w:r>
    </w:p>
    <w:p>
      <w:pPr>
        <w:pStyle w:val="9"/>
      </w:pPr>
      <w:r>
        <w:t>7.8B.4.3</w:t>
      </w:r>
      <w:r>
        <w:tab/>
      </w:r>
      <w:r>
        <w:rPr>
          <w:snapToGrid w:val="0"/>
        </w:rPr>
        <w:t>Message contents</w:t>
      </w:r>
    </w:p>
    <w:p>
      <w:r>
        <w:t>Message contents are according to TS 36.508 [12] clause 8.1.6.</w:t>
      </w:r>
    </w:p>
    <w:p>
      <w:pPr>
        <w:pStyle w:val="9"/>
      </w:pPr>
      <w:r>
        <w:t>7.8B.5</w:t>
      </w:r>
      <w:r>
        <w:tab/>
      </w:r>
      <w:r>
        <w:t>Test requirements</w:t>
      </w:r>
    </w:p>
    <w:p>
      <w:r>
        <w:t>The throughput shall be ≥ 95% of the maximum throughput of the reference measurement channels as specified in Annex A.3.2 with parameters specified in Table 7.8B.5-1 for the specified wanted signal mean power in the presence of two interfering signals.</w:t>
      </w:r>
    </w:p>
    <w:p>
      <w:pPr>
        <w:pStyle w:val="113"/>
      </w:pPr>
      <w:r>
        <w:t>Table 7.8B.5-1: Test parameters for Wide band intermodulation for category NB1 and NB2</w:t>
      </w:r>
    </w:p>
    <w:tbl>
      <w:tblPr>
        <w:tblStyle w:val="89"/>
        <w:tblW w:w="0" w:type="auto"/>
        <w:jc w:val="center"/>
        <w:tblLayout w:type="autofit"/>
        <w:tblCellMar>
          <w:top w:w="0" w:type="dxa"/>
          <w:left w:w="108" w:type="dxa"/>
          <w:bottom w:w="0" w:type="dxa"/>
          <w:right w:w="108" w:type="dxa"/>
        </w:tblCellMar>
      </w:tblPr>
      <w:tblGrid>
        <w:gridCol w:w="3438"/>
        <w:gridCol w:w="1947"/>
      </w:tblGrid>
      <w:tr>
        <w:tblPrEx>
          <w:tblCellMar>
            <w:top w:w="0" w:type="dxa"/>
            <w:left w:w="108" w:type="dxa"/>
            <w:bottom w:w="0" w:type="dxa"/>
            <w:right w:w="108" w:type="dxa"/>
          </w:tblCellMar>
        </w:tblPrEx>
        <w:trPr>
          <w:trHeight w:val="288"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rPr>
                <w:rFonts w:cs="Arial"/>
              </w:rPr>
            </w:pPr>
            <w:r>
              <w:rPr>
                <w:rFonts w:cs="Arial"/>
              </w:rPr>
              <w:t>Parameters for wideband intermodulation</w:t>
            </w:r>
          </w:p>
        </w:tc>
      </w:tr>
      <w:tr>
        <w:tblPrEx>
          <w:tblCellMar>
            <w:top w:w="0" w:type="dxa"/>
            <w:left w:w="108" w:type="dxa"/>
            <w:bottom w:w="0" w:type="dxa"/>
            <w:right w:w="108" w:type="dxa"/>
          </w:tblCellMar>
        </w:tblPrEx>
        <w:trPr>
          <w:trHeight w:val="288"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eastAsia="MS Mincho" w:cs="Arial"/>
                <w:bCs/>
              </w:rPr>
              <w:t xml:space="preserve">Category NB1 or NB2 </w:t>
            </w:r>
            <w:r>
              <w:rPr>
                <w:rFonts w:cs="Arial"/>
              </w:rPr>
              <w:t>Signal power</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REFSENS + 12 dB</w:t>
            </w:r>
          </w:p>
        </w:tc>
      </w:tr>
      <w:tr>
        <w:tblPrEx>
          <w:tblCellMar>
            <w:top w:w="0" w:type="dxa"/>
            <w:left w:w="108" w:type="dxa"/>
            <w:bottom w:w="0" w:type="dxa"/>
            <w:right w:w="108" w:type="dxa"/>
          </w:tblCellMar>
        </w:tblPrEx>
        <w:trPr>
          <w:trHeight w:val="28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CW interferer signal power</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- 46 dBm</w:t>
            </w:r>
          </w:p>
        </w:tc>
      </w:tr>
      <w:tr>
        <w:tblPrEx>
          <w:tblCellMar>
            <w:top w:w="0" w:type="dxa"/>
            <w:left w:w="108" w:type="dxa"/>
            <w:bottom w:w="0" w:type="dxa"/>
            <w:right w:w="108" w:type="dxa"/>
          </w:tblCellMar>
        </w:tblPrEx>
        <w:trPr>
          <w:trHeight w:val="28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1.4 MHz E-UTRA interferer signal power</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- 46 dBm</w:t>
            </w:r>
          </w:p>
        </w:tc>
      </w:tr>
      <w:tr>
        <w:tblPrEx>
          <w:tblCellMar>
            <w:top w:w="0" w:type="dxa"/>
            <w:left w:w="108" w:type="dxa"/>
            <w:bottom w:w="0" w:type="dxa"/>
            <w:right w:w="108" w:type="dxa"/>
          </w:tblCellMar>
        </w:tblPrEx>
        <w:trPr>
          <w:trHeight w:val="28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CW interferer offset [MHz]</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eastAsia="MS Mincho" w:cs="Arial"/>
              </w:rPr>
            </w:pPr>
            <w:r>
              <w:rPr>
                <w:rFonts w:cs="Arial"/>
              </w:rPr>
              <w:t xml:space="preserve">-BW/2 </w:t>
            </w:r>
            <w:r>
              <w:rPr>
                <w:rFonts w:eastAsia="MS Mincho" w:cs="Arial"/>
              </w:rPr>
              <w:t>– 2.1</w:t>
            </w:r>
          </w:p>
          <w:p>
            <w:pPr>
              <w:pStyle w:val="105"/>
              <w:rPr>
                <w:rFonts w:eastAsia="MS Mincho" w:cs="Arial"/>
              </w:rPr>
            </w:pPr>
            <w:r>
              <w:rPr>
                <w:rFonts w:eastAsia="MS Mincho" w:cs="Arial"/>
              </w:rPr>
              <w:t>/</w:t>
            </w:r>
          </w:p>
          <w:p>
            <w:pPr>
              <w:pStyle w:val="105"/>
              <w:rPr>
                <w:rFonts w:cs="Arial"/>
              </w:rPr>
            </w:pPr>
            <w:r>
              <w:rPr>
                <w:rFonts w:eastAsia="MS Mincho" w:cs="Arial"/>
              </w:rPr>
              <w:t>+BW/2 + 2.1</w:t>
            </w:r>
          </w:p>
        </w:tc>
      </w:tr>
      <w:tr>
        <w:tblPrEx>
          <w:tblCellMar>
            <w:top w:w="0" w:type="dxa"/>
            <w:left w:w="108" w:type="dxa"/>
            <w:bottom w:w="0" w:type="dxa"/>
            <w:right w:w="108" w:type="dxa"/>
          </w:tblCellMar>
        </w:tblPrEx>
        <w:trPr>
          <w:trHeight w:val="28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1.4 MHz E-UTRA interferer offset [MHz]</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 xml:space="preserve">2*CW interferer offset </w:t>
            </w:r>
          </w:p>
        </w:tc>
      </w:tr>
    </w:tbl>
    <w:p/>
    <w:p>
      <w:pPr>
        <w:pStyle w:val="4"/>
      </w:pPr>
      <w:bookmarkStart w:id="1442" w:name="_Toc6729"/>
      <w:bookmarkStart w:id="1443" w:name="_Toc8648"/>
      <w:bookmarkStart w:id="1444" w:name="_Toc26252"/>
      <w:bookmarkStart w:id="1445" w:name="_Toc368026398"/>
      <w:bookmarkStart w:id="1446" w:name="_Toc8366"/>
      <w:bookmarkStart w:id="1447" w:name="_Toc120570117"/>
      <w:bookmarkStart w:id="1448" w:name="_Toc1656"/>
      <w:bookmarkStart w:id="1449" w:name="_Toc14787"/>
      <w:bookmarkStart w:id="1450" w:name="_Toc111062103"/>
      <w:bookmarkStart w:id="1451" w:name="_Toc121162909"/>
      <w:bookmarkStart w:id="1452" w:name="_Toc3303"/>
      <w:r>
        <w:t>7.9</w:t>
      </w:r>
      <w:r>
        <w:tab/>
      </w:r>
      <w:r>
        <w:t>Spurious emissions</w:t>
      </w:r>
      <w:bookmarkEnd w:id="1442"/>
      <w:bookmarkEnd w:id="1443"/>
      <w:bookmarkEnd w:id="1444"/>
      <w:bookmarkEnd w:id="1445"/>
      <w:bookmarkEnd w:id="1446"/>
      <w:bookmarkEnd w:id="1447"/>
      <w:bookmarkEnd w:id="1448"/>
      <w:bookmarkEnd w:id="1449"/>
      <w:bookmarkEnd w:id="1450"/>
      <w:bookmarkEnd w:id="1451"/>
      <w:bookmarkEnd w:id="1452"/>
    </w:p>
    <w:p/>
    <w:p>
      <w:pPr>
        <w:pStyle w:val="4"/>
      </w:pPr>
      <w:bookmarkStart w:id="1453" w:name="_Toc11908"/>
      <w:bookmarkStart w:id="1454" w:name="_Toc8020"/>
      <w:bookmarkStart w:id="1455" w:name="_Toc25926"/>
      <w:bookmarkStart w:id="1456" w:name="_Toc18561"/>
      <w:r>
        <w:t>7.9A</w:t>
      </w:r>
      <w:r>
        <w:tab/>
      </w:r>
      <w:r>
        <w:t>Spurious emissions for category M1</w:t>
      </w:r>
      <w:bookmarkEnd w:id="1440"/>
      <w:bookmarkEnd w:id="1441"/>
      <w:bookmarkEnd w:id="1453"/>
      <w:bookmarkEnd w:id="1454"/>
      <w:bookmarkEnd w:id="1455"/>
      <w:bookmarkEnd w:id="1456"/>
    </w:p>
    <w:p>
      <w:pPr>
        <w:pStyle w:val="112"/>
        <w:rPr>
          <w:i w:val="0"/>
          <w:iCs w:val="0"/>
          <w:lang w:val="en-GB"/>
        </w:rPr>
      </w:pPr>
      <w:r>
        <w:t>Editor’s Note: Addition to applicability spec is pending.</w:t>
      </w:r>
    </w:p>
    <w:p>
      <w:pPr>
        <w:pStyle w:val="9"/>
      </w:pPr>
      <w:bookmarkStart w:id="1457" w:name="_Toc336589990"/>
      <w:r>
        <w:t>7.9A.1</w:t>
      </w:r>
      <w:r>
        <w:tab/>
      </w:r>
      <w:r>
        <w:t>Test Purpose</w:t>
      </w:r>
      <w:bookmarkEnd w:id="1457"/>
    </w:p>
    <w:p>
      <w:r>
        <w:rPr>
          <w:rFonts w:eastAsia="??" w:cs="v5.0.0"/>
        </w:rPr>
        <w:t>The spurious emissions power is the power of emissions generated or amplified in a receiver that appear at the UE antenna connector.</w:t>
      </w:r>
    </w:p>
    <w:p>
      <w:r>
        <w:t>Test verifies the UE's spurious emissions meet the requirements described in clause 7.9A.3.</w:t>
      </w:r>
    </w:p>
    <w:p>
      <w:r>
        <w:t>Excess spurious emissions increase the interference to other systems.</w:t>
      </w:r>
    </w:p>
    <w:p>
      <w:pPr>
        <w:pStyle w:val="9"/>
      </w:pPr>
      <w:bookmarkStart w:id="1458" w:name="_Toc336589991"/>
      <w:r>
        <w:t>7.9A.2</w:t>
      </w:r>
      <w:r>
        <w:tab/>
      </w:r>
      <w:r>
        <w:t>Test Applicability</w:t>
      </w:r>
      <w:bookmarkEnd w:id="1458"/>
    </w:p>
    <w:p>
      <w:bookmarkStart w:id="1459" w:name="_Toc336589992"/>
      <w:r>
        <w:t>This test case applies to all types of E-UTRA UE release 17 and forward of category</w:t>
      </w:r>
      <w:r>
        <w:rPr>
          <w:lang w:eastAsia="zh-TW"/>
        </w:rPr>
        <w:t xml:space="preserve"> M1</w:t>
      </w:r>
      <w:r>
        <w:t xml:space="preserve"> that support satellite access operation.</w:t>
      </w:r>
    </w:p>
    <w:p>
      <w:pPr>
        <w:pStyle w:val="9"/>
      </w:pPr>
      <w:r>
        <w:t>7.9A.3</w:t>
      </w:r>
      <w:r>
        <w:tab/>
      </w:r>
      <w:r>
        <w:t>Minimum Conformance Requirements</w:t>
      </w:r>
      <w:bookmarkEnd w:id="1459"/>
    </w:p>
    <w:p>
      <w:pPr>
        <w:keepNext w:val="0"/>
      </w:pPr>
      <w:r>
        <w:t>The power of any narrow band CW spurious emission shall not exceed the maximum level specified in Table 7.9A.3-1.</w:t>
      </w:r>
    </w:p>
    <w:p>
      <w:pPr>
        <w:pStyle w:val="113"/>
      </w:pPr>
      <w:r>
        <w:t>Table 7.9A.3-1: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
      <w:r>
        <w:t>The normative reference for this requirement is TS 36.102 [11] clause 7.9.</w:t>
      </w:r>
    </w:p>
    <w:p>
      <w:pPr>
        <w:pStyle w:val="9"/>
      </w:pPr>
      <w:bookmarkStart w:id="1460" w:name="_Toc336589993"/>
      <w:r>
        <w:t>7.9A.4</w:t>
      </w:r>
      <w:r>
        <w:tab/>
      </w:r>
      <w:r>
        <w:t>Test Description</w:t>
      </w:r>
      <w:bookmarkEnd w:id="1460"/>
    </w:p>
    <w:p>
      <w:pPr>
        <w:pStyle w:val="9"/>
      </w:pPr>
      <w:bookmarkStart w:id="1461" w:name="_Toc336589994"/>
      <w:r>
        <w:t>7.9A.4.1</w:t>
      </w:r>
      <w:r>
        <w:tab/>
      </w:r>
      <w:r>
        <w:t>Initial Conditions</w:t>
      </w:r>
      <w:bookmarkEnd w:id="1461"/>
    </w:p>
    <w:p>
      <w:r>
        <w:t>Initial conditions are a set of test configurations the UE needs to be tested in and the steps for the SS to take with the UE to reach the correct measurement state.</w:t>
      </w:r>
    </w:p>
    <w:p>
      <w:pPr>
        <w:rPr>
          <w:rFonts w:eastAsia="??"/>
        </w:rPr>
      </w:pPr>
      <w:r>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Annexes A.3 and A.2 respectively.</w:t>
      </w:r>
    </w:p>
    <w:p>
      <w:pPr>
        <w:pStyle w:val="113"/>
      </w:pPr>
      <w:r>
        <w:t>Table 7.9A.4.1-1: Test Configuration Table</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5"/>
        <w:gridCol w:w="1165"/>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Environment as specified in</w:t>
            </w:r>
          </w:p>
          <w:p>
            <w:pPr>
              <w:pStyle w:val="103"/>
            </w:pPr>
            <w:r>
              <w:t>TS 36.508[12] subclause 4.1</w:t>
            </w:r>
          </w:p>
        </w:tc>
        <w:tc>
          <w:tcPr>
            <w:tcW w:w="4660"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Frequencies as specified in</w:t>
            </w:r>
          </w:p>
          <w:p>
            <w:pPr>
              <w:pStyle w:val="103"/>
            </w:pPr>
            <w:r>
              <w:t>TS36.508 [12] subclause 4.3.1</w:t>
            </w:r>
          </w:p>
        </w:tc>
        <w:tc>
          <w:tcPr>
            <w:tcW w:w="4660" w:type="dxa"/>
            <w:gridSpan w:val="3"/>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Channel Bandwidths as specified in</w:t>
            </w:r>
          </w:p>
          <w:p>
            <w:pPr>
              <w:pStyle w:val="103"/>
            </w:pPr>
            <w:r>
              <w:t>TS 36.508 [12] subclause 4.3.1</w:t>
            </w:r>
          </w:p>
        </w:tc>
        <w:tc>
          <w:tcPr>
            <w:tcW w:w="4660" w:type="dxa"/>
            <w:gridSpan w:val="3"/>
          </w:tcPr>
          <w:p>
            <w:pPr>
              <w:pStyle w:val="103"/>
              <w:rPr>
                <w:rFonts w:eastAsia="宋体"/>
                <w:lang w:val="en-US" w:eastAsia="zh-CN"/>
              </w:rPr>
            </w:pPr>
            <w:r>
              <w:rPr>
                <w:rFonts w:hint="eastAsia" w:eastAsia="宋体"/>
                <w:lang w:val="en-US" w:eastAsia="zh-CN"/>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3"/>
              <w:jc w:val="center"/>
            </w:pPr>
            <w:r>
              <w:rPr>
                <w:b/>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4"/>
            </w:pPr>
          </w:p>
        </w:tc>
        <w:tc>
          <w:tcPr>
            <w:tcW w:w="3495" w:type="dxa"/>
            <w:gridSpan w:val="3"/>
          </w:tcPr>
          <w:p>
            <w:pPr>
              <w:pStyle w:val="103"/>
            </w:pPr>
            <w:r>
              <w:rPr>
                <w:b/>
              </w:rPr>
              <w:t>Downlink Configuration</w:t>
            </w:r>
          </w:p>
        </w:tc>
        <w:tc>
          <w:tcPr>
            <w:tcW w:w="3495" w:type="dxa"/>
            <w:gridSpan w:val="2"/>
          </w:tcPr>
          <w:p>
            <w:pPr>
              <w:pStyle w:val="103"/>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4"/>
            </w:pPr>
            <w:r>
              <w:t>Test ID</w:t>
            </w:r>
          </w:p>
        </w:tc>
        <w:tc>
          <w:tcPr>
            <w:tcW w:w="1165" w:type="dxa"/>
          </w:tcPr>
          <w:p>
            <w:pPr>
              <w:pStyle w:val="104"/>
            </w:pPr>
            <w:r>
              <w:t>Modulation</w:t>
            </w:r>
          </w:p>
        </w:tc>
        <w:tc>
          <w:tcPr>
            <w:tcW w:w="2330" w:type="dxa"/>
            <w:gridSpan w:val="2"/>
          </w:tcPr>
          <w:p>
            <w:pPr>
              <w:pStyle w:val="104"/>
            </w:pPr>
            <w:r>
              <w:t>RB allocation</w:t>
            </w:r>
          </w:p>
        </w:tc>
        <w:tc>
          <w:tcPr>
            <w:tcW w:w="1165" w:type="dxa"/>
          </w:tcPr>
          <w:p>
            <w:pPr>
              <w:pStyle w:val="104"/>
            </w:pPr>
            <w:r>
              <w:t>Modulation</w:t>
            </w:r>
          </w:p>
        </w:tc>
        <w:tc>
          <w:tcPr>
            <w:tcW w:w="2330" w:type="dxa"/>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5"/>
            </w:pPr>
            <w:r>
              <w:t>1</w:t>
            </w:r>
          </w:p>
        </w:tc>
        <w:tc>
          <w:tcPr>
            <w:tcW w:w="1165" w:type="dxa"/>
          </w:tcPr>
          <w:p>
            <w:pPr>
              <w:pStyle w:val="105"/>
            </w:pPr>
            <w:r>
              <w:rPr>
                <w:rFonts w:eastAsia="MS Mincho"/>
              </w:rPr>
              <w:t>QPSK</w:t>
            </w:r>
          </w:p>
        </w:tc>
        <w:tc>
          <w:tcPr>
            <w:tcW w:w="2330" w:type="dxa"/>
            <w:gridSpan w:val="2"/>
          </w:tcPr>
          <w:p>
            <w:pPr>
              <w:pStyle w:val="105"/>
            </w:pPr>
            <w:r>
              <w:rPr>
                <w:rFonts w:hint="eastAsia" w:eastAsiaTheme="minorEastAsia"/>
              </w:rPr>
              <w:t>0</w:t>
            </w:r>
          </w:p>
        </w:tc>
        <w:tc>
          <w:tcPr>
            <w:tcW w:w="1165" w:type="dxa"/>
          </w:tcPr>
          <w:p>
            <w:pPr>
              <w:pStyle w:val="105"/>
            </w:pPr>
            <w:r>
              <w:rPr>
                <w:rFonts w:eastAsia="MS Mincho"/>
              </w:rPr>
              <w:t>QPSK</w:t>
            </w:r>
          </w:p>
        </w:tc>
        <w:tc>
          <w:tcPr>
            <w:tcW w:w="2330" w:type="dxa"/>
          </w:tcPr>
          <w:p>
            <w:pPr>
              <w:pStyle w:val="105"/>
            </w:pPr>
            <w:r>
              <w:rPr>
                <w:rFonts w:hint="eastAsia" w:eastAsiaTheme="minorEastAsia"/>
              </w:rPr>
              <w:t>0</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a spectrum analyzer (or other suitable test equipment) to the UE antenna connectors as shown in TS 36.508 [12] Annex A, Figure A.7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C.3.1.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channels are set according to Table 7.9A.4.1-1.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color w:val="000000" w:themeColor="text1"/>
          <w:lang w:eastAsia="en-GB"/>
          <w14:textFill>
            <w14:solidFill>
              <w14:schemeClr w14:val="tx1"/>
            </w14:solidFill>
          </w14:textFill>
        </w:rPr>
      </w:pPr>
      <w:r>
        <w:rPr>
          <w:rFonts w:hint="eastAsia" w:eastAsia="Malgun Gothic"/>
        </w:rPr>
        <w:t>6</w:t>
      </w:r>
      <w:r>
        <w:rPr>
          <w:rFonts w:eastAsia="Malgun Gothic"/>
        </w:rPr>
        <w:t>.</w:t>
      </w:r>
      <w:r>
        <w:rPr>
          <w:rFonts w:eastAsia="Malgun Gothic"/>
        </w:rPr>
        <w:tab/>
      </w:r>
      <w:r>
        <w:rPr>
          <w:rFonts w:hint="eastAsia"/>
          <w:lang w:eastAsia="en-GB"/>
        </w:rPr>
        <w:t xml:space="preserve">UE location according to TS </w:t>
      </w:r>
      <w:r>
        <w:rPr>
          <w:rFonts w:hint="eastAsia"/>
          <w:color w:val="000000" w:themeColor="text1"/>
          <w:lang w:eastAsia="en-GB"/>
          <w14:textFill>
            <w14:solidFill>
              <w14:schemeClr w14:val="tx1"/>
            </w14:solidFill>
          </w14:textFill>
        </w:rPr>
        <w:t xml:space="preserve">36.508 [12] clause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.6.1 is provided to the UE through any preconfigured means.</w:t>
      </w:r>
    </w:p>
    <w:p>
      <w:pPr>
        <w:pStyle w:val="111"/>
        <w:overflowPunct w:val="0"/>
        <w:autoSpaceDE w:val="0"/>
        <w:autoSpaceDN w:val="0"/>
        <w:adjustRightInd w:val="0"/>
        <w:contextualSpacing w:val="0"/>
        <w:textAlignment w:val="baseline"/>
        <w:rPr>
          <w:color w:val="000000" w:themeColor="text1"/>
          <w14:textFill>
            <w14:solidFill>
              <w14:schemeClr w14:val="tx1"/>
            </w14:solidFill>
          </w14:textFill>
        </w:rPr>
      </w:pPr>
      <w:r>
        <w:rPr>
          <w:rFonts w:eastAsia="Malgun Gothic"/>
          <w:color w:val="000000" w:themeColor="text1"/>
          <w14:textFill>
            <w14:solidFill>
              <w14:schemeClr w14:val="tx1"/>
            </w14:solidFill>
          </w14:textFill>
        </w:rPr>
        <w:t>7.</w:t>
      </w:r>
      <w:r>
        <w:rPr>
          <w:rFonts w:eastAsia="Malgun Gothic"/>
          <w:color w:val="000000" w:themeColor="text1"/>
          <w14:textFill>
            <w14:solidFill>
              <w14:schemeClr w14:val="tx1"/>
            </w14:solidFill>
          </w14:textFill>
        </w:rPr>
        <w:tab/>
      </w:r>
      <w:r>
        <w:rPr>
          <w:color w:val="000000" w:themeColor="text1"/>
          <w14:textFill>
            <w14:solidFill>
              <w14:schemeClr w14:val="tx1"/>
            </w14:solidFill>
          </w14:textFill>
        </w:rPr>
        <w:t xml:space="preserve">Test equipment shall emulate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duration of the test as define in TS 36.508[12] clause 5.6.3.1</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eastAsia="Malgun Gothic"/>
        </w:rPr>
        <w:tab/>
      </w:r>
      <w:r>
        <w:rPr>
          <w:rFonts w:eastAsia="Malgun Gothic"/>
        </w:rPr>
        <w:t>Ensure the UE is in State 3A-RF-CE according to TS 36.508 [12] clause 5.2A.2AA. Message contents are defined in clause 7.9A.4.3.</w:t>
      </w:r>
    </w:p>
    <w:p>
      <w:pPr>
        <w:pStyle w:val="9"/>
      </w:pPr>
      <w:bookmarkStart w:id="1462" w:name="_Toc336589995"/>
      <w:r>
        <w:t>7.9A.4.2</w:t>
      </w:r>
      <w:r>
        <w:tab/>
      </w:r>
      <w:r>
        <w:t>Test Procedure</w:t>
      </w:r>
      <w:bookmarkEnd w:id="1462"/>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Sweep the spectrum analyzer (or equivalent equipment) over a frequency range and measure the average power of spurious emission.</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Repeat step 1 for all E-UTRA Rx antennas of the UE.</w:t>
      </w:r>
    </w:p>
    <w:p>
      <w:pPr>
        <w:pStyle w:val="9"/>
      </w:pPr>
      <w:bookmarkStart w:id="1463" w:name="_Toc336589996"/>
      <w:r>
        <w:t>7.9A.4.3</w:t>
      </w:r>
      <w:r>
        <w:tab/>
      </w:r>
      <w:r>
        <w:t>Message Contents</w:t>
      </w:r>
      <w:bookmarkEnd w:id="1463"/>
    </w:p>
    <w:p>
      <w:r>
        <w:t>Message contents are according to TS 36.508 [12] subclause 4.6.</w:t>
      </w:r>
    </w:p>
    <w:p>
      <w:pPr>
        <w:pStyle w:val="9"/>
      </w:pPr>
      <w:bookmarkStart w:id="1464" w:name="_Toc336589997"/>
      <w:r>
        <w:t>7.9A.5</w:t>
      </w:r>
      <w:r>
        <w:tab/>
      </w:r>
      <w:r>
        <w:t>Test Requirement</w:t>
      </w:r>
      <w:bookmarkEnd w:id="1464"/>
    </w:p>
    <w:p>
      <w:pPr>
        <w:rPr>
          <w:rFonts w:eastAsia="MS Mincho"/>
        </w:rPr>
      </w:pPr>
      <w:r>
        <w:rPr>
          <w:rFonts w:eastAsia="MS Mincho"/>
        </w:rPr>
        <w:t xml:space="preserve">The measured spurious emissions derived in step 1), shall </w:t>
      </w:r>
      <w:r>
        <w:rPr>
          <w:rFonts w:cs="v5.0.0"/>
        </w:rPr>
        <w:t>not exceed the maximum level specified in Table 7.9A.5-1.</w:t>
      </w:r>
    </w:p>
    <w:p>
      <w:pPr>
        <w:pStyle w:val="113"/>
      </w:pPr>
      <w:r>
        <w:t>Table 7.9A.5-1: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
      <w:pPr>
        <w:pStyle w:val="4"/>
      </w:pPr>
      <w:bookmarkStart w:id="1465" w:name="_Toc22443"/>
      <w:bookmarkStart w:id="1466" w:name="_Toc3881"/>
      <w:bookmarkStart w:id="1467" w:name="_Toc12654"/>
      <w:bookmarkStart w:id="1468" w:name="_Toc22982"/>
      <w:bookmarkStart w:id="1469" w:name="_Toc209"/>
      <w:bookmarkStart w:id="1470" w:name="_Toc28154"/>
      <w:r>
        <w:t>7.9B</w:t>
      </w:r>
      <w:r>
        <w:tab/>
      </w:r>
      <w:r>
        <w:t>Spurious emissions for category NB1 and NB2</w:t>
      </w:r>
      <w:bookmarkEnd w:id="1465"/>
      <w:bookmarkEnd w:id="1466"/>
      <w:bookmarkEnd w:id="1467"/>
      <w:bookmarkEnd w:id="1468"/>
      <w:bookmarkEnd w:id="1469"/>
      <w:bookmarkEnd w:id="1470"/>
    </w:p>
    <w:p>
      <w:pPr>
        <w:pStyle w:val="112"/>
        <w:rPr>
          <w:i w:val="0"/>
          <w:iCs w:val="0"/>
          <w:lang w:val="en-GB"/>
        </w:rPr>
      </w:pPr>
      <w:r>
        <w:t>Editor’s Note: Addition to applicability spec is pending.</w:t>
      </w:r>
    </w:p>
    <w:p>
      <w:pPr>
        <w:pStyle w:val="9"/>
      </w:pPr>
      <w:r>
        <w:t>7.9B.1</w:t>
      </w:r>
      <w:r>
        <w:tab/>
      </w:r>
      <w:r>
        <w:t>Test Purpose</w:t>
      </w:r>
    </w:p>
    <w:p>
      <w:r>
        <w:rPr>
          <w:rFonts w:eastAsia="??" w:cs="v5.0.0"/>
        </w:rPr>
        <w:t>The spurious emissions power is the power of emissions generated or amplified in a receiver that appear at the UE antenna connector.</w:t>
      </w:r>
    </w:p>
    <w:p>
      <w:r>
        <w:t>Test verifies the UE's spurious emissions meet the requirements described in clause 7.9B.3.</w:t>
      </w:r>
    </w:p>
    <w:p>
      <w:r>
        <w:t>Excess spurious emissions increase the interference to other systems.</w:t>
      </w:r>
    </w:p>
    <w:p>
      <w:pPr>
        <w:pStyle w:val="9"/>
      </w:pPr>
      <w:r>
        <w:t>7.9B.2</w:t>
      </w:r>
      <w:r>
        <w:tab/>
      </w:r>
      <w:r>
        <w:t>Test Applicability</w:t>
      </w:r>
    </w:p>
    <w:p>
      <w:r>
        <w:t>This test case applies to all types of E-UTRA UE release 17 and forward of category</w:t>
      </w:r>
      <w:r>
        <w:rPr>
          <w:lang w:eastAsia="zh-TW"/>
        </w:rPr>
        <w:t xml:space="preserve"> NB1 and</w:t>
      </w:r>
      <w:r>
        <w:t xml:space="preserve"> NB2 that support satellite access operation.</w:t>
      </w:r>
    </w:p>
    <w:p>
      <w:pPr>
        <w:pStyle w:val="9"/>
      </w:pPr>
      <w:r>
        <w:t>7.9B.3</w:t>
      </w:r>
      <w:r>
        <w:tab/>
      </w:r>
      <w:r>
        <w:t>Minimum Conformance Requirements</w:t>
      </w:r>
    </w:p>
    <w:p>
      <w:pPr>
        <w:keepNext/>
        <w:rPr>
          <w:rFonts w:cs="v5.0.0"/>
        </w:rPr>
      </w:pPr>
      <w:r>
        <w:rPr>
          <w:rFonts w:cs="v5.0.0"/>
        </w:rPr>
        <w:t>The power of any narrow band CW spurious emission shall not exceed the maximum level specified in Table 7.9B.3-1</w:t>
      </w:r>
    </w:p>
    <w:p>
      <w:pPr>
        <w:pStyle w:val="113"/>
      </w:pPr>
      <w:r>
        <w:t>Table 7.9B.3-1: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
      <w:r>
        <w:t>The normative reference for this requirement is TS 36.102 [11] clause 7.9.</w:t>
      </w:r>
    </w:p>
    <w:p>
      <w:pPr>
        <w:pStyle w:val="9"/>
      </w:pPr>
      <w:r>
        <w:t>7.9B.4</w:t>
      </w:r>
      <w:r>
        <w:tab/>
      </w:r>
      <w:r>
        <w:t>Test Description</w:t>
      </w:r>
    </w:p>
    <w:p>
      <w:pPr>
        <w:pStyle w:val="9"/>
      </w:pPr>
      <w:r>
        <w:t>7.9B.4.1</w:t>
      </w:r>
      <w:r>
        <w:tab/>
      </w:r>
      <w:r>
        <w:t>Initial Conditions</w:t>
      </w:r>
    </w:p>
    <w:p>
      <w:r>
        <w:t>Initial conditions are a set of test configurations the UE needs to be tested in and the steps for the SS to take with the UE to reach the correct measurement state.</w:t>
      </w:r>
    </w:p>
    <w:p>
      <w:pPr>
        <w:rPr>
          <w:rFonts w:eastAsia="??"/>
        </w:rPr>
      </w:pPr>
      <w:r>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Annexes A.3 and A.2 respectively.</w:t>
      </w:r>
    </w:p>
    <w:p>
      <w:pPr>
        <w:pStyle w:val="113"/>
      </w:pPr>
      <w:r>
        <w:t>Table 7.9B.4.1-1: Test Configuration Table</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5"/>
        <w:gridCol w:w="1165"/>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Environment as specified in</w:t>
            </w:r>
          </w:p>
          <w:p>
            <w:pPr>
              <w:pStyle w:val="189"/>
              <w:rPr>
                <w:rFonts w:ascii="Arial" w:hAnsi="Arial" w:cs="Times New Roman"/>
                <w:kern w:val="0"/>
                <w:sz w:val="18"/>
                <w:szCs w:val="20"/>
                <w:lang w:val="en-GB"/>
              </w:rPr>
            </w:pPr>
            <w:r>
              <w:t>TS 36.508[12] subclaus</w:t>
            </w:r>
            <w:r>
              <w:rPr>
                <w:rFonts w:ascii="Arial" w:hAnsi="Arial" w:cs="Times New Roman"/>
                <w:kern w:val="0"/>
                <w:sz w:val="18"/>
                <w:szCs w:val="20"/>
                <w:lang w:val="en-GB"/>
              </w:rPr>
              <w:t>e 8.1.1</w:t>
            </w:r>
          </w:p>
          <w:p>
            <w:pPr>
              <w:pStyle w:val="103"/>
            </w:pPr>
          </w:p>
        </w:tc>
        <w:tc>
          <w:tcPr>
            <w:tcW w:w="4660"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Frequencies as specified in</w:t>
            </w:r>
          </w:p>
          <w:p>
            <w:pPr>
              <w:pStyle w:val="103"/>
            </w:pPr>
            <w:r>
              <w:t>TS36.508 [12] subclause 8.1.3.1</w:t>
            </w:r>
          </w:p>
        </w:tc>
        <w:tc>
          <w:tcPr>
            <w:tcW w:w="4660" w:type="dxa"/>
            <w:gridSpan w:val="3"/>
          </w:tcPr>
          <w:p>
            <w:pPr>
              <w:pStyle w:val="103"/>
            </w:pPr>
            <w: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3"/>
              <w:jc w:val="center"/>
            </w:pPr>
            <w:r>
              <w:rPr>
                <w:b/>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4"/>
            </w:pPr>
          </w:p>
        </w:tc>
        <w:tc>
          <w:tcPr>
            <w:tcW w:w="3495" w:type="dxa"/>
            <w:gridSpan w:val="3"/>
          </w:tcPr>
          <w:p>
            <w:pPr>
              <w:pStyle w:val="103"/>
            </w:pPr>
            <w:r>
              <w:rPr>
                <w:b/>
              </w:rPr>
              <w:t>Downlink Configuration</w:t>
            </w:r>
          </w:p>
        </w:tc>
        <w:tc>
          <w:tcPr>
            <w:tcW w:w="3495" w:type="dxa"/>
            <w:gridSpan w:val="2"/>
          </w:tcPr>
          <w:p>
            <w:pPr>
              <w:pStyle w:val="103"/>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4"/>
            </w:pPr>
            <w:r>
              <w:t>Test ID</w:t>
            </w:r>
          </w:p>
        </w:tc>
        <w:tc>
          <w:tcPr>
            <w:tcW w:w="1165" w:type="dxa"/>
          </w:tcPr>
          <w:p>
            <w:pPr>
              <w:pStyle w:val="104"/>
            </w:pPr>
            <w:r>
              <w:t>Modulation</w:t>
            </w:r>
          </w:p>
        </w:tc>
        <w:tc>
          <w:tcPr>
            <w:tcW w:w="2330" w:type="dxa"/>
            <w:gridSpan w:val="2"/>
          </w:tcPr>
          <w:p>
            <w:pPr>
              <w:pStyle w:val="104"/>
            </w:pPr>
            <w:r>
              <w:t>N</w:t>
            </w:r>
            <w:r>
              <w:rPr>
                <w:vertAlign w:val="subscript"/>
              </w:rPr>
              <w:t>tones</w:t>
            </w:r>
          </w:p>
        </w:tc>
        <w:tc>
          <w:tcPr>
            <w:tcW w:w="1165" w:type="dxa"/>
          </w:tcPr>
          <w:p>
            <w:pPr>
              <w:pStyle w:val="104"/>
            </w:pPr>
            <w:r>
              <w:t>Modulation</w:t>
            </w:r>
          </w:p>
        </w:tc>
        <w:tc>
          <w:tcPr>
            <w:tcW w:w="2330" w:type="dxa"/>
          </w:tcPr>
          <w:p>
            <w:pPr>
              <w:pStyle w:val="104"/>
            </w:pPr>
            <w:r>
              <w:t>N</w:t>
            </w:r>
            <w:r>
              <w:rPr>
                <w:vertAlign w:val="subscript"/>
              </w:rPr>
              <w:t>tones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5"/>
            </w:pPr>
            <w:r>
              <w:t>1</w:t>
            </w:r>
          </w:p>
        </w:tc>
        <w:tc>
          <w:tcPr>
            <w:tcW w:w="1165" w:type="dxa"/>
          </w:tcPr>
          <w:p>
            <w:pPr>
              <w:pStyle w:val="105"/>
              <w:rPr>
                <w:rFonts w:eastAsia="宋体"/>
                <w:lang w:val="en-US" w:eastAsia="zh-CN"/>
              </w:rPr>
            </w:pPr>
            <w:r>
              <w:rPr>
                <w:rFonts w:hint="eastAsia" w:eastAsia="宋体"/>
                <w:lang w:val="en-US" w:eastAsia="zh-CN"/>
              </w:rPr>
              <w:t>QPSK</w:t>
            </w:r>
          </w:p>
        </w:tc>
        <w:tc>
          <w:tcPr>
            <w:tcW w:w="2330" w:type="dxa"/>
            <w:gridSpan w:val="2"/>
          </w:tcPr>
          <w:p>
            <w:pPr>
              <w:pStyle w:val="105"/>
            </w:pPr>
            <w:r>
              <w:rPr>
                <w:rFonts w:hint="eastAsia" w:eastAsiaTheme="minorEastAsia"/>
              </w:rPr>
              <w:t>0</w:t>
            </w:r>
          </w:p>
        </w:tc>
        <w:tc>
          <w:tcPr>
            <w:tcW w:w="1165" w:type="dxa"/>
          </w:tcPr>
          <w:p>
            <w:pPr>
              <w:pStyle w:val="105"/>
            </w:pPr>
            <w:r>
              <w:rPr>
                <w:rFonts w:hint="eastAsia" w:eastAsia="宋体"/>
                <w:lang w:val="en-US" w:eastAsia="zh-CN"/>
              </w:rPr>
              <w:t>BPSK</w:t>
            </w:r>
          </w:p>
        </w:tc>
        <w:tc>
          <w:tcPr>
            <w:tcW w:w="2330" w:type="dxa"/>
          </w:tcPr>
          <w:p>
            <w:pPr>
              <w:pStyle w:val="105"/>
            </w:pPr>
            <w:r>
              <w:rPr>
                <w:rFonts w:hint="eastAsia" w:eastAsiaTheme="minorEastAsia"/>
              </w:rPr>
              <w:t>0</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a spectrum analyzer (or other suitable test equipment) to the UE antenna connectors as shown in TS 36.508 [12] Annex A, Figure A.7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 xml:space="preserve">The parameter settings for the cell are set up according to TS 36.508 [12] subclause </w:t>
      </w:r>
      <w:r>
        <w:rPr>
          <w:rFonts w:hint="eastAsia" w:eastAsia="宋体"/>
          <w:lang w:val="en-US" w:eastAsia="zh-CN"/>
        </w:rPr>
        <w:t>8.1</w:t>
      </w:r>
      <w:r>
        <w:rPr>
          <w:rFonts w:eastAsia="Malgun Gothic"/>
        </w:rPr>
        <w:t>.4.3.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C.3.1.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channels are set according to Table 7.9B.4.1-1.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eastAsia="Malgun Gothic"/>
        </w:rPr>
        <w:t>6</w:t>
      </w:r>
      <w:r>
        <w:rPr>
          <w:rFonts w:eastAsia="Malgun Gothic"/>
        </w:rPr>
        <w:t>.</w:t>
      </w:r>
      <w:r>
        <w:rPr>
          <w:rFonts w:eastAsia="Malgun Gothic"/>
        </w:rPr>
        <w:tab/>
      </w:r>
      <w:r>
        <w:rPr>
          <w:rFonts w:hint="eastAsia"/>
          <w:lang w:eastAsia="en-GB"/>
        </w:rPr>
        <w:t>UE location according to TS 36.508 [12] clause 8.2.6.1 is provided to the UE through any preconfigured means.</w:t>
      </w:r>
    </w:p>
    <w:p>
      <w:pPr>
        <w:pStyle w:val="111"/>
        <w:overflowPunct w:val="0"/>
        <w:autoSpaceDE w:val="0"/>
        <w:autoSpaceDN w:val="0"/>
        <w:adjustRightInd w:val="0"/>
        <w:contextualSpacing w:val="0"/>
        <w:textAlignment w:val="baseline"/>
        <w:rPr>
          <w:color w:val="000000" w:themeColor="text1"/>
          <w14:textFill>
            <w14:solidFill>
              <w14:schemeClr w14:val="tx1"/>
            </w14:solidFill>
          </w14:textFill>
        </w:rPr>
      </w:pPr>
      <w:r>
        <w:rPr>
          <w:rFonts w:eastAsia="Malgun Gothic"/>
        </w:rPr>
        <w:t>7.</w:t>
      </w:r>
      <w:r>
        <w:rPr>
          <w:rFonts w:eastAsia="Malgun Gothic"/>
        </w:rPr>
        <w:tab/>
      </w:r>
      <w:r>
        <w:t>Test equipment shall emula</w:t>
      </w:r>
      <w:r>
        <w:rPr>
          <w:color w:val="000000" w:themeColor="text1"/>
          <w14:textFill>
            <w14:solidFill>
              <w14:schemeClr w14:val="tx1"/>
            </w14:solidFill>
          </w14:textFill>
        </w:rPr>
        <w:t xml:space="preserve">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during the duration of the test as define in TS 36.508[12] clause 8.2.6.3.1</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eastAsia="Malgun Gothic"/>
        </w:rPr>
        <w:tab/>
      </w:r>
      <w:r>
        <w:rPr>
          <w:rFonts w:eastAsia="Malgun Gothic"/>
        </w:rPr>
        <w:t>Ensure the UE is in State 2A-NB with CP CIoT Optimisation according to TS 36.508 [12] clause 8.1.5. Message contents are defined in clause 7.9B.4.3.</w:t>
      </w:r>
    </w:p>
    <w:p>
      <w:pPr>
        <w:pStyle w:val="9"/>
      </w:pPr>
      <w:r>
        <w:t>7.9B.4.2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Sweep the spectrum analyzer (or equivalent equipment) over a frequency range and measure the average power of spurious emission.</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Repeat step 1 for all E-UTRA Rx antennas of the UE.</w:t>
      </w:r>
    </w:p>
    <w:p>
      <w:pPr>
        <w:pStyle w:val="9"/>
      </w:pPr>
      <w:r>
        <w:t>7.9B.4.3</w:t>
      </w:r>
      <w:r>
        <w:tab/>
      </w:r>
      <w:r>
        <w:t>Message Contents</w:t>
      </w:r>
    </w:p>
    <w:p>
      <w:r>
        <w:t>Message contents are according to TS 36.508 [12] subclause 8.1.6.</w:t>
      </w:r>
    </w:p>
    <w:p>
      <w:pPr>
        <w:pStyle w:val="9"/>
      </w:pPr>
      <w:r>
        <w:t>7.9B.5</w:t>
      </w:r>
      <w:r>
        <w:tab/>
      </w:r>
      <w:r>
        <w:t>Test Requirement</w:t>
      </w:r>
    </w:p>
    <w:p>
      <w:pPr>
        <w:rPr>
          <w:rFonts w:eastAsia="MS Mincho"/>
        </w:rPr>
      </w:pPr>
      <w:r>
        <w:rPr>
          <w:rFonts w:eastAsia="MS Mincho"/>
        </w:rPr>
        <w:t xml:space="preserve">The measured spurious emissions derived in step 1), shall </w:t>
      </w:r>
      <w:r>
        <w:rPr>
          <w:rFonts w:cs="v5.0.0"/>
        </w:rPr>
        <w:t>not exceed the maximum level specified in Table 7.9B.5-1.</w:t>
      </w:r>
    </w:p>
    <w:p>
      <w:pPr>
        <w:pStyle w:val="113"/>
      </w:pPr>
      <w:r>
        <w:t>Table 7.9B.5-1: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Pr>
        <w:rPr>
          <w:lang w:val="en-US" w:eastAsia="ja-JP"/>
        </w:rPr>
      </w:pPr>
    </w:p>
    <w:p>
      <w:pPr>
        <w:pStyle w:val="3"/>
      </w:pPr>
      <w:bookmarkStart w:id="1471" w:name="_Toc120570118"/>
      <w:bookmarkStart w:id="1472" w:name="_Toc2912"/>
      <w:bookmarkStart w:id="1473" w:name="_Toc30701"/>
      <w:bookmarkStart w:id="1474" w:name="_Toc28975"/>
      <w:bookmarkStart w:id="1475" w:name="_Toc111062105"/>
      <w:bookmarkStart w:id="1476" w:name="_Toc8866"/>
      <w:bookmarkStart w:id="1477" w:name="_Toc121162910"/>
      <w:bookmarkStart w:id="1478" w:name="_Toc29631"/>
      <w:bookmarkStart w:id="1479" w:name="_Toc461"/>
      <w:bookmarkStart w:id="1480" w:name="_Toc8026"/>
      <w:r>
        <w:t>8</w:t>
      </w:r>
      <w:r>
        <w:tab/>
      </w:r>
      <w:r>
        <w:t>Performance requirement</w:t>
      </w:r>
      <w:bookmarkEnd w:id="1471"/>
      <w:bookmarkEnd w:id="1472"/>
      <w:bookmarkEnd w:id="1473"/>
      <w:bookmarkEnd w:id="1474"/>
      <w:bookmarkEnd w:id="1475"/>
      <w:bookmarkEnd w:id="1476"/>
      <w:bookmarkEnd w:id="1477"/>
      <w:bookmarkEnd w:id="1478"/>
      <w:bookmarkEnd w:id="1479"/>
      <w:bookmarkEnd w:id="1480"/>
    </w:p>
    <w:p>
      <w:pPr>
        <w:rPr>
          <w:rFonts w:cs="v5.0.0"/>
        </w:rPr>
      </w:pPr>
      <w:r>
        <w:t xml:space="preserve">This clause contains performance requirements for the physical channels specified in TS 36.211[3]. </w:t>
      </w:r>
      <w:r>
        <w:rPr>
          <w:rFonts w:cs="v5.0.0"/>
        </w:rPr>
        <w:t xml:space="preserve">The performance requirements for the UE in this clause are specified for the measurement channels specified in </w:t>
      </w:r>
      <w:r>
        <w:t xml:space="preserve">TS 36.102[11] </w:t>
      </w:r>
      <w:r>
        <w:rPr>
          <w:rFonts w:cs="v5.0.0"/>
        </w:rPr>
        <w:t xml:space="preserve">Annex A, the propagation conditions in </w:t>
      </w:r>
      <w:r>
        <w:t xml:space="preserve">TS 36.102[11] </w:t>
      </w:r>
      <w:r>
        <w:rPr>
          <w:rFonts w:cs="v5.0.0"/>
        </w:rPr>
        <w:t xml:space="preserve">Annex D and the downlink channels in </w:t>
      </w:r>
      <w:r>
        <w:t xml:space="preserve">TS 36.102[11] </w:t>
      </w:r>
      <w:r>
        <w:rPr>
          <w:rFonts w:cs="v5.0.0"/>
        </w:rPr>
        <w:t>Annex B.</w:t>
      </w:r>
    </w:p>
    <w:p>
      <w:pPr>
        <w:pStyle w:val="4"/>
      </w:pPr>
      <w:bookmarkStart w:id="1481" w:name="_Toc4962"/>
      <w:bookmarkStart w:id="1482" w:name="_Toc21195"/>
      <w:bookmarkStart w:id="1483" w:name="_Toc16548"/>
      <w:bookmarkStart w:id="1484" w:name="_Toc21125"/>
      <w:bookmarkStart w:id="1485" w:name="_Toc368026404"/>
      <w:bookmarkStart w:id="1486" w:name="_Toc137401331"/>
      <w:bookmarkStart w:id="1487" w:name="_Toc4181"/>
      <w:r>
        <w:t>8.1</w:t>
      </w:r>
      <w:r>
        <w:tab/>
      </w:r>
      <w:r>
        <w:t>General</w:t>
      </w:r>
      <w:bookmarkEnd w:id="1481"/>
      <w:bookmarkEnd w:id="1482"/>
      <w:bookmarkEnd w:id="1483"/>
      <w:bookmarkEnd w:id="1484"/>
      <w:bookmarkEnd w:id="1485"/>
      <w:bookmarkEnd w:id="1486"/>
      <w:bookmarkEnd w:id="1487"/>
    </w:p>
    <w:p>
      <w:pPr>
        <w:pStyle w:val="5"/>
        <w:rPr>
          <w:rFonts w:eastAsia="MS Mincho"/>
        </w:rPr>
      </w:pPr>
      <w:bookmarkStart w:id="1488" w:name="_Toc27000"/>
      <w:bookmarkStart w:id="1489" w:name="_Toc3448"/>
      <w:bookmarkStart w:id="1490" w:name="_Toc137401332"/>
      <w:bookmarkStart w:id="1491" w:name="_Toc5939"/>
      <w:bookmarkStart w:id="1492" w:name="_Toc27348"/>
      <w:bookmarkStart w:id="1493" w:name="_Toc24719"/>
      <w:bookmarkStart w:id="1494" w:name="_Toc368026405"/>
      <w:r>
        <w:rPr>
          <w:rFonts w:eastAsia="MS Mincho"/>
        </w:rPr>
        <w:t>8.1.1</w:t>
      </w:r>
      <w:r>
        <w:rPr>
          <w:rFonts w:eastAsia="MS Mincho"/>
        </w:rPr>
        <w:tab/>
      </w:r>
      <w:r>
        <w:rPr>
          <w:rFonts w:eastAsia="MS Mincho"/>
        </w:rPr>
        <w:t>Receiver antenna capability</w:t>
      </w:r>
      <w:bookmarkEnd w:id="1488"/>
      <w:bookmarkEnd w:id="1489"/>
      <w:bookmarkEnd w:id="1490"/>
      <w:bookmarkEnd w:id="1491"/>
      <w:bookmarkEnd w:id="1492"/>
      <w:bookmarkEnd w:id="1493"/>
      <w:bookmarkEnd w:id="1494"/>
    </w:p>
    <w:p>
      <w:r>
        <w:t>The performance requirements are based on UE(s) that utilize one or more antenna receivers.</w:t>
      </w:r>
    </w:p>
    <w:p>
      <w:r>
        <w:t>For all test cases, the SNR is defined as</w:t>
      </w:r>
    </w:p>
    <w:p>
      <w:pPr>
        <w:pStyle w:val="95"/>
        <w:jc w:val="center"/>
      </w:pPr>
      <w:r>
        <w:object>
          <v:shape id="_x0000_i1081" o:spt="75" type="#_x0000_t75" style="height:72pt;width:76.2pt;" o:ole="t" filled="f" o:preferrelative="t" stroked="f" coordsize="21600,21600">
            <v:path/>
            <v:fill on="f" focussize="0,0"/>
            <v:stroke on="f" joinstyle="miter"/>
            <v:imagedata r:id="rId110" o:title=""/>
            <o:lock v:ext="edit" aspectratio="t"/>
            <w10:wrap type="none"/>
            <w10:anchorlock/>
          </v:shape>
          <o:OLEObject Type="Embed" ProgID="Equation.3" ShapeID="_x0000_i1081" DrawAspect="Content" ObjectID="_1468075781" r:id="rId109">
            <o:LockedField>false</o:LockedField>
          </o:OLEObject>
        </w:object>
      </w:r>
    </w:p>
    <w:p>
      <w:r>
        <w:t xml:space="preserve">where </w:t>
      </w:r>
      <w:r>
        <w:rPr>
          <w:i/>
        </w:rPr>
        <w:t>N</w:t>
      </w:r>
      <w:r>
        <w:rPr>
          <w:i/>
          <w:vertAlign w:val="subscript"/>
        </w:rPr>
        <w:t>RX</w:t>
      </w:r>
      <w:r>
        <w:t xml:space="preserve"> denotes the number of receiver antenna connectors and the superscript receiver antenna connector </w:t>
      </w:r>
      <w:r>
        <w:rPr>
          <w:i/>
        </w:rPr>
        <w:t>j</w:t>
      </w:r>
      <w:r>
        <w:t xml:space="preserve">. The </w:t>
      </w:r>
      <w:r>
        <w:rPr>
          <w:rFonts w:hint="eastAsia"/>
        </w:rPr>
        <w:t xml:space="preserve">above </w:t>
      </w:r>
      <w:r>
        <w:t xml:space="preserve">SNR </w:t>
      </w:r>
      <w:r>
        <w:rPr>
          <w:rFonts w:hint="eastAsia"/>
        </w:rPr>
        <w:t>definition assumes</w:t>
      </w:r>
      <w:r>
        <w:t xml:space="preserve"> that the REs are not</w:t>
      </w:r>
      <w:r>
        <w:rPr>
          <w:rFonts w:hint="eastAsia"/>
        </w:rPr>
        <w:t xml:space="preserve"> </w:t>
      </w:r>
      <w:r>
        <w:t>precod</w:t>
      </w:r>
      <w:r>
        <w:rPr>
          <w:rFonts w:hint="eastAsia"/>
        </w:rPr>
        <w:t>ed</w:t>
      </w:r>
      <w:r>
        <w:t>. The SNR definition does not account for any gain which can be associated to the precoding operation. The relative power of physical channels transmitted is defined in TS 36.102[11] Annex C. The SNR requirement applies for the UE categories given for each test.</w:t>
      </w:r>
    </w:p>
    <w:p>
      <w:pPr>
        <w:pStyle w:val="5"/>
        <w:rPr>
          <w:snapToGrid w:val="0"/>
        </w:rPr>
      </w:pPr>
      <w:bookmarkStart w:id="1495" w:name="_Toc12456"/>
      <w:bookmarkStart w:id="1496" w:name="_Toc5167"/>
      <w:bookmarkStart w:id="1497" w:name="_Toc368026408"/>
      <w:bookmarkStart w:id="1498" w:name="_Toc137401333"/>
      <w:bookmarkStart w:id="1499" w:name="_Toc15172"/>
      <w:bookmarkStart w:id="1500" w:name="_Toc17892"/>
      <w:bookmarkStart w:id="1501" w:name="_Toc8156"/>
      <w:r>
        <w:rPr>
          <w:rFonts w:eastAsia="MS Mincho"/>
        </w:rPr>
        <w:t>8.1.</w:t>
      </w:r>
      <w:r>
        <w:rPr>
          <w:rFonts w:hint="eastAsia"/>
        </w:rPr>
        <w:t>2</w:t>
      </w:r>
      <w:r>
        <w:rPr>
          <w:rFonts w:eastAsia="MS Mincho"/>
        </w:rPr>
        <w:tab/>
      </w:r>
      <w:r>
        <w:rPr>
          <w:snapToGrid w:val="0"/>
        </w:rPr>
        <w:t xml:space="preserve">Applicability </w:t>
      </w:r>
      <w:r>
        <w:rPr>
          <w:rFonts w:hint="eastAsia"/>
          <w:snapToGrid w:val="0"/>
        </w:rPr>
        <w:t xml:space="preserve">of </w:t>
      </w:r>
      <w:r>
        <w:rPr>
          <w:snapToGrid w:val="0"/>
        </w:rPr>
        <w:t>requirements</w:t>
      </w:r>
      <w:bookmarkEnd w:id="1495"/>
      <w:bookmarkEnd w:id="1496"/>
      <w:bookmarkEnd w:id="1497"/>
      <w:bookmarkEnd w:id="1498"/>
      <w:bookmarkEnd w:id="1499"/>
      <w:bookmarkEnd w:id="1500"/>
      <w:bookmarkEnd w:id="1501"/>
    </w:p>
    <w:p>
      <w:pPr>
        <w:pStyle w:val="6"/>
        <w:rPr>
          <w:snapToGrid w:val="0"/>
        </w:rPr>
      </w:pPr>
      <w:bookmarkStart w:id="1502" w:name="_Toc27889"/>
      <w:bookmarkStart w:id="1503" w:name="_Toc1394"/>
      <w:bookmarkStart w:id="1504" w:name="_Toc5024"/>
      <w:bookmarkStart w:id="1505" w:name="_Toc20867"/>
      <w:bookmarkStart w:id="1506" w:name="_Toc137401334"/>
      <w:bookmarkStart w:id="1507" w:name="_Toc368026409"/>
      <w:bookmarkStart w:id="1508" w:name="_Toc7452"/>
      <w:r>
        <w:rPr>
          <w:snapToGrid w:val="0"/>
        </w:rPr>
        <w:t>8.1.</w:t>
      </w:r>
      <w:r>
        <w:rPr>
          <w:rFonts w:hint="eastAsia"/>
          <w:snapToGrid w:val="0"/>
        </w:rPr>
        <w:t>2</w:t>
      </w:r>
      <w:r>
        <w:rPr>
          <w:snapToGrid w:val="0"/>
        </w:rPr>
        <w:t>.</w:t>
      </w:r>
      <w:r>
        <w:rPr>
          <w:rFonts w:hint="eastAsia"/>
          <w:snapToGrid w:val="0"/>
        </w:rPr>
        <w:t>1</w:t>
      </w:r>
      <w:r>
        <w:rPr>
          <w:snapToGrid w:val="0"/>
        </w:rPr>
        <w:tab/>
      </w:r>
      <w:r>
        <w:rPr>
          <w:snapToGrid w:val="0"/>
        </w:rPr>
        <w:t xml:space="preserve">Applicability </w:t>
      </w:r>
      <w:r>
        <w:rPr>
          <w:rFonts w:hint="eastAsia"/>
          <w:snapToGrid w:val="0"/>
        </w:rPr>
        <w:t xml:space="preserve">of </w:t>
      </w:r>
      <w:r>
        <w:rPr>
          <w:snapToGrid w:val="0"/>
        </w:rPr>
        <w:t>requirements</w:t>
      </w:r>
      <w:r>
        <w:rPr>
          <w:rFonts w:hint="eastAsia"/>
          <w:snapToGrid w:val="0"/>
        </w:rPr>
        <w:t xml:space="preserve"> for different channel bandwidths</w:t>
      </w:r>
      <w:bookmarkEnd w:id="1502"/>
      <w:bookmarkEnd w:id="1503"/>
      <w:bookmarkEnd w:id="1504"/>
      <w:bookmarkEnd w:id="1505"/>
      <w:bookmarkEnd w:id="1506"/>
      <w:bookmarkEnd w:id="1507"/>
      <w:bookmarkEnd w:id="1508"/>
    </w:p>
    <w:p>
      <w:pPr>
        <w:rPr>
          <w:rFonts w:cs="Arial"/>
        </w:rPr>
      </w:pPr>
      <w:r>
        <w:rPr>
          <w:rFonts w:cs="Arial"/>
        </w:rPr>
        <w:t>In Clause 8 the test cases may be defined with different channel bandwidth to verify the same target FRC conditions with the same propagation conditions, correlation matrix and antenna configuration.</w:t>
      </w:r>
    </w:p>
    <w:p>
      <w:pPr>
        <w:pStyle w:val="6"/>
      </w:pPr>
      <w:bookmarkStart w:id="1509" w:name="_Toc114565699"/>
      <w:bookmarkStart w:id="1510" w:name="_Toc67918015"/>
      <w:bookmarkStart w:id="1511" w:name="_Toc13300"/>
      <w:bookmarkStart w:id="1512" w:name="_Toc98849322"/>
      <w:bookmarkStart w:id="1513" w:name="_Toc40209779"/>
      <w:bookmarkStart w:id="1514" w:name="_Toc21338163"/>
      <w:bookmarkStart w:id="1515" w:name="_Toc76572070"/>
      <w:bookmarkStart w:id="1516" w:name="_Toc76652775"/>
      <w:bookmarkStart w:id="1517" w:name="_Toc107233034"/>
      <w:bookmarkStart w:id="1518" w:name="_Toc115267787"/>
      <w:bookmarkStart w:id="1519" w:name="_Toc53176595"/>
      <w:bookmarkStart w:id="1520" w:name="_Toc29808271"/>
      <w:bookmarkStart w:id="1521" w:name="_Toc83742047"/>
      <w:bookmarkStart w:id="1522" w:name="_Toc76651937"/>
      <w:bookmarkStart w:id="1523" w:name="_Toc107476886"/>
      <w:bookmarkStart w:id="1524" w:name="_Toc131734990"/>
      <w:bookmarkStart w:id="1525" w:name="_Toc12596"/>
      <w:bookmarkStart w:id="1526" w:name="_Toc40209437"/>
      <w:bookmarkStart w:id="1527" w:name="_Toc15994"/>
      <w:bookmarkStart w:id="1528" w:name="_Toc61120871"/>
      <w:bookmarkStart w:id="1529" w:name="_Toc37083733"/>
      <w:bookmarkStart w:id="1530" w:name="_Toc107419593"/>
      <w:bookmarkStart w:id="1531" w:name="_Toc260"/>
      <w:bookmarkStart w:id="1532" w:name="_Toc106737267"/>
      <w:bookmarkStart w:id="1533" w:name="_Toc45892738"/>
      <w:bookmarkStart w:id="1534" w:name="_Toc76298058"/>
      <w:bookmarkStart w:id="1535" w:name="_Toc124256677"/>
      <w:bookmarkStart w:id="1536" w:name="_Toc137386451"/>
      <w:bookmarkStart w:id="1537" w:name="_Toc21783"/>
      <w:bookmarkStart w:id="1538" w:name="_Toc107234624"/>
      <w:bookmarkStart w:id="1539" w:name="_Toc137401335"/>
      <w:bookmarkStart w:id="1540" w:name="_Toc91440537"/>
      <w:bookmarkStart w:id="1541" w:name="_Toc123057984"/>
      <w:bookmarkStart w:id="1542" w:name="_Toc37068190"/>
      <w:bookmarkStart w:id="1543" w:name="_Toc37084075"/>
      <w:bookmarkStart w:id="1544" w:name="_Toc106543172"/>
      <w:r>
        <w:t>8.1.2.2</w:t>
      </w:r>
      <w:r>
        <w:rPr>
          <w:rFonts w:hint="eastAsia"/>
        </w:rPr>
        <w:tab/>
      </w:r>
      <w:r>
        <w:t xml:space="preserve">Applicability </w:t>
      </w:r>
      <w:bookmarkStart w:id="1545" w:name="_Hlk132983007"/>
      <w:r>
        <w:t xml:space="preserve">of requirements for optional UE </w:t>
      </w:r>
      <w:r>
        <w:rPr>
          <w:rFonts w:hint="eastAsia"/>
        </w:rPr>
        <w:t>features</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bookmarkStart w:id="1546" w:name="_Hlk19883175"/>
      <w:r>
        <w:t xml:space="preserve">The performance requirements in Table 8.1.2.2-1 shall apply for UEs which support optional UE </w:t>
      </w:r>
      <w:r>
        <w:rPr>
          <w:rFonts w:hint="eastAsia"/>
        </w:rPr>
        <w:t>features</w:t>
      </w:r>
      <w:r>
        <w:t xml:space="preserve"> only. If same test is listed for different UE features/capabilities in Clauses 8.1.2.2, then this test shall apply for UEs which support all corresponding UE features/capabilities.</w:t>
      </w:r>
    </w:p>
    <w:p>
      <w:pPr>
        <w:pStyle w:val="113"/>
      </w:pPr>
      <w:r>
        <w:t>Table 8.1.2.2-1: Requirements applicability for optional UE features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1"/>
        <w:gridCol w:w="1887"/>
        <w:gridCol w:w="4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0" w:type="auto"/>
            <w:vAlign w:val="center"/>
          </w:tcPr>
          <w:p>
            <w:pPr>
              <w:pStyle w:val="104"/>
            </w:pPr>
            <w:bookmarkStart w:id="1547" w:name="_Hlk136268787"/>
            <w:r>
              <w:t>UE feature/capability</w:t>
            </w:r>
          </w:p>
        </w:tc>
        <w:tc>
          <w:tcPr>
            <w:tcW w:w="0" w:type="auto"/>
            <w:vAlign w:val="center"/>
          </w:tcPr>
          <w:p>
            <w:pPr>
              <w:pStyle w:val="104"/>
            </w:pPr>
            <w:r>
              <w:t>Test list</w:t>
            </w:r>
          </w:p>
        </w:tc>
        <w:tc>
          <w:tcPr>
            <w:tcW w:w="0" w:type="auto"/>
            <w:vAlign w:val="center"/>
          </w:tcPr>
          <w:p>
            <w:pPr>
              <w:pStyle w:val="104"/>
            </w:pPr>
            <w:r>
              <w:t>Applicability 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0" w:type="auto"/>
            <w:vMerge w:val="restart"/>
            <w:vAlign w:val="center"/>
          </w:tcPr>
          <w:p>
            <w:pPr>
              <w:pStyle w:val="103"/>
              <w:rPr>
                <w:lang w:val="en-US"/>
              </w:rPr>
            </w:pPr>
            <w:r>
              <w:rPr>
                <w:lang w:val="en-US"/>
              </w:rPr>
              <w:t>NTN access (ntn-Connectivity-EPC-r17)</w:t>
            </w:r>
          </w:p>
        </w:tc>
        <w:tc>
          <w:tcPr>
            <w:tcW w:w="0" w:type="auto"/>
            <w:vAlign w:val="center"/>
          </w:tcPr>
          <w:p>
            <w:pPr>
              <w:pStyle w:val="103"/>
              <w:rPr>
                <w:lang w:val="en-US"/>
              </w:rPr>
            </w:pPr>
            <w:r>
              <w:rPr>
                <w:lang w:val="en-US"/>
              </w:rPr>
              <w:t>Clause 8.2.1.1.1 (Test 1</w:t>
            </w:r>
            <w:r>
              <w:rPr>
                <w:rFonts w:hint="eastAsia"/>
                <w:lang w:val="en-US"/>
              </w:rPr>
              <w:t>,</w:t>
            </w:r>
            <w:r>
              <w:rPr>
                <w:lang w:val="en-US"/>
              </w:rPr>
              <w:t xml:space="preserve"> Test 2, Test 3)</w:t>
            </w:r>
          </w:p>
        </w:tc>
        <w:tc>
          <w:tcPr>
            <w:tcW w:w="0" w:type="auto"/>
            <w:vAlign w:val="center"/>
          </w:tcPr>
          <w:p>
            <w:pPr>
              <w:pStyle w:val="103"/>
              <w:rPr>
                <w:lang w:val="en-US"/>
              </w:rPr>
            </w:pPr>
            <w:r>
              <w:rPr>
                <w:lang w:val="en-US"/>
              </w:rPr>
              <w:t>The requirements apply only for UE Category 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0" w:type="auto"/>
            <w:vMerge w:val="continue"/>
            <w:vAlign w:val="center"/>
          </w:tcPr>
          <w:p>
            <w:pPr>
              <w:pStyle w:val="103"/>
              <w:rPr>
                <w:lang w:val="en-US"/>
              </w:rPr>
            </w:pPr>
          </w:p>
        </w:tc>
        <w:tc>
          <w:tcPr>
            <w:tcW w:w="0" w:type="auto"/>
            <w:vAlign w:val="center"/>
          </w:tcPr>
          <w:p>
            <w:pPr>
              <w:pStyle w:val="103"/>
              <w:rPr>
                <w:lang w:val="en-US"/>
              </w:rPr>
            </w:pPr>
            <w:r>
              <w:rPr>
                <w:lang w:val="en-US"/>
              </w:rPr>
              <w:t>Clause 8.3.1.1.1 (Test 1, Test 2)</w:t>
            </w:r>
          </w:p>
        </w:tc>
        <w:tc>
          <w:tcPr>
            <w:tcW w:w="0" w:type="auto"/>
            <w:vAlign w:val="center"/>
          </w:tcPr>
          <w:p>
            <w:pPr>
              <w:pStyle w:val="103"/>
              <w:rPr>
                <w:lang w:val="en-US"/>
              </w:rPr>
            </w:pPr>
            <w:r>
              <w:rPr>
                <w:lang w:val="en-US"/>
              </w:rPr>
              <w:t>The requirements apply only for UE Category 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0" w:type="auto"/>
            <w:vMerge w:val="restart"/>
            <w:vAlign w:val="center"/>
          </w:tcPr>
          <w:p>
            <w:pPr>
              <w:pStyle w:val="103"/>
              <w:rPr>
                <w:lang w:val="en-US"/>
              </w:rPr>
            </w:pPr>
            <w:r>
              <w:rPr>
                <w:lang w:val="en-US"/>
              </w:rPr>
              <w:t>NTN scenario support (ntn-ScenarioSupport-r17)</w:t>
            </w:r>
          </w:p>
        </w:tc>
        <w:tc>
          <w:tcPr>
            <w:tcW w:w="0" w:type="auto"/>
            <w:vAlign w:val="center"/>
          </w:tcPr>
          <w:p>
            <w:pPr>
              <w:pStyle w:val="103"/>
              <w:rPr>
                <w:lang w:val="en-US"/>
              </w:rPr>
            </w:pPr>
            <w:r>
              <w:rPr>
                <w:lang w:val="en-US"/>
              </w:rPr>
              <w:t>Clause 8.2.1.1.1 (Test 1</w:t>
            </w:r>
            <w:r>
              <w:rPr>
                <w:rFonts w:hint="eastAsia"/>
                <w:lang w:val="en-US"/>
              </w:rPr>
              <w:t>,</w:t>
            </w:r>
            <w:r>
              <w:rPr>
                <w:lang w:val="en-US"/>
              </w:rPr>
              <w:t xml:space="preserve"> Test 2, Test 3)</w:t>
            </w:r>
          </w:p>
        </w:tc>
        <w:tc>
          <w:tcPr>
            <w:tcW w:w="0" w:type="auto"/>
            <w:vAlign w:val="center"/>
          </w:tcPr>
          <w:p>
            <w:pPr>
              <w:pStyle w:val="103"/>
              <w:rPr>
                <w:lang w:val="en-US"/>
              </w:rPr>
            </w:pPr>
            <w:r>
              <w:rPr>
                <w:lang w:val="en-US"/>
              </w:rPr>
              <w:t>The requirements apply only for UE Category M1, and only when ntn-ScenarioSupport-r17 is “ngso” or is not included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0" w:type="auto"/>
            <w:vMerge w:val="continue"/>
            <w:vAlign w:val="center"/>
          </w:tcPr>
          <w:p>
            <w:pPr>
              <w:pStyle w:val="103"/>
              <w:rPr>
                <w:lang w:val="en-US"/>
              </w:rPr>
            </w:pPr>
          </w:p>
        </w:tc>
        <w:tc>
          <w:tcPr>
            <w:tcW w:w="0" w:type="auto"/>
            <w:vAlign w:val="center"/>
          </w:tcPr>
          <w:p>
            <w:pPr>
              <w:pStyle w:val="103"/>
              <w:rPr>
                <w:lang w:val="en-US"/>
              </w:rPr>
            </w:pPr>
            <w:r>
              <w:rPr>
                <w:lang w:val="en-US"/>
              </w:rPr>
              <w:t>Clause 8.3.1.1.1 (Test 1, Test 2)</w:t>
            </w:r>
          </w:p>
        </w:tc>
        <w:tc>
          <w:tcPr>
            <w:tcW w:w="0" w:type="auto"/>
            <w:vAlign w:val="center"/>
          </w:tcPr>
          <w:p>
            <w:pPr>
              <w:pStyle w:val="103"/>
              <w:rPr>
                <w:lang w:val="en-US"/>
              </w:rPr>
            </w:pPr>
            <w:r>
              <w:rPr>
                <w:lang w:val="en-US"/>
              </w:rPr>
              <w:t>The requirements apply only for UE Category NB1, NB2, and only when ntn-ScenarioSupport-r17 is “ngso” or is not included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0" w:type="auto"/>
            <w:vAlign w:val="center"/>
          </w:tcPr>
          <w:p>
            <w:pPr>
              <w:pStyle w:val="103"/>
              <w:rPr>
                <w:lang w:val="en-US"/>
              </w:rPr>
            </w:pPr>
            <w:r>
              <w:rPr>
                <w:lang w:val="en-US"/>
              </w:rPr>
              <w:t>Operation in coverage enhancement mode A (ce-ModeA-r13)</w:t>
            </w:r>
          </w:p>
        </w:tc>
        <w:tc>
          <w:tcPr>
            <w:tcW w:w="0" w:type="auto"/>
            <w:vAlign w:val="center"/>
          </w:tcPr>
          <w:p>
            <w:pPr>
              <w:pStyle w:val="103"/>
              <w:rPr>
                <w:lang w:val="en-US"/>
              </w:rPr>
            </w:pPr>
            <w:r>
              <w:rPr>
                <w:lang w:val="en-US"/>
              </w:rPr>
              <w:t>Clause 8.2.1.1.1 (Test 1, Test 2)</w:t>
            </w:r>
          </w:p>
        </w:tc>
        <w:tc>
          <w:tcPr>
            <w:tcW w:w="0" w:type="auto"/>
            <w:vAlign w:val="center"/>
          </w:tcPr>
          <w:p>
            <w:pPr>
              <w:pStyle w:val="103"/>
              <w:rPr>
                <w:lang w:val="en-US"/>
              </w:rPr>
            </w:pPr>
            <w:r>
              <w:rPr>
                <w:rFonts w:hint="eastAsia"/>
                <w:lang w:val="en-US"/>
              </w:rPr>
              <w:t>T</w:t>
            </w:r>
            <w:r>
              <w:rPr>
                <w:lang w:val="en-US"/>
              </w:rPr>
              <w:t>he requirements apply only for UE Category 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0" w:type="auto"/>
            <w:vAlign w:val="center"/>
          </w:tcPr>
          <w:p>
            <w:pPr>
              <w:pStyle w:val="103"/>
              <w:rPr>
                <w:lang w:val="en-US"/>
              </w:rPr>
            </w:pPr>
            <w:r>
              <w:rPr>
                <w:lang w:val="en-US"/>
              </w:rPr>
              <w:t>Operation in coverage enhancement mode B (ce-ModeB-r13)</w:t>
            </w:r>
          </w:p>
        </w:tc>
        <w:tc>
          <w:tcPr>
            <w:tcW w:w="0" w:type="auto"/>
            <w:vAlign w:val="center"/>
          </w:tcPr>
          <w:p>
            <w:pPr>
              <w:pStyle w:val="103"/>
              <w:rPr>
                <w:lang w:val="en-US"/>
              </w:rPr>
            </w:pPr>
            <w:r>
              <w:rPr>
                <w:lang w:val="en-US"/>
              </w:rPr>
              <w:t>Clause 8.2.1.1.1 (Test 3)</w:t>
            </w:r>
          </w:p>
        </w:tc>
        <w:tc>
          <w:tcPr>
            <w:tcW w:w="0" w:type="auto"/>
            <w:vAlign w:val="center"/>
          </w:tcPr>
          <w:p>
            <w:pPr>
              <w:pStyle w:val="103"/>
              <w:rPr>
                <w:lang w:val="en-US"/>
              </w:rPr>
            </w:pPr>
            <w:r>
              <w:rPr>
                <w:lang w:val="en-US"/>
              </w:rPr>
              <w:t>The requirements apply only for UE Category 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0" w:type="auto"/>
            <w:gridSpan w:val="3"/>
            <w:vAlign w:val="center"/>
          </w:tcPr>
          <w:p>
            <w:pPr>
              <w:pStyle w:val="118"/>
            </w:pPr>
            <w:r>
              <w:rPr>
                <w:rFonts w:hint="eastAsia"/>
                <w:lang w:val="en-US" w:eastAsia="zh-TW"/>
              </w:rPr>
              <w:t>N</w:t>
            </w:r>
            <w:r>
              <w:rPr>
                <w:lang w:val="en-US" w:eastAsia="zh-TW"/>
              </w:rPr>
              <w:t>ote:</w:t>
            </w:r>
            <w:r>
              <w:rPr>
                <w:rFonts w:eastAsia="MS Mincho"/>
                <w:sz w:val="28"/>
              </w:rPr>
              <w:tab/>
            </w:r>
            <w:r>
              <w:rPr>
                <w:lang w:val="en-US" w:eastAsia="zh-TW"/>
              </w:rPr>
              <w:t xml:space="preserve">For UE supports </w:t>
            </w:r>
            <w:r>
              <w:rPr>
                <w:lang w:val="en-US"/>
              </w:rPr>
              <w:t>NTN access (</w:t>
            </w:r>
            <w:r>
              <w:rPr>
                <w:i/>
                <w:lang w:val="en-US"/>
              </w:rPr>
              <w:t>ntn-Connectivity-EPC-r17</w:t>
            </w:r>
            <w:r>
              <w:rPr>
                <w:lang w:val="en-US"/>
              </w:rPr>
              <w:t>), the requirements</w:t>
            </w:r>
            <w:r>
              <w:rPr>
                <w:lang w:val="en-US" w:eastAsia="zh-TW"/>
              </w:rPr>
              <w:t xml:space="preserve"> in TS36.101[7] Clause 8 and Clause 9 also applies to UE according to the UE category and capability</w:t>
            </w:r>
          </w:p>
        </w:tc>
      </w:tr>
      <w:bookmarkEnd w:id="1547"/>
    </w:tbl>
    <w:p/>
    <w:bookmarkEnd w:id="1546"/>
    <w:p>
      <w:pPr>
        <w:pStyle w:val="5"/>
      </w:pPr>
      <w:bookmarkStart w:id="1548" w:name="_Toc14946"/>
      <w:bookmarkStart w:id="1549" w:name="_Toc137401336"/>
      <w:bookmarkStart w:id="1550" w:name="_Toc15401"/>
      <w:bookmarkStart w:id="1551" w:name="_Toc24057"/>
      <w:bookmarkStart w:id="1552" w:name="_Toc6511"/>
      <w:bookmarkStart w:id="1553" w:name="_Toc5540"/>
      <w:r>
        <w:rPr>
          <w:rFonts w:eastAsia="MS Mincho"/>
        </w:rPr>
        <w:t>8.1.</w:t>
      </w:r>
      <w:r>
        <w:t>3</w:t>
      </w:r>
      <w:r>
        <w:rPr>
          <w:rFonts w:eastAsia="MS Mincho"/>
        </w:rPr>
        <w:tab/>
      </w:r>
      <w:r>
        <w:rPr>
          <w:snapToGrid w:val="0"/>
        </w:rPr>
        <w:t>UE category and UE DL category</w:t>
      </w:r>
      <w:bookmarkEnd w:id="1548"/>
      <w:bookmarkEnd w:id="1549"/>
      <w:bookmarkEnd w:id="1550"/>
      <w:bookmarkEnd w:id="1551"/>
      <w:bookmarkEnd w:id="1552"/>
      <w:bookmarkEnd w:id="1553"/>
    </w:p>
    <w:p>
      <w:pPr>
        <w:rPr>
          <w:rFonts w:eastAsia="宋体"/>
          <w:b/>
          <w:lang w:val="en-US"/>
        </w:rPr>
      </w:pPr>
      <w:r>
        <w:rPr>
          <w:rFonts w:eastAsia="宋体"/>
          <w:lang w:val="en-US"/>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p>
    <w:p>
      <w:pPr>
        <w:pStyle w:val="4"/>
        <w:rPr>
          <w:rFonts w:eastAsia="PMingLiU"/>
          <w:lang w:val="en-US"/>
        </w:rPr>
      </w:pPr>
      <w:bookmarkStart w:id="1554" w:name="_Toc25911"/>
      <w:bookmarkStart w:id="1555" w:name="_Toc20291"/>
      <w:bookmarkStart w:id="1556" w:name="_Toc19229"/>
      <w:bookmarkStart w:id="1557" w:name="_Toc16138"/>
      <w:bookmarkStart w:id="1558" w:name="_Toc25037"/>
      <w:r>
        <w:rPr>
          <w:rFonts w:eastAsia="PMingLiU"/>
          <w:lang w:val="en-US"/>
        </w:rPr>
        <w:t>8.2</w:t>
      </w:r>
      <w:r>
        <w:rPr>
          <w:rFonts w:eastAsia="PMingLiU"/>
          <w:lang w:val="en-US"/>
        </w:rPr>
        <w:tab/>
      </w:r>
      <w:r>
        <w:rPr>
          <w:rFonts w:eastAsia="PMingLiU"/>
          <w:lang w:val="en-US"/>
        </w:rPr>
        <w:t>Demodulation for IOT NTN UE category M1</w:t>
      </w:r>
      <w:bookmarkEnd w:id="1554"/>
      <w:bookmarkEnd w:id="1555"/>
      <w:bookmarkEnd w:id="1556"/>
      <w:bookmarkEnd w:id="1557"/>
      <w:bookmarkEnd w:id="1558"/>
    </w:p>
    <w:p>
      <w:pPr>
        <w:pStyle w:val="5"/>
        <w:rPr>
          <w:rFonts w:cs="Arial"/>
          <w:szCs w:val="28"/>
        </w:rPr>
      </w:pPr>
      <w:bookmarkStart w:id="1559" w:name="_Toc28056"/>
      <w:bookmarkStart w:id="1560" w:name="_Toc27537"/>
      <w:bookmarkStart w:id="1561" w:name="_Toc15803"/>
      <w:bookmarkStart w:id="1562" w:name="_Toc9093"/>
      <w:bookmarkStart w:id="1563" w:name="_Toc4036"/>
      <w:r>
        <w:rPr>
          <w:rFonts w:cs="Arial"/>
          <w:szCs w:val="28"/>
        </w:rPr>
        <w:t>8.2.1</w:t>
      </w:r>
      <w:r>
        <w:rPr>
          <w:rFonts w:cs="Arial"/>
          <w:szCs w:val="28"/>
        </w:rPr>
        <w:tab/>
      </w:r>
      <w:r>
        <w:rPr>
          <w:rFonts w:cs="Arial"/>
          <w:szCs w:val="28"/>
        </w:rPr>
        <w:t>FDD and half-duplex FDD</w:t>
      </w:r>
      <w:bookmarkEnd w:id="1559"/>
      <w:bookmarkEnd w:id="1560"/>
      <w:bookmarkEnd w:id="1561"/>
      <w:bookmarkEnd w:id="1562"/>
      <w:bookmarkEnd w:id="1563"/>
    </w:p>
    <w:p>
      <w:pPr>
        <w:pStyle w:val="6"/>
      </w:pPr>
      <w:bookmarkStart w:id="1564" w:name="_Toc12971"/>
      <w:bookmarkStart w:id="1565" w:name="_Toc8550"/>
      <w:bookmarkStart w:id="1566" w:name="_Toc22085"/>
      <w:bookmarkStart w:id="1567" w:name="_Toc27739"/>
      <w:bookmarkStart w:id="1568" w:name="_Toc935"/>
      <w:r>
        <w:t>8.2.1.1</w:t>
      </w:r>
      <w:r>
        <w:tab/>
      </w:r>
      <w:r>
        <w:t>PDSCH</w:t>
      </w:r>
      <w:bookmarkEnd w:id="1564"/>
      <w:bookmarkEnd w:id="1565"/>
      <w:bookmarkEnd w:id="1566"/>
      <w:bookmarkEnd w:id="1567"/>
      <w:bookmarkEnd w:id="1568"/>
    </w:p>
    <w:p>
      <w:pPr>
        <w:rPr>
          <w:lang w:val="en-US"/>
        </w:rPr>
      </w:pPr>
      <w:r>
        <w:rPr>
          <w:lang w:val="en-US"/>
        </w:rPr>
        <w:t>The parameters specified in Table 8.2.1.1-1 and 8.2.1.1-2 are valid for FDD and half-duplex FDD tests unless otherwise stated.</w:t>
      </w:r>
    </w:p>
    <w:p>
      <w:pPr>
        <w:pStyle w:val="113"/>
      </w:pPr>
      <w:r>
        <w:t>Table 8.2.1.1-1: Common Test Parameters for 8.2.1.1.2 to 8.2.1.1.5(FDD and half-duplex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pStyle w:val="104"/>
              <w:rPr>
                <w:rFonts w:eastAsia="?? ??" w:cs="Arial"/>
                <w:kern w:val="2"/>
              </w:rPr>
            </w:pPr>
            <w:r>
              <w:rPr>
                <w:rFonts w:eastAsia="?? ??" w:cs="Arial"/>
                <w:kern w:val="2"/>
              </w:rPr>
              <w:t>Parameter</w:t>
            </w:r>
          </w:p>
        </w:tc>
        <w:tc>
          <w:tcPr>
            <w:tcW w:w="1698" w:type="dxa"/>
            <w:tcBorders>
              <w:top w:val="single" w:color="auto" w:sz="4" w:space="0"/>
              <w:left w:val="single" w:color="auto" w:sz="4" w:space="0"/>
              <w:bottom w:val="single" w:color="auto" w:sz="4" w:space="0"/>
              <w:right w:val="single" w:color="auto" w:sz="4" w:space="0"/>
            </w:tcBorders>
          </w:tcPr>
          <w:p>
            <w:pPr>
              <w:pStyle w:val="104"/>
              <w:rPr>
                <w:rFonts w:eastAsia="?? ??" w:cs="Arial"/>
                <w:kern w:val="2"/>
              </w:rPr>
            </w:pPr>
            <w:r>
              <w:rPr>
                <w:rFonts w:eastAsia="?? ??" w:cs="Arial"/>
                <w:kern w:val="2"/>
              </w:rPr>
              <w:t>Unit</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cs="Arial"/>
                <w:kern w:val="2"/>
              </w:rPr>
            </w:pPr>
            <w:r>
              <w:rPr>
                <w:rFonts w:eastAsia="?? ??" w:cs="Arial"/>
                <w:kern w:val="2"/>
              </w:rPr>
              <w:t xml:space="preserve">CE Mode A </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cs="Arial"/>
                <w:kern w:val="2"/>
              </w:rPr>
            </w:pPr>
            <w:r>
              <w:rPr>
                <w:rFonts w:eastAsia="?? ??" w:cs="Arial"/>
                <w:kern w:val="2"/>
              </w:rP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Number of HARQ processes per component carrier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Processes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8 or 10</w:t>
            </w:r>
          </w:p>
          <w:p>
            <w:pPr>
              <w:pStyle w:val="105"/>
              <w:rPr>
                <w:rFonts w:eastAsia="?? ??" w:cs="Arial"/>
                <w:kern w:val="2"/>
              </w:rPr>
            </w:pPr>
            <w:r>
              <w:rPr>
                <w:rFonts w:eastAsia="?? ??" w:cs="Arial"/>
                <w:kern w:val="2"/>
              </w:rPr>
              <w:t>(Note 2)</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position w:val="-10"/>
              </w:rPr>
            </w:pPr>
            <w:r>
              <w:rPr>
                <w:rFonts w:cs="Arial"/>
                <w:kern w:val="2"/>
              </w:rPr>
              <w:t>Maximum number of HARQ transmission</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4</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Redundancy version coding sequence</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bottom"/>
          </w:tcPr>
          <w:p>
            <w:pPr>
              <w:pStyle w:val="105"/>
              <w:rPr>
                <w:rFonts w:eastAsia="?? ??" w:cs="Arial"/>
                <w:kern w:val="2"/>
              </w:rPr>
            </w:pPr>
            <w:r>
              <w:rPr>
                <w:rFonts w:eastAsia="?? ??" w:cs="Arial"/>
                <w:kern w:val="2"/>
              </w:rPr>
              <w:t>{0, 2, 3</w:t>
            </w:r>
            <w:r>
              <w:rPr>
                <w:rFonts w:eastAsia="Malgun Gothic" w:cs="Arial"/>
                <w:kern w:val="2"/>
                <w:lang w:eastAsia="ko-KR"/>
              </w:rPr>
              <w:t>,1</w:t>
            </w:r>
            <w:r>
              <w:rPr>
                <w:rFonts w:eastAsia="?? ??" w:cs="Arial"/>
                <w:kern w:val="2"/>
              </w:rPr>
              <w:t>} for QPSK and 16QAM</w:t>
            </w:r>
          </w:p>
          <w:p>
            <w:pPr>
              <w:pStyle w:val="105"/>
              <w:jc w:val="left"/>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bottom"/>
          </w:tcPr>
          <w:p>
            <w:pPr>
              <w:pStyle w:val="105"/>
              <w:rPr>
                <w:rFonts w:eastAsia="?? ??" w:cs="Arial"/>
                <w:kern w:val="2"/>
              </w:rPr>
            </w:pPr>
            <w:r>
              <w:rPr>
                <w:rFonts w:eastAsia="?? ??" w:cs="Arial"/>
                <w:kern w:val="2"/>
              </w:rPr>
              <w:t>{</w:t>
            </w:r>
            <w:r>
              <w:rPr>
                <w:kern w:val="2"/>
              </w:rPr>
              <w:t>0,0,0,0,2,2,2,2,3,3,3,3,1,1,1,1</w:t>
            </w:r>
            <w:r>
              <w:rPr>
                <w:rFonts w:eastAsia="?? ??" w:cs="Arial"/>
                <w:kern w:val="2"/>
              </w:rPr>
              <w:t>…} for QPSK</w:t>
            </w:r>
          </w:p>
          <w:p>
            <w:pPr>
              <w:pStyle w:val="105"/>
              <w:rPr>
                <w:rFonts w:eastAsia="?? ??" w:cs="Arial"/>
                <w:kern w:val="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Number of OFDM symbols for PDCCH per component carrier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OFDM symbols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4 for 1.4 MHz bandwidth, 3 for 3 MHz and 5 MHz bandwidths, 2 for 10 MHz, 15 MHz and 20 MHz bandwidths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4 for 1.4 MHz bandwidth, 3 for 3 MHz and 5 MHz bandwidths, 2 for 10 MHz, 15 MHz and 20 MHz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Cyclic Prefix</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Normal</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 xml:space="preserve">Beamforming Precoder for MPDCCH </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Annex B.4.4</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Annex B.4.4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Precoder update granularity for MPDCCH</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Frequency domain: 1 PRB</w:t>
            </w:r>
          </w:p>
          <w:p>
            <w:pPr>
              <w:pStyle w:val="105"/>
              <w:rPr>
                <w:rFonts w:cs="Arial"/>
                <w:kern w:val="2"/>
              </w:rPr>
            </w:pPr>
            <w:r>
              <w:rPr>
                <w:rFonts w:cs="Arial"/>
                <w:kern w:val="2"/>
              </w:rPr>
              <w:t>Time domain: identical during the hopping period (interval-FDD for CE Mode A)</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Frequency domain: 1 PRB</w:t>
            </w:r>
          </w:p>
          <w:p>
            <w:pPr>
              <w:pStyle w:val="105"/>
              <w:rPr>
                <w:rFonts w:cs="Arial"/>
                <w:kern w:val="2"/>
              </w:rPr>
            </w:pPr>
            <w:r>
              <w:rPr>
                <w:rFonts w:cs="Arial"/>
                <w:kern w:val="2"/>
              </w:rPr>
              <w:t>Time domain: identical during the hopping period (interval-FDD for 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BL/CE DL subframe comfiguration (fdd-DownlinkOrTddSubframeBitmapBR)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1111111111</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1111111111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9260" w:type="dxa"/>
            <w:gridSpan w:val="4"/>
            <w:tcBorders>
              <w:top w:val="single" w:color="auto" w:sz="4" w:space="0"/>
              <w:left w:val="single" w:color="auto" w:sz="4" w:space="0"/>
              <w:bottom w:val="single" w:color="auto" w:sz="4" w:space="0"/>
              <w:right w:val="single" w:color="auto" w:sz="4" w:space="0"/>
            </w:tcBorders>
            <w:vAlign w:val="center"/>
          </w:tcPr>
          <w:p>
            <w:pPr>
              <w:pStyle w:val="118"/>
              <w:rPr>
                <w:kern w:val="2"/>
              </w:rPr>
            </w:pPr>
            <w:r>
              <w:rPr>
                <w:kern w:val="2"/>
              </w:rPr>
              <w:t>Note 1:</w:t>
            </w:r>
            <w:r>
              <w:rPr>
                <w:snapToGrid w:val="0"/>
              </w:rPr>
              <w:tab/>
            </w:r>
            <w:r>
              <w:rPr>
                <w:kern w:val="2"/>
              </w:rPr>
              <w:t>rvidx is defined in TS 36.213[6] Table 7.1.7.1-2.</w:t>
            </w:r>
          </w:p>
          <w:p>
            <w:pPr>
              <w:pStyle w:val="118"/>
              <w:rPr>
                <w:rFonts w:cs="Arial"/>
                <w:kern w:val="2"/>
              </w:rPr>
            </w:pPr>
            <w:r>
              <w:rPr>
                <w:rFonts w:cs="Arial"/>
                <w:kern w:val="2"/>
              </w:rPr>
              <w:t>Note 2:</w:t>
            </w:r>
            <w:r>
              <w:rPr>
                <w:rFonts w:cs="Arial"/>
                <w:kern w:val="2"/>
              </w:rPr>
              <w:tab/>
            </w:r>
            <w:r>
              <w:rPr>
                <w:rFonts w:cs="Arial"/>
                <w:kern w:val="2"/>
              </w:rPr>
              <w:t>For UE supporting ce-pdsch-tenProcesses-r13, the number of HARQ processese are set to 10, otherwise, it is set to 8.</w:t>
            </w:r>
          </w:p>
        </w:tc>
      </w:tr>
    </w:tbl>
    <w:p>
      <w:pPr>
        <w:rPr>
          <w:lang w:eastAsia="en-GB"/>
        </w:rPr>
      </w:pPr>
      <w:r>
        <w:rPr>
          <w:lang w:eastAsia="en-GB"/>
        </w:rPr>
        <w:t xml:space="preserve"> </w:t>
      </w:r>
    </w:p>
    <w:p>
      <w:pPr>
        <w:pStyle w:val="113"/>
        <w:rPr>
          <w:lang w:val="en-US"/>
        </w:rPr>
      </w:pPr>
      <w:r>
        <w:rPr>
          <w:lang w:val="en-US"/>
        </w:rPr>
        <w:t>Table 8.2.1.1-2: Common Test Parameters for 8.2.1.1.1(FDD and half-duplex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pStyle w:val="104"/>
              <w:rPr>
                <w:rFonts w:eastAsia="?? ??" w:cs="Arial"/>
                <w:kern w:val="2"/>
                <w:lang w:val="en-US" w:eastAsia="ja-JP"/>
              </w:rPr>
            </w:pPr>
            <w:r>
              <w:rPr>
                <w:rFonts w:eastAsia="?? ??" w:cs="Arial"/>
                <w:kern w:val="2"/>
                <w:lang w:val="en-US" w:eastAsia="ja-JP"/>
              </w:rPr>
              <w:t>Parameter</w:t>
            </w:r>
          </w:p>
        </w:tc>
        <w:tc>
          <w:tcPr>
            <w:tcW w:w="1698" w:type="dxa"/>
            <w:tcBorders>
              <w:top w:val="single" w:color="auto" w:sz="4" w:space="0"/>
              <w:left w:val="single" w:color="auto" w:sz="4" w:space="0"/>
              <w:bottom w:val="single" w:color="auto" w:sz="4" w:space="0"/>
              <w:right w:val="single" w:color="auto" w:sz="4" w:space="0"/>
            </w:tcBorders>
          </w:tcPr>
          <w:p>
            <w:pPr>
              <w:pStyle w:val="104"/>
              <w:rPr>
                <w:rFonts w:eastAsia="?? ??" w:cs="Arial"/>
                <w:kern w:val="2"/>
                <w:lang w:val="en-US" w:eastAsia="ja-JP"/>
              </w:rPr>
            </w:pPr>
            <w:r>
              <w:rPr>
                <w:rFonts w:eastAsia="?? ??" w:cs="Arial"/>
                <w:kern w:val="2"/>
                <w:lang w:val="en-US" w:eastAsia="ja-JP"/>
              </w:rPr>
              <w:t>Unit</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cs="Arial"/>
                <w:kern w:val="2"/>
                <w:lang w:val="en-US" w:eastAsia="ja-JP"/>
              </w:rPr>
            </w:pPr>
            <w:r>
              <w:rPr>
                <w:rFonts w:eastAsia="?? ??" w:cs="Arial"/>
                <w:kern w:val="2"/>
                <w:lang w:val="en-US" w:eastAsia="ja-JP"/>
              </w:rPr>
              <w:t xml:space="preserve">CE Mode A </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cs="Arial"/>
                <w:kern w:val="2"/>
                <w:lang w:val="en-US" w:eastAsia="ja-JP"/>
              </w:rPr>
            </w:pPr>
            <w:r>
              <w:rPr>
                <w:rFonts w:eastAsia="?? ??" w:cs="Arial"/>
                <w:kern w:val="2"/>
                <w:lang w:val="en-US" w:eastAsia="ja-JP"/>
              </w:rP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eastAsia="ja-JP"/>
              </w:rPr>
            </w:pPr>
            <w:r>
              <w:rPr>
                <w:kern w:val="2"/>
                <w:lang w:val="en-US" w:eastAsia="ja-JP"/>
              </w:rPr>
              <w:t>Inter-TTI Distance</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1</w:t>
            </w:r>
          </w:p>
        </w:tc>
        <w:tc>
          <w:tcPr>
            <w:tcW w:w="2701" w:type="dxa"/>
            <w:tcBorders>
              <w:top w:val="single" w:color="auto" w:sz="4" w:space="0"/>
              <w:left w:val="single" w:color="auto" w:sz="4" w:space="0"/>
              <w:bottom w:val="single" w:color="auto" w:sz="4" w:space="0"/>
              <w:right w:val="single" w:color="auto" w:sz="4" w:space="0"/>
            </w:tcBorders>
          </w:tcPr>
          <w:p>
            <w:pPr>
              <w:pStyle w:val="105"/>
              <w:rPr>
                <w:rFonts w:eastAsia="?? ??" w:cs="Arial"/>
                <w:kern w:val="2"/>
                <w:lang w:val="en-US" w:eastAsia="ja-JP"/>
              </w:rPr>
            </w:pPr>
            <w:r>
              <w:rPr>
                <w:rFonts w:eastAsia="?? ??" w:cs="Arial"/>
                <w:kern w:val="2"/>
                <w:lang w:val="en-US" w:eastAsia="ja-JP"/>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eastAsia="ja-JP"/>
              </w:rPr>
            </w:pPr>
            <w:r>
              <w:rPr>
                <w:kern w:val="2"/>
                <w:lang w:val="en-US" w:eastAsia="ja-JP"/>
              </w:rPr>
              <w:t>Number of HARQ processes per component carrier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Processes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8</w:t>
            </w:r>
          </w:p>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position w:val="-10"/>
                <w:lang w:val="en-US" w:eastAsia="ja-JP"/>
              </w:rPr>
            </w:pPr>
            <w:r>
              <w:rPr>
                <w:kern w:val="2"/>
                <w:lang w:val="en-US" w:eastAsia="ja-JP"/>
              </w:rPr>
              <w:t>Maximum number of HARQ transmission</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4</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eastAsia="ja-JP"/>
              </w:rPr>
            </w:pPr>
            <w:r>
              <w:rPr>
                <w:kern w:val="2"/>
                <w:lang w:val="en-US" w:eastAsia="ja-JP"/>
              </w:rPr>
              <w:t>Redundancy version coding sequence</w:t>
            </w:r>
            <w:r>
              <w:rPr>
                <w:rFonts w:cs="Arial"/>
                <w:kern w:val="2"/>
                <w:lang w:val="en-US"/>
              </w:rPr>
              <w:t xml:space="preserve"> </w:t>
            </w:r>
            <w:r>
              <w:rPr>
                <w:i/>
                <w:lang w:val="en-US" w:eastAsia="ja-JP"/>
              </w:rPr>
              <w:t>rv</w:t>
            </w:r>
            <w:r>
              <w:rPr>
                <w:i/>
                <w:vertAlign w:val="subscript"/>
                <w:lang w:val="en-US" w:eastAsia="ja-JP"/>
              </w:rPr>
              <w:t xml:space="preserve">idx </w:t>
            </w:r>
            <w:r>
              <w:rPr>
                <w:rFonts w:cs="Arial"/>
                <w:kern w:val="2"/>
                <w:lang w:val="en-US"/>
              </w:rPr>
              <w:t>(Note 1)</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w:t>
            </w:r>
            <w:r>
              <w:rPr>
                <w:kern w:val="2"/>
                <w:lang w:val="en-US"/>
              </w:rPr>
              <w:t>0, 2, 3, 1</w:t>
            </w:r>
            <w:r>
              <w:rPr>
                <w:rFonts w:eastAsia="?? ??" w:cs="Arial"/>
                <w:kern w:val="2"/>
                <w:lang w:val="en-US" w:eastAsia="ja-JP"/>
              </w:rPr>
              <w:t>} for QPSK and 16QAM</w:t>
            </w:r>
          </w:p>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w:t>
            </w:r>
            <w:r>
              <w:rPr>
                <w:kern w:val="2"/>
                <w:lang w:val="en-US"/>
              </w:rPr>
              <w:t>0,0,0,0,2,2,2,2,3,3,3,3,1,1,1,1</w:t>
            </w:r>
            <w:r>
              <w:rPr>
                <w:rFonts w:eastAsia="?? ??" w:cs="Arial"/>
                <w:kern w:val="2"/>
                <w:lang w:val="en-US" w:eastAsia="ja-JP"/>
              </w:rPr>
              <w:t>…} for 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eastAsia="ja-JP"/>
              </w:rPr>
            </w:pPr>
            <w:r>
              <w:rPr>
                <w:kern w:val="2"/>
                <w:lang w:val="en-US" w:eastAsia="ja-JP"/>
              </w:rPr>
              <w:t>Cyclic Prefix</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Normal</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rPr>
            </w:pPr>
            <w:r>
              <w:rPr>
                <w:kern w:val="2"/>
                <w:lang w:val="en-US"/>
              </w:rPr>
              <w:t xml:space="preserve">Beamforming Precoder for MPDCCH </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N/A</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rPr>
            </w:pPr>
            <w:r>
              <w:rPr>
                <w:kern w:val="2"/>
                <w:lang w:val="en-US"/>
              </w:rPr>
              <w:t>BL/CE DL subframe comfiguration (fdd-DownlinkOrTddSubframeBitmapBR)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1111111111</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1111111111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sv-SE"/>
              </w:rPr>
            </w:pPr>
            <w:r>
              <w:rPr>
                <w:kern w:val="2"/>
                <w:lang w:val="sv-SE"/>
              </w:rPr>
              <w:t>HARQ bundling(</w:t>
            </w:r>
            <w:r>
              <w:rPr>
                <w:lang w:val="sv-SE"/>
              </w:rPr>
              <w:t>ce-HARQ-AckBundling</w:t>
            </w:r>
            <w:r>
              <w:rPr>
                <w:kern w:val="2"/>
                <w:lang w:val="sv-SE"/>
              </w:rP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sv-SE"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Disabled</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Disabled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rPr>
            </w:pPr>
            <w:r>
              <w:rPr>
                <w:kern w:val="2"/>
                <w:lang w:val="en-US"/>
              </w:rPr>
              <w:t>K</w:t>
            </w:r>
            <w:r>
              <w:rPr>
                <w:kern w:val="2"/>
                <w:vertAlign w:val="subscript"/>
                <w:lang w:val="en-US"/>
              </w:rPr>
              <w:t>offset</w:t>
            </w:r>
            <w:r>
              <w:rPr>
                <w:kern w:val="2"/>
                <w:lang w:val="en-US"/>
              </w:rPr>
              <w:t xml:space="preserve"> (k-Offset)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ms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8</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9260" w:type="dxa"/>
            <w:gridSpan w:val="4"/>
            <w:tcBorders>
              <w:top w:val="single" w:color="auto" w:sz="4" w:space="0"/>
              <w:left w:val="single" w:color="auto" w:sz="4" w:space="0"/>
              <w:bottom w:val="single" w:color="auto" w:sz="4" w:space="0"/>
              <w:right w:val="single" w:color="auto" w:sz="4" w:space="0"/>
            </w:tcBorders>
            <w:vAlign w:val="center"/>
          </w:tcPr>
          <w:p>
            <w:pPr>
              <w:pStyle w:val="118"/>
              <w:rPr>
                <w:lang w:val="en-US"/>
              </w:rPr>
            </w:pPr>
            <w:r>
              <w:rPr>
                <w:rFonts w:cs="Arial"/>
                <w:kern w:val="2"/>
                <w:lang w:val="en-US"/>
              </w:rPr>
              <w:t>Note 1:</w:t>
            </w:r>
            <w:r>
              <w:rPr>
                <w:snapToGrid w:val="0"/>
                <w:kern w:val="2"/>
                <w:lang w:val="en-US"/>
              </w:rPr>
              <w:tab/>
            </w:r>
            <w:r>
              <w:rPr>
                <w:i/>
                <w:lang w:val="en-US" w:eastAsia="ja-JP"/>
              </w:rPr>
              <w:t>rv</w:t>
            </w:r>
            <w:r>
              <w:rPr>
                <w:i/>
                <w:vertAlign w:val="subscript"/>
                <w:lang w:val="en-US" w:eastAsia="ja-JP"/>
              </w:rPr>
              <w:t>idx</w:t>
            </w:r>
            <w:r>
              <w:rPr>
                <w:lang w:val="en-US" w:eastAsia="ja-JP"/>
              </w:rPr>
              <w:t xml:space="preserve"> is defined in TS 36.213</w:t>
            </w:r>
            <w:r>
              <w:rPr>
                <w:kern w:val="2"/>
              </w:rPr>
              <w:t>[6]</w:t>
            </w:r>
            <w:r>
              <w:rPr>
                <w:lang w:val="en-US" w:eastAsia="ja-JP"/>
              </w:rPr>
              <w:t xml:space="preserve"> table 7.1.7.1-2</w:t>
            </w:r>
            <w:r>
              <w:rPr>
                <w:lang w:val="en-US"/>
              </w:rPr>
              <w:t>.</w:t>
            </w:r>
          </w:p>
        </w:tc>
      </w:tr>
    </w:tbl>
    <w:p>
      <w:pPr>
        <w:pStyle w:val="7"/>
        <w:rPr>
          <w:rFonts w:cs="Arial"/>
          <w:szCs w:val="22"/>
        </w:rPr>
      </w:pPr>
      <w:bookmarkStart w:id="1569" w:name="_Toc19838"/>
      <w:bookmarkStart w:id="1570" w:name="_Toc19126"/>
      <w:bookmarkStart w:id="1571" w:name="_Toc3543"/>
      <w:bookmarkStart w:id="1572" w:name="_Toc13760"/>
      <w:r>
        <w:rPr>
          <w:snapToGrid w:val="0"/>
          <w:lang w:val="en-US"/>
        </w:rPr>
        <w:t>8.2.1.1.1</w:t>
      </w:r>
      <w:r>
        <w:rPr>
          <w:snapToGrid w:val="0"/>
          <w:lang w:val="en-US"/>
        </w:rPr>
        <w:tab/>
      </w:r>
      <w:r>
        <w:rPr>
          <w:snapToGrid w:val="0"/>
          <w:lang w:val="en-US"/>
        </w:rPr>
        <w:t xml:space="preserve">PDSCH in standalone mode </w:t>
      </w:r>
      <w:r>
        <w:rPr>
          <w:rFonts w:hint="eastAsia"/>
          <w:snapToGrid w:val="0"/>
          <w:lang w:val="en-US"/>
        </w:rPr>
        <w:t>for UE category M1</w:t>
      </w:r>
      <w:r>
        <w:rPr>
          <w:snapToGrid w:val="0"/>
          <w:lang w:val="en-US"/>
        </w:rPr>
        <w:t xml:space="preserve"> under NTN fading conditions</w:t>
      </w:r>
      <w:bookmarkEnd w:id="1569"/>
      <w:bookmarkEnd w:id="1570"/>
      <w:bookmarkEnd w:id="1571"/>
      <w:bookmarkEnd w:id="1572"/>
    </w:p>
    <w:p>
      <w:pPr>
        <w:pStyle w:val="112"/>
        <w:rPr>
          <w:i w:val="0"/>
          <w:iCs w:val="0"/>
          <w:lang w:val="en-GB"/>
        </w:rPr>
      </w:pPr>
      <w:r>
        <w:t>Editor’s Note: Addition to applicability spec is pending.</w:t>
      </w:r>
    </w:p>
    <w:p>
      <w:pPr>
        <w:pStyle w:val="9"/>
      </w:pPr>
      <w:r>
        <w:t>8.2.1.1.1.1</w:t>
      </w:r>
      <w:r>
        <w:tab/>
      </w:r>
      <w:r>
        <w:t>Test purpose</w:t>
      </w:r>
    </w:p>
    <w:p>
      <w:r>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Pr>
          <w:rFonts w:hint="eastAsia"/>
        </w:rPr>
        <w:t>one</w:t>
      </w:r>
      <w:r>
        <w:t xml:space="preserve"> antenna ports.</w:t>
      </w:r>
    </w:p>
    <w:p>
      <w:pPr>
        <w:pStyle w:val="9"/>
      </w:pPr>
      <w:r>
        <w:rPr>
          <w:snapToGrid w:val="0"/>
          <w:kern w:val="2"/>
        </w:rPr>
        <w:t>8.2.1.1.1.2</w:t>
      </w:r>
      <w:r>
        <w:tab/>
      </w:r>
      <w:r>
        <w:t>Test applicability</w:t>
      </w:r>
    </w:p>
    <w:p>
      <w:r>
        <w:t xml:space="preserve">This test applies to all types of E-UTRA FDD UE release 17 and forward of UE category M1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8.2.1.1.1.3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pPr>
        <w:rPr>
          <w:lang w:val="en-US"/>
        </w:rPr>
      </w:pPr>
      <w:r>
        <w:rPr>
          <w:lang w:val="en-US"/>
        </w:rPr>
        <w:t>The requirements are specified in Table 8.2.1.1.1.3-2, with the addition of the parameters in Table 8.2.1.1.1.3-1, and the downlink physical channel setup according to Annex C.3.2. The purpose is to verify the performance of single antenna port configuration.</w:t>
      </w:r>
    </w:p>
    <w:p>
      <w:pPr>
        <w:keepNext/>
        <w:keepLines/>
        <w:spacing w:before="60"/>
        <w:jc w:val="center"/>
        <w:rPr>
          <w:rFonts w:ascii="Arial" w:hAnsi="Arial"/>
          <w:b/>
          <w:lang w:eastAsia="en-GB"/>
        </w:rPr>
      </w:pPr>
      <w:r>
        <w:rPr>
          <w:rFonts w:ascii="Arial" w:hAnsi="Arial"/>
          <w:b/>
          <w:lang w:eastAsia="en-GB"/>
        </w:rPr>
        <w:t>Table 8.2.1</w:t>
      </w:r>
      <w:r>
        <w:rPr>
          <w:rFonts w:hint="eastAsia" w:ascii="Arial" w:hAnsi="Arial"/>
          <w:b/>
        </w:rPr>
        <w:t>.1.</w:t>
      </w:r>
      <w:r>
        <w:rPr>
          <w:rFonts w:ascii="Arial" w:hAnsi="Arial"/>
          <w:b/>
        </w:rPr>
        <w:t>1.3</w:t>
      </w:r>
      <w:r>
        <w:rPr>
          <w:rFonts w:ascii="Arial" w:hAnsi="Arial"/>
          <w:b/>
          <w:lang w:eastAsia="en-GB"/>
        </w:rPr>
        <w:t>-1: Test Parameters for single antenna port (FRC)</w:t>
      </w:r>
    </w:p>
    <w:tbl>
      <w:tblPr>
        <w:tblStyle w:val="89"/>
        <w:tblW w:w="41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54"/>
        <w:gridCol w:w="937"/>
        <w:gridCol w:w="1174"/>
        <w:gridCol w:w="1169"/>
        <w:gridCol w:w="1169"/>
        <w:gridCol w:w="11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08" w:type="dxa"/>
            <w:gridSpan w:val="2"/>
            <w:tcBorders>
              <w:top w:val="single" w:color="auto" w:sz="4" w:space="0"/>
              <w:left w:val="single" w:color="auto" w:sz="4" w:space="0"/>
              <w:right w:val="single" w:color="auto" w:sz="4" w:space="0"/>
            </w:tcBorders>
          </w:tcPr>
          <w:p>
            <w:pPr>
              <w:pStyle w:val="104"/>
              <w:rPr>
                <w:rFonts w:eastAsia="?? ??"/>
                <w:lang w:val="en-US"/>
              </w:rPr>
            </w:pPr>
            <w:r>
              <w:rPr>
                <w:rFonts w:eastAsia="?? ??"/>
                <w:lang w:val="en-US"/>
              </w:rPr>
              <w:t>Parameter</w:t>
            </w:r>
          </w:p>
        </w:tc>
        <w:tc>
          <w:tcPr>
            <w:tcW w:w="1147" w:type="dxa"/>
            <w:tcBorders>
              <w:top w:val="single" w:color="auto" w:sz="4" w:space="0"/>
              <w:left w:val="single" w:color="auto" w:sz="4" w:space="0"/>
              <w:bottom w:val="single" w:color="auto" w:sz="4" w:space="0"/>
              <w:right w:val="single" w:color="auto" w:sz="4" w:space="0"/>
            </w:tcBorders>
          </w:tcPr>
          <w:p>
            <w:pPr>
              <w:pStyle w:val="104"/>
              <w:rPr>
                <w:rFonts w:eastAsia="?? ??"/>
                <w:lang w:val="en-US"/>
              </w:rPr>
            </w:pPr>
            <w:r>
              <w:rPr>
                <w:rFonts w:eastAsia="?? ??"/>
                <w:lang w:val="en-US"/>
              </w:rPr>
              <w:t>Unit</w:t>
            </w:r>
          </w:p>
        </w:tc>
        <w:tc>
          <w:tcPr>
            <w:tcW w:w="1142" w:type="dxa"/>
            <w:tcBorders>
              <w:top w:val="single" w:color="auto" w:sz="4" w:space="0"/>
              <w:left w:val="single" w:color="auto" w:sz="4" w:space="0"/>
              <w:bottom w:val="single" w:color="auto" w:sz="4" w:space="0"/>
              <w:right w:val="single" w:color="auto" w:sz="4" w:space="0"/>
            </w:tcBorders>
          </w:tcPr>
          <w:p>
            <w:pPr>
              <w:pStyle w:val="104"/>
              <w:rPr>
                <w:rFonts w:eastAsia="?? ??"/>
                <w:lang w:val="en-US"/>
              </w:rPr>
            </w:pPr>
            <w:r>
              <w:rPr>
                <w:rFonts w:eastAsia="?? ??"/>
                <w:lang w:val="en-US"/>
              </w:rPr>
              <w:t>Test 1</w:t>
            </w:r>
          </w:p>
        </w:tc>
        <w:tc>
          <w:tcPr>
            <w:tcW w:w="1142" w:type="dxa"/>
            <w:tcBorders>
              <w:top w:val="single" w:color="auto" w:sz="4" w:space="0"/>
              <w:left w:val="single" w:color="auto" w:sz="4" w:space="0"/>
              <w:bottom w:val="single" w:color="auto" w:sz="4" w:space="0"/>
              <w:right w:val="single" w:color="auto" w:sz="4" w:space="0"/>
            </w:tcBorders>
          </w:tcPr>
          <w:p>
            <w:pPr>
              <w:pStyle w:val="104"/>
              <w:rPr>
                <w:rFonts w:eastAsia="?? ??"/>
                <w:lang w:val="en-US"/>
              </w:rPr>
            </w:pPr>
            <w:r>
              <w:rPr>
                <w:rFonts w:eastAsia="?? ??"/>
                <w:lang w:val="en-US"/>
              </w:rPr>
              <w:t xml:space="preserve">Test </w:t>
            </w:r>
            <w:r>
              <w:rPr>
                <w:lang w:val="en-US"/>
              </w:rPr>
              <w:t>2</w:t>
            </w:r>
          </w:p>
        </w:tc>
        <w:tc>
          <w:tcPr>
            <w:tcW w:w="1142" w:type="dxa"/>
            <w:tcBorders>
              <w:top w:val="single" w:color="auto" w:sz="4" w:space="0"/>
              <w:left w:val="single" w:color="auto" w:sz="4" w:space="0"/>
              <w:bottom w:val="single" w:color="auto" w:sz="4" w:space="0"/>
              <w:right w:val="single" w:color="auto" w:sz="4" w:space="0"/>
            </w:tcBorders>
          </w:tcPr>
          <w:p>
            <w:pPr>
              <w:pStyle w:val="104"/>
              <w:rPr>
                <w:rFonts w:eastAsia="?? ??"/>
                <w:lang w:val="en-US"/>
              </w:rPr>
            </w:pPr>
            <w:r>
              <w:rPr>
                <w:rFonts w:eastAsia="?? ??"/>
                <w:lang w:val="en-US"/>
              </w:rPr>
              <w:t>Test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2593" w:type="dxa"/>
            <w:vMerge w:val="restart"/>
            <w:tcBorders>
              <w:top w:val="single" w:color="auto" w:sz="4" w:space="0"/>
              <w:left w:val="single" w:color="auto" w:sz="4" w:space="0"/>
              <w:right w:val="single" w:color="auto" w:sz="4" w:space="0"/>
            </w:tcBorders>
            <w:vAlign w:val="center"/>
          </w:tcPr>
          <w:p>
            <w:pPr>
              <w:pStyle w:val="105"/>
              <w:rPr>
                <w:rFonts w:cs="Arial"/>
                <w:kern w:val="2"/>
                <w:lang w:val="en-US"/>
              </w:rPr>
            </w:pPr>
            <w:r>
              <w:rPr>
                <w:rFonts w:cs="Arial"/>
                <w:kern w:val="2"/>
                <w:lang w:val="en-US"/>
              </w:rPr>
              <w:t>Downlink power allocation</w:t>
            </w: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m:oMathPara>
              <m:oMath>
                <m:sSub>
                  <m:sSubPr>
                    <m:ctrlPr>
                      <w:rPr>
                        <w:rFonts w:ascii="Cambria Math" w:hAnsi="Cambria Math" w:eastAsia="?? ??" w:cs="Arial"/>
                        <w:i/>
                        <w:kern w:val="2"/>
                        <w:lang w:val="en-US"/>
                      </w:rPr>
                    </m:ctrlPr>
                  </m:sSubPr>
                  <m:e>
                    <m:r>
                      <m:rPr/>
                      <w:rPr>
                        <w:rFonts w:ascii="Cambria Math" w:hAnsi="Cambria Math" w:eastAsia="?? ??" w:cs="Arial"/>
                        <w:kern w:val="2"/>
                        <w:lang w:val="en-US"/>
                      </w:rPr>
                      <m:t>ρ</m:t>
                    </m:r>
                    <m:ctrlPr>
                      <w:rPr>
                        <w:rFonts w:ascii="Cambria Math" w:hAnsi="Cambria Math" w:eastAsia="?? ??" w:cs="Arial"/>
                        <w:i/>
                        <w:kern w:val="2"/>
                        <w:lang w:val="en-US"/>
                      </w:rPr>
                    </m:ctrlPr>
                  </m:e>
                  <m:sub>
                    <m:r>
                      <m:rPr/>
                      <w:rPr>
                        <w:rFonts w:ascii="Cambria Math" w:hAnsi="Cambria Math" w:eastAsia="?? ??" w:cs="Arial"/>
                        <w:kern w:val="2"/>
                        <w:lang w:val="en-US"/>
                      </w:rPr>
                      <m:t>A</m:t>
                    </m:r>
                    <m:ctrlPr>
                      <w:rPr>
                        <w:rFonts w:ascii="Cambria Math" w:hAnsi="Cambria Math" w:eastAsia="?? ??" w:cs="Arial"/>
                        <w:i/>
                        <w:kern w:val="2"/>
                        <w:lang w:val="en-US"/>
                      </w:rPr>
                    </m:ctrlPr>
                  </m:sub>
                </m:sSub>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2593" w:type="dxa"/>
            <w:vMerge w:val="continue"/>
            <w:tcBorders>
              <w:left w:val="single" w:color="auto" w:sz="4" w:space="0"/>
              <w:right w:val="single" w:color="auto" w:sz="4" w:space="0"/>
            </w:tcBorders>
            <w:vAlign w:val="center"/>
          </w:tcPr>
          <w:p>
            <w:pPr>
              <w:pStyle w:val="105"/>
              <w:rPr>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m:oMathPara>
              <m:oMath>
                <m:sSub>
                  <m:sSubPr>
                    <m:ctrlPr>
                      <w:rPr>
                        <w:rFonts w:ascii="Cambria Math" w:hAnsi="Cambria Math" w:eastAsia="?? ??" w:cs="Arial"/>
                        <w:i/>
                        <w:kern w:val="2"/>
                        <w:lang w:val="en-US"/>
                      </w:rPr>
                    </m:ctrlPr>
                  </m:sSubPr>
                  <m:e>
                    <m:r>
                      <m:rPr/>
                      <w:rPr>
                        <w:rFonts w:ascii="Cambria Math" w:hAnsi="Cambria Math" w:eastAsia="?? ??" w:cs="Arial"/>
                        <w:kern w:val="2"/>
                        <w:lang w:val="en-US"/>
                      </w:rPr>
                      <m:t>ρ</m:t>
                    </m:r>
                    <m:ctrlPr>
                      <w:rPr>
                        <w:rFonts w:ascii="Cambria Math" w:hAnsi="Cambria Math" w:eastAsia="?? ??" w:cs="Arial"/>
                        <w:i/>
                        <w:kern w:val="2"/>
                        <w:lang w:val="en-US"/>
                      </w:rPr>
                    </m:ctrlPr>
                  </m:e>
                  <m:sub>
                    <m:r>
                      <m:rPr/>
                      <w:rPr>
                        <w:rFonts w:ascii="Cambria Math" w:hAnsi="Cambria Math" w:eastAsia="?? ??" w:cs="Arial"/>
                        <w:kern w:val="2"/>
                        <w:lang w:val="en-US"/>
                      </w:rPr>
                      <m:t>B</m:t>
                    </m:r>
                    <m:ctrlPr>
                      <w:rPr>
                        <w:rFonts w:ascii="Cambria Math" w:hAnsi="Cambria Math" w:eastAsia="?? ??" w:cs="Arial"/>
                        <w:i/>
                        <w:kern w:val="2"/>
                        <w:lang w:val="en-US"/>
                      </w:rPr>
                    </m:ctrlPr>
                  </m:sub>
                </m:sSub>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 (Note 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 (Note 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2593" w:type="dxa"/>
            <w:vMerge w:val="continue"/>
            <w:tcBorders>
              <w:left w:val="single" w:color="auto" w:sz="4" w:space="0"/>
              <w:right w:val="single" w:color="auto" w:sz="4" w:space="0"/>
            </w:tcBorders>
            <w:vAlign w:val="center"/>
          </w:tcPr>
          <w:p>
            <w:pPr>
              <w:pStyle w:val="105"/>
              <w:rPr>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m:oMathPara>
              <m:oMath>
                <m:r>
                  <m:rPr/>
                  <w:rPr>
                    <w:rFonts w:ascii="Cambria Math" w:hAnsi="Cambria Math" w:eastAsia="?? ??" w:cs="Arial"/>
                    <w:kern w:val="2"/>
                    <w:lang w:val="en-US"/>
                  </w:rPr>
                  <m:t>σ</m:t>
                </m:r>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2593" w:type="dxa"/>
            <w:vMerge w:val="continue"/>
            <w:tcBorders>
              <w:left w:val="single" w:color="auto" w:sz="4" w:space="0"/>
              <w:right w:val="single" w:color="auto" w:sz="4" w:space="0"/>
            </w:tcBorders>
            <w:vAlign w:val="center"/>
          </w:tcPr>
          <w:p>
            <w:pPr>
              <w:pStyle w:val="105"/>
              <w:rPr>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m:oMathPara>
              <m:oMath>
                <m:r>
                  <m:rPr/>
                  <w:rPr>
                    <w:rFonts w:ascii="Cambria Math" w:hAnsi="Cambria Math" w:eastAsia="?? ??" w:cs="Arial"/>
                    <w:kern w:val="2"/>
                    <w:lang w:val="en-US"/>
                  </w:rPr>
                  <m:t>δ</m:t>
                </m:r>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oc</m:t>
                  </m:r>
                  <m:ctrlPr>
                    <w:rPr>
                      <w:rFonts w:ascii="Cambria Math" w:hAnsi="Cambria Math"/>
                      <w:i/>
                      <w:lang w:val="en-US"/>
                    </w:rPr>
                  </m:ctrlPr>
                </m:sub>
              </m:sSub>
            </m:oMath>
            <w:r>
              <w:rPr>
                <w:lang w:val="en-US"/>
              </w:rPr>
              <w:t xml:space="preserve"> at antenna port</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dBm/15kHz</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-98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-98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position w:val="-12"/>
                <w:lang w:val="en-US"/>
              </w:rPr>
            </w:pPr>
            <w:r>
              <w:rPr>
                <w:lang w:val="en-US"/>
              </w:rPr>
              <w:t>Coverage enhancement mode</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CE Mode 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CE Mode 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lang w:val="en-US"/>
              </w:rPr>
            </w:pPr>
            <w:r>
              <w:rPr>
                <w:lang w:val="en-US"/>
              </w:rPr>
              <w:t>PDSCH transmission mode</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rPr>
            </w:pPr>
            <w:r>
              <w:rPr>
                <w:rFonts w:cs="Arial"/>
                <w:lang w:val="en-US"/>
              </w:rPr>
              <w:t>OFDM starting symbol (startSymbolBR)</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rPr>
            </w:pPr>
            <w:r>
              <w:rPr>
                <w:rFonts w:cs="Arial"/>
                <w:lang w:val="en-US"/>
              </w:rPr>
              <w:t>Maximum number of repetitions</w:t>
            </w:r>
          </w:p>
          <w:p>
            <w:pPr>
              <w:pStyle w:val="103"/>
              <w:rPr>
                <w:rFonts w:cs="Arial"/>
                <w:lang w:val="en-US"/>
              </w:rPr>
            </w:pPr>
            <w:r>
              <w:rPr>
                <w:rFonts w:cs="Arial"/>
                <w:lang w:val="en-US" w:eastAsia="ja-JP"/>
              </w:rPr>
              <w:t>(</w:t>
            </w:r>
            <w:r>
              <w:rPr>
                <w:rFonts w:cs="Arial"/>
                <w:lang w:val="en-US"/>
              </w:rPr>
              <w:t>for PDSCH (</w:t>
            </w:r>
            <w:r>
              <w:rPr>
                <w:i/>
                <w:lang w:val="en-US"/>
              </w:rPr>
              <w:t>pdsch-maxNumRepetitionCEmodeA/ pdsch-maxNumRepetitionCEmodeB</w:t>
            </w:r>
            <w:r>
              <w:rPr>
                <w:rFonts w:cs="Arial"/>
                <w:lang w:val="en-US"/>
              </w:rPr>
              <w:t>)</w:t>
            </w:r>
            <w:r>
              <w:rPr>
                <w:rFonts w:cs="Arial"/>
                <w:lang w:val="en-US" w:eastAsia="ja-JP"/>
              </w:rPr>
              <w:t>)</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Not configured</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Not configured</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rPr>
            </w:pPr>
            <w:r>
              <w:rPr>
                <w:rFonts w:cs="Arial"/>
                <w:lang w:val="en-US"/>
              </w:rPr>
              <w:t>PDSCH repetition number</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rPr>
              <w:t>Frequency hopping</w:t>
            </w:r>
          </w:p>
          <w:p>
            <w:pPr>
              <w:pStyle w:val="103"/>
              <w:rPr>
                <w:rFonts w:cs="Arial"/>
                <w:lang w:val="en-US" w:eastAsia="ja-JP"/>
              </w:rPr>
            </w:pPr>
            <w:r>
              <w:rPr>
                <w:rFonts w:cs="Arial"/>
                <w:lang w:val="en-US" w:eastAsia="ja-JP"/>
              </w:rPr>
              <w:t>(mpdcch-pdsch-HoppingConfig)</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Disabled</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Disabled</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Disabled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rPr>
              <w:t>Frequency hopping offset</w:t>
            </w:r>
          </w:p>
          <w:p>
            <w:pPr>
              <w:pStyle w:val="103"/>
              <w:rPr>
                <w:rFonts w:cs="Arial"/>
                <w:lang w:val="en-US" w:eastAsia="ja-JP"/>
              </w:rPr>
            </w:pPr>
            <w:r>
              <w:rPr>
                <w:rFonts w:cs="Arial"/>
                <w:lang w:val="en-US" w:eastAsia="ja-JP"/>
              </w:rPr>
              <w:t>(mpdcch-pdsch-HoppingOffset)</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eastAsia="ja-JP"/>
              </w:rPr>
              <w:t>Frequency hopping interval</w:t>
            </w:r>
          </w:p>
          <w:p>
            <w:pPr>
              <w:pStyle w:val="103"/>
              <w:rPr>
                <w:rFonts w:cs="Arial"/>
                <w:lang w:val="en-US" w:eastAsia="ja-JP"/>
              </w:rPr>
            </w:pPr>
            <w:r>
              <w:rPr>
                <w:rFonts w:cs="Arial"/>
                <w:lang w:val="en-US" w:eastAsia="ja-JP"/>
              </w:rPr>
              <w:t>(interval-FDD)</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ms</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eastAsia="ja-JP"/>
              </w:rPr>
              <w:t>MPDCCH transmission duration</w:t>
            </w:r>
          </w:p>
          <w:p>
            <w:pPr>
              <w:pStyle w:val="103"/>
              <w:rPr>
                <w:rFonts w:cs="Arial"/>
                <w:lang w:val="en-US" w:eastAsia="ja-JP"/>
              </w:rPr>
            </w:pPr>
            <w:r>
              <w:rPr>
                <w:rFonts w:cs="Arial"/>
                <w:lang w:val="en-US" w:eastAsia="ja-JP"/>
              </w:rPr>
              <w:t>(m</w:t>
            </w:r>
            <w:r>
              <w:rPr>
                <w:rFonts w:cs="Arial"/>
                <w:lang w:val="en-US"/>
              </w:rPr>
              <w:t>PDCCH</w:t>
            </w:r>
            <w:r>
              <w:rPr>
                <w:rFonts w:cs="Arial"/>
                <w:lang w:val="en-US" w:eastAsia="ja-JP"/>
              </w:rPr>
              <w:t>-NumRepetition)</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ms</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rPr>
              <w:t>MPDCCH repetition number</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eastAsia="ja-JP"/>
              </w:rPr>
              <w:t>Number of narrowbands for frequency hopping</w:t>
            </w:r>
          </w:p>
          <w:p>
            <w:pPr>
              <w:pStyle w:val="103"/>
              <w:rPr>
                <w:rFonts w:cs="Arial"/>
                <w:lang w:val="en-US" w:eastAsia="ja-JP"/>
              </w:rPr>
            </w:pPr>
            <w:r>
              <w:rPr>
                <w:rFonts w:cs="Arial"/>
                <w:lang w:val="en-US" w:eastAsia="ja-JP"/>
              </w:rPr>
              <w:t>(mpdcch-pdsch-HoppingNB)</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lang w:val="en-US" w:eastAsia="ja-JP"/>
              </w:rPr>
            </w:pPr>
            <w:r>
              <w:rPr>
                <w:lang w:val="en-US" w:eastAsia="ja-JP"/>
              </w:rPr>
              <w:t>Starting subframe configuration for MPDCCH</w:t>
            </w:r>
          </w:p>
          <w:p>
            <w:pPr>
              <w:pStyle w:val="103"/>
              <w:rPr>
                <w:lang w:val="en-US" w:eastAsia="ja-JP"/>
              </w:rPr>
            </w:pPr>
            <w:r>
              <w:rPr>
                <w:lang w:val="en-US" w:eastAsia="ja-JP"/>
              </w:rPr>
              <w:t>(mpdcch_startSF_UESS)</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4</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eastAsia="ja-JP"/>
              </w:rPr>
              <w:t>Narrowband for MPDCCH</w:t>
            </w:r>
          </w:p>
          <w:p>
            <w:pPr>
              <w:pStyle w:val="103"/>
              <w:rPr>
                <w:rFonts w:cs="Arial"/>
                <w:lang w:val="en-US" w:eastAsia="ja-JP"/>
              </w:rPr>
            </w:pPr>
            <w:r>
              <w:rPr>
                <w:rFonts w:cs="Arial"/>
                <w:lang w:val="en-US" w:eastAsia="ja-JP"/>
              </w:rPr>
              <w:t>(mpdcch_Narrowband)</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lang w:val="en-US" w:eastAsia="ja-JP"/>
              </w:rPr>
            </w:pPr>
            <w:r>
              <w:rPr>
                <w:lang w:val="en-US" w:eastAsia="ja-JP"/>
              </w:rPr>
              <w:t>MPDCCH aggregation level</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24</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8081" w:type="dxa"/>
            <w:gridSpan w:val="6"/>
            <w:tcBorders>
              <w:top w:val="single" w:color="auto" w:sz="4" w:space="0"/>
              <w:left w:val="single" w:color="auto" w:sz="4" w:space="0"/>
              <w:bottom w:val="single" w:color="auto" w:sz="4" w:space="0"/>
              <w:right w:val="single" w:color="auto" w:sz="4" w:space="0"/>
            </w:tcBorders>
            <w:vAlign w:val="center"/>
          </w:tcPr>
          <w:p>
            <w:pPr>
              <w:pStyle w:val="118"/>
              <w:rPr>
                <w:lang w:val="en-US"/>
              </w:rPr>
            </w:pPr>
            <w:r>
              <w:rPr>
                <w:lang w:val="en-US"/>
              </w:rPr>
              <w:t>Note 1:</w:t>
            </w:r>
            <w:r>
              <w:rPr>
                <w:lang w:val="en-US"/>
              </w:rPr>
              <w:tab/>
            </w:r>
            <m:oMath>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B</m:t>
                  </m:r>
                  <m:ctrlPr>
                    <w:rPr>
                      <w:rFonts w:ascii="Cambria Math" w:hAnsi="Cambria Math"/>
                      <w:i/>
                      <w:lang w:val="en-US"/>
                    </w:rPr>
                  </m:ctrlPr>
                </m:sub>
              </m:sSub>
              <m:r>
                <m:rPr/>
                <w:rPr>
                  <w:rFonts w:ascii="Cambria Math" w:hAnsi="Cambria Math"/>
                  <w:lang w:val="en-US"/>
                </w:rPr>
                <m:t>=1</m:t>
              </m:r>
            </m:oMath>
            <w:r>
              <w:rPr>
                <w:lang w:val="en-US"/>
              </w:rPr>
              <w:t>.</w:t>
            </w:r>
          </w:p>
          <w:p>
            <w:pPr>
              <w:pStyle w:val="118"/>
              <w:rPr>
                <w:lang w:val="en-US"/>
              </w:rPr>
            </w:pPr>
            <w:r>
              <w:rPr>
                <w:lang w:val="en-US"/>
              </w:rPr>
              <w:t>Note 2:</w:t>
            </w:r>
            <w:r>
              <w:rPr>
                <w:lang w:val="en-US"/>
              </w:rPr>
              <w:tab/>
            </w:r>
            <w:r>
              <w:rPr>
                <w:lang w:val="en-US"/>
              </w:rPr>
              <w:t>For each test,</w:t>
            </w:r>
            <w:r>
              <w:rPr>
                <w:rFonts w:eastAsia="Malgun Gothic"/>
                <w:lang w:val="en-US"/>
              </w:rPr>
              <w:t xml:space="preserve"> </w:t>
            </w:r>
            <w:r>
              <w:rPr>
                <w:lang w:val="en-US"/>
              </w:rPr>
              <w:t>DC subcarrier puncturing shall be considered.</w:t>
            </w:r>
          </w:p>
          <w:p>
            <w:pPr>
              <w:pStyle w:val="118"/>
              <w:rPr>
                <w:rFonts w:eastAsia="?? ??"/>
                <w:lang w:val="en-US" w:eastAsia="ja-JP"/>
              </w:rPr>
            </w:pPr>
            <w:r>
              <w:rPr>
                <w:lang w:val="en-US"/>
              </w:rPr>
              <w:t>Note 3:</w:t>
            </w:r>
            <w:r>
              <w:rPr>
                <w:lang w:val="en-US"/>
              </w:rPr>
              <w:tab/>
            </w:r>
            <w:r>
              <w:rPr>
                <w:lang w:val="en-US"/>
              </w:rPr>
              <w:t>If not otherwise stated, the values in this table refer to parameters in TS 36.211 [3] or/and TS 36.213 as appropriate.</w:t>
            </w:r>
          </w:p>
        </w:tc>
      </w:tr>
    </w:tbl>
    <w:p/>
    <w:p>
      <w:pPr>
        <w:keepNext/>
        <w:keepLines/>
        <w:spacing w:before="60"/>
        <w:jc w:val="center"/>
        <w:rPr>
          <w:rFonts w:ascii="Arial" w:hAnsi="Arial"/>
          <w:b/>
          <w:lang w:eastAsia="en-GB"/>
        </w:rPr>
      </w:pPr>
      <w:r>
        <w:rPr>
          <w:rFonts w:ascii="Arial" w:hAnsi="Arial"/>
          <w:b/>
          <w:lang w:eastAsia="en-GB"/>
        </w:rPr>
        <w:t>Table 8.2.</w:t>
      </w:r>
      <w:r>
        <w:rPr>
          <w:rFonts w:hint="eastAsia" w:ascii="Arial" w:hAnsi="Arial"/>
          <w:b/>
        </w:rPr>
        <w:t>1</w:t>
      </w:r>
      <w:r>
        <w:rPr>
          <w:rFonts w:ascii="Arial" w:hAnsi="Arial"/>
          <w:b/>
          <w:lang w:eastAsia="en-GB"/>
        </w:rPr>
        <w:t>.1</w:t>
      </w:r>
      <w:r>
        <w:rPr>
          <w:rFonts w:hint="eastAsia" w:ascii="Arial" w:hAnsi="Arial"/>
          <w:b/>
        </w:rPr>
        <w:t>.</w:t>
      </w:r>
      <w:r>
        <w:rPr>
          <w:rFonts w:ascii="Arial" w:hAnsi="Arial"/>
          <w:b/>
        </w:rPr>
        <w:t>1.3</w:t>
      </w:r>
      <w:r>
        <w:rPr>
          <w:rFonts w:ascii="Arial" w:hAnsi="Arial"/>
          <w:b/>
          <w:lang w:eastAsia="en-GB"/>
        </w:rPr>
        <w:t>-2: Minimum performance for single antenna port (FRC)</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8"/>
        <w:gridCol w:w="1164"/>
        <w:gridCol w:w="1113"/>
        <w:gridCol w:w="957"/>
        <w:gridCol w:w="1298"/>
        <w:gridCol w:w="1429"/>
        <w:gridCol w:w="1256"/>
        <w:gridCol w:w="820"/>
        <w:gridCol w:w="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trPr>
        <w:tc>
          <w:tcPr>
            <w:tcW w:w="45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Test number</w:t>
            </w:r>
          </w:p>
        </w:tc>
        <w:tc>
          <w:tcPr>
            <w:tcW w:w="590"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 xml:space="preserve">Bandwidth and MCS </w:t>
            </w:r>
          </w:p>
        </w:tc>
        <w:tc>
          <w:tcPr>
            <w:tcW w:w="564"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Reference Channel</w:t>
            </w:r>
          </w:p>
        </w:tc>
        <w:tc>
          <w:tcPr>
            <w:tcW w:w="48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OCNG Pattern</w:t>
            </w:r>
          </w:p>
        </w:tc>
        <w:tc>
          <w:tcPr>
            <w:tcW w:w="658"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Propagation Condition</w:t>
            </w:r>
          </w:p>
        </w:tc>
        <w:tc>
          <w:tcPr>
            <w:tcW w:w="72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Correlation Matrix and Antenna Configuration</w:t>
            </w:r>
          </w:p>
        </w:tc>
        <w:tc>
          <w:tcPr>
            <w:tcW w:w="1053" w:type="pct"/>
            <w:gridSpan w:val="2"/>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Reference value</w:t>
            </w:r>
          </w:p>
        </w:tc>
        <w:tc>
          <w:tcPr>
            <w:tcW w:w="469" w:type="pct"/>
            <w:vMerge w:val="restart"/>
            <w:tcBorders>
              <w:top w:val="single" w:color="auto" w:sz="4" w:space="0"/>
              <w:left w:val="single" w:color="auto" w:sz="4" w:space="0"/>
              <w:right w:val="single" w:color="auto" w:sz="4" w:space="0"/>
            </w:tcBorders>
          </w:tcPr>
          <w:p>
            <w:pPr>
              <w:pStyle w:val="104"/>
              <w:rPr>
                <w:rFonts w:cs="Arial"/>
                <w:kern w:val="2"/>
                <w:lang w:val="en-US"/>
              </w:rPr>
            </w:pPr>
            <w:r>
              <w:rPr>
                <w:rFonts w:cs="Arial"/>
                <w:kern w:val="2"/>
                <w:lang w:val="en-US"/>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trPr>
        <w:tc>
          <w:tcPr>
            <w:tcW w:w="45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590"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564"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48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658"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72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637" w:type="pc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Fraction of Maximum</w:t>
            </w:r>
          </w:p>
          <w:p>
            <w:pPr>
              <w:pStyle w:val="104"/>
              <w:rPr>
                <w:rFonts w:cs="Arial"/>
                <w:kern w:val="2"/>
                <w:lang w:val="en-US"/>
              </w:rPr>
            </w:pPr>
            <w:r>
              <w:rPr>
                <w:rFonts w:cs="Arial"/>
                <w:kern w:val="2"/>
                <w:lang w:val="en-US"/>
              </w:rPr>
              <w:t>Throughput (%)</w:t>
            </w:r>
          </w:p>
        </w:tc>
        <w:tc>
          <w:tcPr>
            <w:tcW w:w="416" w:type="pc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SNR (dB)</w:t>
            </w:r>
          </w:p>
        </w:tc>
        <w:tc>
          <w:tcPr>
            <w:tcW w:w="469" w:type="pct"/>
            <w:vMerge w:val="continue"/>
            <w:tcBorders>
              <w:left w:val="single" w:color="auto" w:sz="4" w:space="0"/>
              <w:bottom w:val="single" w:color="auto" w:sz="4" w:space="0"/>
              <w:right w:val="single" w:color="auto" w:sz="4" w:space="0"/>
            </w:tcBorders>
          </w:tcPr>
          <w:p>
            <w:pPr>
              <w:pStyle w:val="104"/>
              <w:rPr>
                <w:rFonts w:cs="Arial"/>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eastAsia="ja-JP"/>
              </w:rPr>
            </w:pPr>
            <w:r>
              <w:rPr>
                <w:rFonts w:cs="Arial"/>
                <w:kern w:val="2"/>
                <w:lang w:val="en-US"/>
              </w:rPr>
              <w:t>1.4MHz 16QAM 1/2</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R.1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NTN-TDLC5-30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10.4</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2</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1.4MHz QPSK 1/3</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R.2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NTN-TDLA100-200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-4.2</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3</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1.4MHz QPSK 1/</w:t>
            </w:r>
            <w:r>
              <w:rPr>
                <w:rFonts w:cs="Arial"/>
                <w:kern w:val="2"/>
                <w:lang w:val="en-US" w:eastAsia="ja-JP"/>
              </w:rPr>
              <w:t>10</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R.3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NTN-TDLA100-10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-11.5</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lang w:val="en-US" w:eastAsia="ja-JP"/>
              </w:rPr>
              <w:t>M1</w:t>
            </w:r>
          </w:p>
        </w:tc>
      </w:tr>
    </w:tbl>
    <w:p>
      <w:pPr>
        <w:rPr>
          <w:lang w:val="en-US"/>
        </w:rPr>
      </w:pPr>
    </w:p>
    <w:p>
      <w:pPr>
        <w:rPr>
          <w:lang w:eastAsia="zh-TW"/>
        </w:rPr>
      </w:pPr>
      <w:r>
        <w:t>The normative reference for this requirement is TS 36.102[11] clause 8.2.1.1.1.1</w:t>
      </w:r>
      <w:r>
        <w:rPr>
          <w:lang w:eastAsia="zh-TW"/>
        </w:rPr>
        <w:t>.</w:t>
      </w:r>
    </w:p>
    <w:p>
      <w:pPr>
        <w:pStyle w:val="9"/>
        <w:rPr>
          <w:snapToGrid w:val="0"/>
          <w:kern w:val="2"/>
        </w:rPr>
      </w:pPr>
      <w:r>
        <w:rPr>
          <w:snapToGrid w:val="0"/>
          <w:kern w:val="2"/>
        </w:rPr>
        <w:t>8.2.1.1.1.4</w:t>
      </w:r>
      <w:r>
        <w:rPr>
          <w:snapToGrid w:val="0"/>
          <w:kern w:val="2"/>
        </w:rPr>
        <w:tab/>
      </w:r>
      <w:r>
        <w:rPr>
          <w:snapToGrid w:val="0"/>
          <w:kern w:val="2"/>
        </w:rPr>
        <w:t>Test description</w:t>
      </w:r>
    </w:p>
    <w:p>
      <w:pPr>
        <w:pStyle w:val="9"/>
      </w:pPr>
      <w:r>
        <w:t>8.2.1.1.1.4.1</w:t>
      </w:r>
      <w:r>
        <w:tab/>
      </w:r>
      <w:r>
        <w:t>Initial conditions</w:t>
      </w:r>
    </w:p>
    <w:p>
      <w:r>
        <w:t>Initial conditions are a set of test configurations the UE needs to be tested in and the steps for the SS to take with the UE to reach the correct measurement state.</w:t>
      </w:r>
    </w:p>
    <w:p>
      <w:r>
        <w:t>Configurations of PDSCH and MPDCCH before measurement are specified in Annex C.2.</w:t>
      </w:r>
    </w:p>
    <w:p>
      <w:r>
        <w:t>Test Environment: Normal, as defined in TS 36.508 [7] clause 4.1.</w:t>
      </w:r>
    </w:p>
    <w:p>
      <w:pPr>
        <w:rPr>
          <w:lang w:eastAsia="zh-TW"/>
        </w:rPr>
      </w:pPr>
      <w:r>
        <w:t>Frequencies to be tested: Mid Range, as defined in TS 36.508 [7] clause 4.3.1.1.</w:t>
      </w:r>
    </w:p>
    <w:p>
      <w:r>
        <w:rPr>
          <w:lang w:eastAsia="zh-TW"/>
        </w:rPr>
        <w:t xml:space="preserve">Channel </w:t>
      </w:r>
      <w:r>
        <w:t xml:space="preserve">Bandwidths to be tested: </w:t>
      </w:r>
      <w:r>
        <w:rPr>
          <w:lang w:eastAsia="zh-TW"/>
        </w:rPr>
        <w:t>A</w:t>
      </w:r>
      <w:r>
        <w:t>s</w:t>
      </w:r>
      <w:r>
        <w:rPr>
          <w:lang w:eastAsia="zh-TW"/>
        </w:rPr>
        <w:t xml:space="preserve"> specified in </w:t>
      </w:r>
      <w:r>
        <w:t xml:space="preserve">Table </w:t>
      </w:r>
      <w:r>
        <w:rPr>
          <w:rFonts w:eastAsiaTheme="minorEastAsia"/>
        </w:rPr>
        <w:t>8.2.1.1.1.3-2</w:t>
      </w:r>
      <w:r>
        <w:t xml:space="preserve"> as defined in TS 36.508 [7] clause 4.3.1.</w:t>
      </w:r>
      <w:r>
        <w:rPr>
          <w:lang w:eastAsia="zh-TW"/>
        </w:rPr>
        <w:t>1</w:t>
      </w:r>
      <w:r>
        <w:t>.</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the faders and AWGN noise sources to the UE antenna connectors as shown in TS 36.508[7] Annex A, Figure A.9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Tables 8.2.1.1-1, 8.2.1.1-2 and 8.2.1.1.1.3-1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Annex C.3.2 and uplink signals according to Annex H.1 and H.3.2.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rPr>
        <w:t>5</w:t>
      </w:r>
      <w:r>
        <w:rPr>
          <w:rFonts w:eastAsia="Malgun Gothic"/>
        </w:rPr>
        <w:t>.</w:t>
      </w:r>
      <w:r>
        <w:rPr>
          <w:rFonts w:eastAsia="Malgun Gothic"/>
        </w:rPr>
        <w:tab/>
      </w:r>
      <w:r>
        <w:rPr>
          <w:rFonts w:eastAsia="Malgun Gothic"/>
          <w:lang w:eastAsia="en-GB"/>
        </w:rPr>
        <w:t>UE location according to TS 36.508 [12] clause 5.6.1 is provided to the UE by any preconfigured means.</w:t>
      </w:r>
    </w:p>
    <w:p>
      <w:pPr>
        <w:pStyle w:val="111"/>
        <w:overflowPunct w:val="0"/>
        <w:autoSpaceDE w:val="0"/>
        <w:autoSpaceDN w:val="0"/>
        <w:adjustRightInd w:val="0"/>
        <w:contextualSpacing w:val="0"/>
        <w:textAlignment w:val="baseline"/>
        <w:rPr>
          <w:rFonts w:eastAsia="Malgun Gothic"/>
          <w:lang w:val="en-US" w:eastAsia="en-GB"/>
        </w:rPr>
      </w:pPr>
      <w:r>
        <w:rPr>
          <w:rFonts w:hint="eastAsia" w:eastAsia="Malgun Gothic"/>
          <w:lang w:eastAsia="en-GB"/>
        </w:rPr>
        <w:t>6</w:t>
      </w:r>
      <w:r>
        <w:rPr>
          <w:rFonts w:eastAsia="Malgun Gothic"/>
          <w:lang w:eastAsia="en-GB"/>
        </w:rPr>
        <w:t>.</w:t>
      </w:r>
      <w:r>
        <w:rPr>
          <w:rFonts w:eastAsia="Malgun Gothic"/>
          <w:lang w:eastAsia="en-GB"/>
        </w:rPr>
        <w:tab/>
      </w:r>
      <w:r>
        <w:rPr>
          <w:rFonts w:eastAsia="Malgun Gothic"/>
          <w:lang w:val="en-US" w:eastAsia="en-GB"/>
        </w:rPr>
        <w:t>Test equipment shall emulate the signal with doppler and delay according to ephemeris defined in TS 36.508 [12] table 5.6.2.1-2 for NGSO (LEO-600). Test system shall send same SIB31 information during the duration of the test as defined in TS 36.508 [12] clause 5.6.3.1.</w:t>
      </w:r>
    </w:p>
    <w:p>
      <w:pPr>
        <w:pStyle w:val="111"/>
        <w:overflowPunct w:val="0"/>
        <w:autoSpaceDE w:val="0"/>
        <w:autoSpaceDN w:val="0"/>
        <w:adjustRightInd w:val="0"/>
        <w:contextualSpacing w:val="0"/>
        <w:textAlignment w:val="baseline"/>
        <w:rPr>
          <w:rFonts w:eastAsia="Malgun Gothic"/>
        </w:rPr>
      </w:pPr>
      <w:r>
        <w:rPr>
          <w:rFonts w:hint="eastAsia" w:eastAsia="Malgun Gothic"/>
          <w:lang w:val="en-US" w:eastAsia="en-GB"/>
        </w:rPr>
        <w:t>7</w:t>
      </w:r>
      <w:r>
        <w:rPr>
          <w:rFonts w:eastAsia="Malgun Gothic"/>
          <w:lang w:val="en-US" w:eastAsia="en-GB"/>
        </w:rPr>
        <w:t>.</w:t>
      </w:r>
      <w:r>
        <w:rPr>
          <w:rFonts w:eastAsia="Malgun Gothic"/>
          <w:lang w:val="en-US" w:eastAsia="en-GB"/>
        </w:rPr>
        <w:tab/>
      </w:r>
      <w:r>
        <w:rPr>
          <w:lang w:eastAsia="zh-CN"/>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rPr>
          <w:rFonts w:eastAsia="Malgun Gothic"/>
        </w:rPr>
        <w:t>Ensure the UE is in State 3A-RF-CE according to TS 36.508[7] clause 5.2A.2AA. Message contents are defined in clause 8.2.1.1.1.4.3.</w:t>
      </w:r>
    </w:p>
    <w:p>
      <w:pPr>
        <w:pStyle w:val="9"/>
      </w:pPr>
      <w:r>
        <w:rPr>
          <w:snapToGrid w:val="0"/>
          <w:kern w:val="2"/>
        </w:rPr>
        <w:t>8.2.1.1.1.</w:t>
      </w:r>
      <w:r>
        <w:rPr>
          <w:snapToGrid w:val="0"/>
          <w:kern w:val="2"/>
          <w:lang w:eastAsia="zh-TW"/>
        </w:rPr>
        <w:t>4.</w:t>
      </w:r>
      <w:r>
        <w:t>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PDSCH via MPDCCH DCI with narrowband index nRB = 0 for C_RNTI to transmit the DL RMC according to Tables 8.2.1.1.1.3-1 and 8.2.1.1.1.3-2.</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parameters of the bandwidth, MCS, reference channel, the propagation condition, the correlation matrix, antenna configuration and the SNR according to Table 8.2.1.1.1.5-1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Repeat steps from 1 to 3 for each test interval in Tables 8.2.1.1.1.5-1 as appropriate.</w:t>
      </w:r>
    </w:p>
    <w:p>
      <w:pPr>
        <w:pStyle w:val="9"/>
      </w:pPr>
      <w:r>
        <w:rPr>
          <w:snapToGrid w:val="0"/>
          <w:kern w:val="2"/>
        </w:rPr>
        <w:t>8.2.1.1.1.</w:t>
      </w:r>
      <w:r>
        <w:rPr>
          <w:snapToGrid w:val="0"/>
          <w:kern w:val="2"/>
          <w:lang w:eastAsia="zh-TW"/>
        </w:rPr>
        <w:t>4.</w:t>
      </w:r>
      <w:r>
        <w:rPr>
          <w:lang w:eastAsia="zh-TW"/>
        </w:rPr>
        <w:t>3</w:t>
      </w:r>
      <w:r>
        <w:tab/>
      </w:r>
      <w:r>
        <w:t>Message contents</w:t>
      </w:r>
    </w:p>
    <w:p>
      <w:r>
        <w:t xml:space="preserve">Message contents are according to TS 36.508[7] clause 4.6 </w:t>
      </w:r>
      <w:r>
        <w:rPr>
          <w:rFonts w:hint="eastAsia"/>
        </w:rPr>
        <w:t>and</w:t>
      </w:r>
      <w:r>
        <w:t xml:space="preserve"> clause 4.14 with condition CEModeA with the following exception.</w:t>
      </w:r>
    </w:p>
    <w:p>
      <w:pPr>
        <w:pStyle w:val="113"/>
      </w:pPr>
      <w:r>
        <w:t xml:space="preserve">Table 8.2.1.1.1.4.3-1: EPDCCH-Config-r11-DEFAULT configuration </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4535"/>
        <w:gridCol w:w="2267"/>
        <w:gridCol w:w="1700"/>
        <w:gridCol w:w="10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9597" w:type="dxa"/>
            <w:gridSpan w:val="4"/>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Derivation Path: 36.508 Table 4.6.3-2B</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pStyle w:val="104"/>
              <w:keepNext w:val="0"/>
              <w:keepLines w:val="0"/>
            </w:pPr>
            <w:r>
              <w:t>Information Element</w:t>
            </w:r>
          </w:p>
        </w:tc>
        <w:tc>
          <w:tcPr>
            <w:tcW w:w="2267" w:type="dxa"/>
            <w:tcBorders>
              <w:top w:val="single" w:color="000000" w:sz="4" w:space="0"/>
              <w:left w:val="single" w:color="000000" w:sz="4" w:space="0"/>
              <w:bottom w:val="single" w:color="000000" w:sz="4" w:space="0"/>
              <w:right w:val="single" w:color="000000" w:sz="4" w:space="0"/>
            </w:tcBorders>
          </w:tcPr>
          <w:p>
            <w:pPr>
              <w:pStyle w:val="104"/>
              <w:keepNext w:val="0"/>
              <w:keepLines w:val="0"/>
            </w:pPr>
            <w:r>
              <w:t>Value/remark</w:t>
            </w:r>
          </w:p>
        </w:tc>
        <w:tc>
          <w:tcPr>
            <w:tcW w:w="1700" w:type="dxa"/>
            <w:tcBorders>
              <w:top w:val="single" w:color="000000" w:sz="4" w:space="0"/>
              <w:left w:val="single" w:color="000000" w:sz="4" w:space="0"/>
              <w:bottom w:val="single" w:color="000000" w:sz="4" w:space="0"/>
              <w:right w:val="single" w:color="000000" w:sz="4" w:space="0"/>
            </w:tcBorders>
          </w:tcPr>
          <w:p>
            <w:pPr>
              <w:pStyle w:val="104"/>
              <w:keepNext w:val="0"/>
              <w:keepLines w:val="0"/>
            </w:pPr>
            <w:r>
              <w:t>Comment</w:t>
            </w:r>
          </w:p>
        </w:tc>
        <w:tc>
          <w:tcPr>
            <w:tcW w:w="1095" w:type="dxa"/>
            <w:tcBorders>
              <w:top w:val="single" w:color="000000" w:sz="4" w:space="0"/>
              <w:left w:val="single" w:color="000000" w:sz="4" w:space="0"/>
              <w:bottom w:val="single" w:color="000000" w:sz="4" w:space="0"/>
              <w:right w:val="single" w:color="000000" w:sz="4" w:space="0"/>
            </w:tcBorders>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setConfigToAddModList-r11 SEQUENCE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1 entry</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setConfigId-r11[1]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0</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transmissionType-r11[1]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distributed</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resourceBlockAssignment-r11[1] SEQUENCE{</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numberPRB-Pairs-r11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n2</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trHeight w:val="189" w:hRule="atLeast"/>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resourceBlockAssignment-r11</w:t>
            </w:r>
          </w:p>
        </w:tc>
        <w:tc>
          <w:tcPr>
            <w:tcW w:w="2267" w:type="dxa"/>
            <w:tcBorders>
              <w:top w:val="single" w:color="000000" w:sz="4" w:space="0"/>
              <w:left w:val="single" w:color="000000" w:sz="4" w:space="0"/>
              <w:right w:val="single" w:color="000000" w:sz="4" w:space="0"/>
            </w:tcBorders>
          </w:tcPr>
          <w:p>
            <w:pPr>
              <w:spacing w:after="0"/>
              <w:rPr>
                <w:rFonts w:ascii="Arial" w:hAnsi="Arial"/>
                <w:sz w:val="18"/>
              </w:rPr>
            </w:pPr>
            <w:r>
              <w:rPr>
                <w:rFonts w:ascii="Arial" w:hAnsi="Arial"/>
                <w:sz w:val="18"/>
              </w:rPr>
              <w:t>1110</w:t>
            </w:r>
          </w:p>
        </w:tc>
        <w:tc>
          <w:tcPr>
            <w:tcW w:w="1700" w:type="dxa"/>
            <w:tcBorders>
              <w:top w:val="single" w:color="000000" w:sz="4" w:space="0"/>
              <w:left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dmrs-ScramblingSequenceInt-r11[1]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0</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pucch-ResourceStartOffset-r11[1]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0</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re-MappingQCL-ConfigListId-r11[1]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Not present</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numberPRB-Pairs-v1310 CHOICE[1]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Not present</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mpdcch-config-r13 CHOICE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r>
              <w:t>mpdcch-StartSF-UESS-r13{</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t xml:space="preserve">              fdd-r13</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V1 for test1; v4 for test2; v2dot5 for test3</w:t>
            </w:r>
          </w:p>
        </w:tc>
        <w:tc>
          <w:tcPr>
            <w:tcW w:w="1700" w:type="dxa"/>
            <w:tcBorders>
              <w:top w:val="single" w:color="000000" w:sz="4" w:space="0"/>
              <w:left w:val="single" w:color="000000" w:sz="4" w:space="0"/>
              <w:bottom w:val="single" w:color="000000" w:sz="4" w:space="0"/>
              <w:right w:val="single" w:color="000000" w:sz="4" w:space="0"/>
            </w:tcBorders>
          </w:tcPr>
          <w:p>
            <w:pPr>
              <w:spacing w:after="0"/>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hint="eastAsia" w:ascii="Arial" w:hAnsi="Arial"/>
                <w:sz w:val="18"/>
              </w:rPr>
              <w:t>F</w:t>
            </w:r>
            <w:r>
              <w:rPr>
                <w:rFonts w:ascii="Arial" w:hAnsi="Arial"/>
                <w:sz w:val="18"/>
              </w:rPr>
              <w:t>DD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r>
              <w:t>mpdcch-NumRepetition-r13</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r1 for test1; r8 for test2; r64 for test3</w:t>
            </w:r>
          </w:p>
        </w:tc>
        <w:tc>
          <w:tcPr>
            <w:tcW w:w="1700" w:type="dxa"/>
            <w:tcBorders>
              <w:top w:val="single" w:color="000000" w:sz="4" w:space="0"/>
              <w:left w:val="single" w:color="000000" w:sz="4" w:space="0"/>
              <w:bottom w:val="single" w:color="000000" w:sz="4" w:space="0"/>
              <w:right w:val="single" w:color="000000" w:sz="4" w:space="0"/>
            </w:tcBorders>
          </w:tcPr>
          <w:p>
            <w:pPr>
              <w:spacing w:after="0"/>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mpdcch-Narrowband-r13</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1</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t>Narrowband index 0</w:t>
            </w: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bl>
    <w:p>
      <w:pPr>
        <w:rPr>
          <w:snapToGrid w:val="0"/>
        </w:rPr>
      </w:pPr>
    </w:p>
    <w:p>
      <w:pPr>
        <w:pStyle w:val="9"/>
        <w:rPr>
          <w:snapToGrid w:val="0"/>
          <w:kern w:val="2"/>
        </w:rPr>
      </w:pPr>
      <w:r>
        <w:rPr>
          <w:snapToGrid w:val="0"/>
          <w:kern w:val="2"/>
        </w:rPr>
        <w:t>8.2.1.1.1.5</w:t>
      </w:r>
      <w:r>
        <w:rPr>
          <w:snapToGrid w:val="0"/>
          <w:kern w:val="2"/>
        </w:rPr>
        <w:tab/>
      </w:r>
      <w:r>
        <w:rPr>
          <w:snapToGrid w:val="0"/>
          <w:kern w:val="2"/>
        </w:rPr>
        <w:t>Test requirement</w:t>
      </w:r>
    </w:p>
    <w:p>
      <w:r>
        <w:t>Table 8.2.1.1.1</w:t>
      </w:r>
      <w:r>
        <w:rPr>
          <w:lang w:eastAsia="zh-TW"/>
        </w:rPr>
        <w:t>.3</w:t>
      </w:r>
      <w:r>
        <w:t>-1 defines the primary level settings.</w:t>
      </w:r>
    </w:p>
    <w:p>
      <w:pPr>
        <w:rPr>
          <w:lang w:eastAsia="zh-TW"/>
        </w:rPr>
      </w:pPr>
      <w:r>
        <w:t>The fraction of maximum throughput percentage for the downlink reference measurement channels specified in TS 36.102[11] Annex A clause A.1.2.1</w:t>
      </w:r>
      <w:r>
        <w:tab/>
      </w:r>
      <w:r>
        <w:t>for each throughput test shall meet or exceed the specified value in Table 8.2.1.1.1.</w:t>
      </w:r>
      <w:r>
        <w:rPr>
          <w:lang w:eastAsia="zh-TW"/>
        </w:rPr>
        <w:t>5</w:t>
      </w:r>
      <w:r>
        <w:t>-</w:t>
      </w:r>
      <w:r>
        <w:rPr>
          <w:lang w:eastAsia="zh-TW"/>
        </w:rPr>
        <w:t>1</w:t>
      </w:r>
      <w:r>
        <w:t xml:space="preserve"> for the specified SNR including test tolerances for all throughput tests.</w:t>
      </w:r>
    </w:p>
    <w:p>
      <w:pPr>
        <w:pStyle w:val="113"/>
      </w:pPr>
      <w:r>
        <w:t>Table 8.2.1.1.1.</w:t>
      </w:r>
      <w:r>
        <w:rPr>
          <w:lang w:eastAsia="zh-TW"/>
        </w:rPr>
        <w:t>5</w:t>
      </w:r>
      <w:r>
        <w:t>-</w:t>
      </w:r>
      <w:r>
        <w:rPr>
          <w:lang w:eastAsia="zh-TW"/>
        </w:rPr>
        <w:t>1</w:t>
      </w:r>
      <w:r>
        <w:t>: Test requirements under standalone with 1 NRS ports</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8"/>
        <w:gridCol w:w="1164"/>
        <w:gridCol w:w="1113"/>
        <w:gridCol w:w="957"/>
        <w:gridCol w:w="1298"/>
        <w:gridCol w:w="1429"/>
        <w:gridCol w:w="1256"/>
        <w:gridCol w:w="820"/>
        <w:gridCol w:w="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trPr>
        <w:tc>
          <w:tcPr>
            <w:tcW w:w="45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Test number</w:t>
            </w:r>
          </w:p>
        </w:tc>
        <w:tc>
          <w:tcPr>
            <w:tcW w:w="590"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 xml:space="preserve">Bandwidth and MCS </w:t>
            </w:r>
          </w:p>
        </w:tc>
        <w:tc>
          <w:tcPr>
            <w:tcW w:w="564"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Reference Channel</w:t>
            </w:r>
          </w:p>
        </w:tc>
        <w:tc>
          <w:tcPr>
            <w:tcW w:w="48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OCNG Pattern</w:t>
            </w:r>
          </w:p>
        </w:tc>
        <w:tc>
          <w:tcPr>
            <w:tcW w:w="658"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Propagation Condition</w:t>
            </w:r>
          </w:p>
        </w:tc>
        <w:tc>
          <w:tcPr>
            <w:tcW w:w="72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Correlation Matrix and Antenna Configuration</w:t>
            </w:r>
          </w:p>
        </w:tc>
        <w:tc>
          <w:tcPr>
            <w:tcW w:w="1053" w:type="pct"/>
            <w:gridSpan w:val="2"/>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Reference value</w:t>
            </w:r>
          </w:p>
        </w:tc>
        <w:tc>
          <w:tcPr>
            <w:tcW w:w="469" w:type="pct"/>
            <w:vMerge w:val="restart"/>
            <w:tcBorders>
              <w:top w:val="single" w:color="auto" w:sz="4" w:space="0"/>
              <w:left w:val="single" w:color="auto" w:sz="4" w:space="0"/>
              <w:right w:val="single" w:color="auto" w:sz="4" w:space="0"/>
            </w:tcBorders>
          </w:tcPr>
          <w:p>
            <w:pPr>
              <w:pStyle w:val="104"/>
              <w:rPr>
                <w:rFonts w:cs="Arial"/>
                <w:kern w:val="2"/>
                <w:lang w:val="en-US"/>
              </w:rPr>
            </w:pPr>
            <w:r>
              <w:rPr>
                <w:rFonts w:cs="Arial"/>
                <w:kern w:val="2"/>
                <w:lang w:val="en-US"/>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trPr>
        <w:tc>
          <w:tcPr>
            <w:tcW w:w="45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590"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564"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48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658"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72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637" w:type="pc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Fraction of Maximum</w:t>
            </w:r>
          </w:p>
          <w:p>
            <w:pPr>
              <w:pStyle w:val="104"/>
              <w:rPr>
                <w:rFonts w:cs="Arial"/>
                <w:kern w:val="2"/>
                <w:lang w:val="en-US"/>
              </w:rPr>
            </w:pPr>
            <w:r>
              <w:rPr>
                <w:rFonts w:cs="Arial"/>
                <w:kern w:val="2"/>
                <w:lang w:val="en-US"/>
              </w:rPr>
              <w:t>Throughput (%)</w:t>
            </w:r>
          </w:p>
        </w:tc>
        <w:tc>
          <w:tcPr>
            <w:tcW w:w="416" w:type="pc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SNR (dB)</w:t>
            </w:r>
          </w:p>
        </w:tc>
        <w:tc>
          <w:tcPr>
            <w:tcW w:w="469" w:type="pct"/>
            <w:vMerge w:val="continue"/>
            <w:tcBorders>
              <w:left w:val="single" w:color="auto" w:sz="4" w:space="0"/>
              <w:bottom w:val="single" w:color="auto" w:sz="4" w:space="0"/>
              <w:right w:val="single" w:color="auto" w:sz="4" w:space="0"/>
            </w:tcBorders>
          </w:tcPr>
          <w:p>
            <w:pPr>
              <w:pStyle w:val="104"/>
              <w:rPr>
                <w:rFonts w:cs="Arial"/>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eastAsia="ja-JP"/>
              </w:rPr>
            </w:pPr>
            <w:r>
              <w:rPr>
                <w:rFonts w:cs="Arial"/>
                <w:kern w:val="2"/>
                <w:lang w:val="en-US"/>
              </w:rPr>
              <w:t>1.4MHz 16QAM 1/2</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R.1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NTN-TDLC5-30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10.4+TT</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2</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1.4MHz QPSK 1/3</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R.2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NTN-TDLA100-200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-4.2+TT</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3</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1.4MHz QPSK 1/</w:t>
            </w:r>
            <w:r>
              <w:rPr>
                <w:rFonts w:cs="Arial"/>
                <w:kern w:val="2"/>
                <w:lang w:val="en-US" w:eastAsia="ja-JP"/>
              </w:rPr>
              <w:t>10</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R.3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NTN-TDLA100-10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-11.5+TT</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lang w:val="en-US" w:eastAsia="ja-JP"/>
              </w:rPr>
              <w:t>M1</w:t>
            </w:r>
          </w:p>
        </w:tc>
      </w:tr>
    </w:tbl>
    <w:p/>
    <w:p>
      <w:pPr>
        <w:rPr>
          <w:rFonts w:ascii="Arial" w:hAnsi="Arial" w:cs="Arial"/>
          <w:sz w:val="24"/>
          <w:szCs w:val="24"/>
        </w:rPr>
      </w:pPr>
    </w:p>
    <w:p>
      <w:pPr>
        <w:pStyle w:val="4"/>
      </w:pPr>
      <w:bookmarkStart w:id="1573" w:name="_Toc4910"/>
      <w:bookmarkStart w:id="1574" w:name="_Toc20529"/>
      <w:bookmarkStart w:id="1575" w:name="_Toc9463"/>
      <w:bookmarkStart w:id="1576" w:name="_Toc30302"/>
      <w:bookmarkStart w:id="1577" w:name="_Toc11821"/>
      <w:r>
        <w:t>8.3</w:t>
      </w:r>
      <w:r>
        <w:tab/>
      </w:r>
      <w:r>
        <w:t>Demodulation for IOT NTN UE category</w:t>
      </w:r>
      <w:r>
        <w:rPr>
          <w:rFonts w:eastAsiaTheme="minorEastAsia"/>
        </w:rPr>
        <w:t xml:space="preserve"> NB1 and NB2</w:t>
      </w:r>
      <w:bookmarkEnd w:id="1573"/>
      <w:bookmarkEnd w:id="1574"/>
      <w:bookmarkEnd w:id="1575"/>
      <w:bookmarkEnd w:id="1576"/>
      <w:bookmarkEnd w:id="1577"/>
    </w:p>
    <w:p>
      <w:pPr>
        <w:pStyle w:val="5"/>
        <w:rPr>
          <w:rFonts w:cs="Arial"/>
          <w:szCs w:val="28"/>
        </w:rPr>
      </w:pPr>
      <w:bookmarkStart w:id="1578" w:name="_Toc7737"/>
      <w:bookmarkStart w:id="1579" w:name="_Toc15160"/>
      <w:bookmarkStart w:id="1580" w:name="_Toc212"/>
      <w:bookmarkStart w:id="1581" w:name="_Toc28472"/>
      <w:bookmarkStart w:id="1582" w:name="_Toc24109"/>
      <w:r>
        <w:rPr>
          <w:rFonts w:cs="Arial"/>
          <w:szCs w:val="28"/>
        </w:rPr>
        <w:t>8.3.1</w:t>
      </w:r>
      <w:r>
        <w:rPr>
          <w:rFonts w:cs="Arial"/>
          <w:szCs w:val="28"/>
        </w:rPr>
        <w:tab/>
      </w:r>
      <w:r>
        <w:rPr>
          <w:rFonts w:cs="Arial"/>
          <w:szCs w:val="28"/>
        </w:rPr>
        <w:t>Half-duplex FDD</w:t>
      </w:r>
      <w:bookmarkEnd w:id="1578"/>
      <w:bookmarkEnd w:id="1579"/>
      <w:bookmarkEnd w:id="1580"/>
      <w:bookmarkEnd w:id="1581"/>
      <w:bookmarkEnd w:id="1582"/>
    </w:p>
    <w:p>
      <w:pPr>
        <w:pStyle w:val="6"/>
      </w:pPr>
      <w:bookmarkStart w:id="1583" w:name="_Toc9820"/>
      <w:bookmarkStart w:id="1584" w:name="_Toc26480"/>
      <w:bookmarkStart w:id="1585" w:name="_Toc15105"/>
      <w:bookmarkStart w:id="1586" w:name="_Toc21115"/>
      <w:bookmarkStart w:id="1587" w:name="_Toc2306"/>
      <w:r>
        <w:t>8.3.1.1</w:t>
      </w:r>
      <w:r>
        <w:tab/>
      </w:r>
      <w:r>
        <w:t>NPDSCH</w:t>
      </w:r>
      <w:bookmarkEnd w:id="1583"/>
      <w:bookmarkEnd w:id="1584"/>
      <w:bookmarkEnd w:id="1585"/>
      <w:bookmarkEnd w:id="1586"/>
      <w:bookmarkEnd w:id="1587"/>
    </w:p>
    <w:p>
      <w:pPr>
        <w:rPr>
          <w:lang w:eastAsia="en-GB"/>
        </w:rPr>
      </w:pPr>
      <w:r>
        <w:rPr>
          <w:lang w:eastAsia="en-GB"/>
        </w:rPr>
        <w:t xml:space="preserve">The parameters specified in Table 8.3.1.1-1 and Table 8.3.1.1-2 are valid for all </w:t>
      </w:r>
      <w:r>
        <w:t>half-duplex FDD</w:t>
      </w:r>
      <w:r>
        <w:rPr>
          <w:lang w:eastAsia="en-GB"/>
        </w:rPr>
        <w:t xml:space="preserve"> tests unless otherwise stated. </w:t>
      </w:r>
    </w:p>
    <w:p>
      <w:pPr>
        <w:keepNext/>
        <w:keepLines/>
        <w:spacing w:before="60"/>
        <w:jc w:val="center"/>
        <w:rPr>
          <w:rFonts w:ascii="Arial" w:hAnsi="Arial"/>
          <w:b/>
        </w:rPr>
      </w:pPr>
      <w:r>
        <w:rPr>
          <w:rFonts w:ascii="Arial" w:hAnsi="Arial"/>
          <w:b/>
          <w:lang w:eastAsia="en-GB"/>
        </w:rPr>
        <w:t>Table 8.3.1.1-1: Common Test Parameters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29"/>
        <w:gridCol w:w="1430"/>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Parameter</w:t>
            </w:r>
          </w:p>
        </w:tc>
        <w:tc>
          <w:tcPr>
            <w:tcW w:w="143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hint="eastAsia" w:ascii="Arial" w:hAnsi="Arial" w:cs="Arial"/>
                <w:b/>
                <w:kern w:val="2"/>
                <w:sz w:val="18"/>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lang w:eastAsia="ja-JP"/>
              </w:rPr>
            </w:pPr>
            <w:r>
              <w:rPr>
                <w:rFonts w:ascii="Arial" w:hAnsi="Arial" w:cs="Arial"/>
                <w:kern w:val="2"/>
                <w:sz w:val="18"/>
                <w:lang w:eastAsia="ja-JP"/>
              </w:rPr>
              <w:t>Number of HARQ processes per component carrier</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kern w:val="2"/>
                <w:sz w:val="18"/>
                <w:lang w:eastAsia="ja-JP"/>
              </w:rPr>
            </w:pPr>
            <w:r>
              <w:rPr>
                <w:rFonts w:ascii="Arial" w:hAnsi="Arial" w:eastAsia="?? ??"/>
                <w:sz w:val="18"/>
              </w:rPr>
              <w:t>Processes</w:t>
            </w: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position w:val="-10"/>
                <w:sz w:val="18"/>
                <w:lang w:eastAsia="ja-JP"/>
              </w:rPr>
            </w:pPr>
            <w:r>
              <w:rPr>
                <w:rFonts w:ascii="Arial" w:hAnsi="Arial" w:cs="Arial"/>
                <w:kern w:val="2"/>
                <w:sz w:val="18"/>
                <w:lang w:eastAsia="ja-JP"/>
              </w:rPr>
              <w:t>Maximum number of HARQ transmission</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eastAsia="?? ??" w:cs="Arial"/>
                <w:kern w:val="2"/>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Cyclic Prefix</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eastAsia="?? ??" w:cs="Arial"/>
                <w:kern w:val="2"/>
                <w:sz w:val="18"/>
                <w:lang w:eastAsia="ja-JP"/>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sz w:val="18"/>
              </w:rPr>
              <w:t>eutraControlRegionSize</w:t>
            </w:r>
            <w:r>
              <w:rPr>
                <w:rFonts w:hint="eastAsia" w:ascii="Arial" w:hAnsi="Arial" w:cs="Arial"/>
                <w:sz w:val="18"/>
              </w:rPr>
              <w:t>-r13</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lang w:eastAsia="ja-JP"/>
              </w:rPr>
              <w:t>downlinkBitmap</w:t>
            </w:r>
            <w:r>
              <w:rPr>
                <w:rFonts w:hint="eastAsia" w:ascii="Arial" w:hAnsi="Arial"/>
                <w:sz w:val="18"/>
              </w:rPr>
              <w:t xml:space="preserve">-r13 and </w:t>
            </w:r>
            <w:r>
              <w:rPr>
                <w:rFonts w:ascii="Arial" w:hAnsi="Arial"/>
                <w:sz w:val="18"/>
                <w:lang w:eastAsia="ja-JP"/>
              </w:rPr>
              <w:t>dl-Gap</w:t>
            </w:r>
            <w:r>
              <w:rPr>
                <w:rFonts w:hint="eastAsia" w:ascii="Arial" w:hAnsi="Arial"/>
                <w:sz w:val="18"/>
              </w:rPr>
              <w:t>-r13</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lang w:eastAsia="ja-JP"/>
              </w:rPr>
              <w:t>dl-GapNonAnchor</w:t>
            </w:r>
            <w:r>
              <w:rPr>
                <w:rFonts w:hint="eastAsia" w:ascii="Arial" w:hAnsi="Arial" w:cs="Arial"/>
                <w:kern w:val="2"/>
                <w:sz w:val="18"/>
              </w:rPr>
              <w:t>-r13 and</w:t>
            </w:r>
          </w:p>
          <w:p>
            <w:pPr>
              <w:keepNext/>
              <w:keepLines/>
              <w:spacing w:after="0"/>
              <w:jc w:val="center"/>
              <w:rPr>
                <w:rFonts w:ascii="Arial" w:hAnsi="Arial" w:cs="Arial"/>
                <w:kern w:val="2"/>
                <w:sz w:val="18"/>
                <w:lang w:eastAsia="ja-JP"/>
              </w:rPr>
            </w:pPr>
            <w:r>
              <w:rPr>
                <w:rFonts w:ascii="Arial" w:hAnsi="Arial" w:cs="Arial"/>
                <w:kern w:val="2"/>
                <w:sz w:val="18"/>
                <w:lang w:eastAsia="ja-JP"/>
              </w:rPr>
              <w:t>downlinkBitmapNonAnchor</w:t>
            </w:r>
            <w:r>
              <w:rPr>
                <w:rFonts w:hint="eastAsia" w:ascii="Arial" w:hAnsi="Arial" w:cs="Arial"/>
                <w:kern w:val="2"/>
                <w:sz w:val="18"/>
              </w:rPr>
              <w:t>-r13</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Tahoma"/>
                <w:sz w:val="18"/>
                <w:szCs w:val="16"/>
              </w:rPr>
            </w:pPr>
            <w:r>
              <w:rPr>
                <w:rFonts w:hint="eastAsia" w:ascii="Arial" w:hAnsi="Arial" w:cs="Tahoma"/>
                <w:sz w:val="18"/>
                <w:szCs w:val="16"/>
              </w:rPr>
              <w:t>Unused REs or RB</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OCNG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Tahoma"/>
                <w:sz w:val="18"/>
                <w:szCs w:val="16"/>
              </w:rPr>
            </w:pPr>
            <w:r>
              <w:rPr>
                <w:rFonts w:hint="eastAsia" w:ascii="Arial" w:hAnsi="Arial" w:cs="Tahoma"/>
                <w:sz w:val="18"/>
                <w:szCs w:val="16"/>
              </w:rPr>
              <w:t>OCNG pattern</w:t>
            </w:r>
          </w:p>
          <w:p>
            <w:pPr>
              <w:keepNext/>
              <w:keepLines/>
              <w:spacing w:after="0"/>
              <w:jc w:val="center"/>
              <w:rPr>
                <w:rFonts w:ascii="Arial" w:hAnsi="Arial" w:cs="Tahoma"/>
                <w:sz w:val="18"/>
                <w:szCs w:val="16"/>
              </w:rPr>
            </w:pPr>
            <w:r>
              <w:rPr>
                <w:rFonts w:hint="eastAsia" w:ascii="Arial" w:hAnsi="Arial" w:cs="Tahoma"/>
                <w:sz w:val="18"/>
                <w:szCs w:val="16"/>
              </w:rPr>
              <w:t>(Note 1)</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NB.OP.1</w:t>
            </w:r>
          </w:p>
        </w:tc>
      </w:tr>
    </w:tbl>
    <w:p/>
    <w:p>
      <w:pPr>
        <w:keepNext/>
        <w:keepLines/>
        <w:spacing w:before="60"/>
        <w:jc w:val="center"/>
        <w:rPr>
          <w:rFonts w:ascii="Arial" w:hAnsi="Arial"/>
          <w:b/>
        </w:rPr>
      </w:pPr>
      <w:r>
        <w:rPr>
          <w:rFonts w:ascii="Arial" w:hAnsi="Arial"/>
          <w:b/>
          <w:lang w:eastAsia="en-GB"/>
        </w:rPr>
        <w:t>Table 8.3.1.1-2: Test Parameters</w:t>
      </w:r>
      <w:r>
        <w:rPr>
          <w:rFonts w:hint="eastAsia" w:ascii="Arial" w:hAnsi="Arial"/>
          <w:b/>
        </w:rPr>
        <w:t xml:space="preserve"> of related NPDCCH and NPUSCH format 2 </w:t>
      </w:r>
      <w:r>
        <w:rPr>
          <w:rFonts w:ascii="Arial" w:hAnsi="Arial"/>
          <w:b/>
        </w:rPr>
        <w:t>configurations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Parameter</w:t>
            </w:r>
          </w:p>
        </w:tc>
        <w:tc>
          <w:tcPr>
            <w:tcW w:w="169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hint="eastAsia" w:ascii="Arial" w:hAnsi="Arial" w:cs="Arial"/>
                <w:b/>
                <w:kern w:val="2"/>
                <w:sz w:val="18"/>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hint="eastAsia" w:ascii="Arial" w:hAnsi="Arial" w:cs="Arial"/>
                <w:kern w:val="2"/>
                <w:sz w:val="18"/>
              </w:rPr>
              <w:t>DCI format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DCI format N1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sz w:val="18"/>
              </w:rPr>
              <w:t>scheduling delay field</w:t>
            </w:r>
            <w:r>
              <w:rPr>
                <w:rFonts w:hint="eastAsia" w:ascii="Arial" w:hAnsi="Arial" w:cs="Arial"/>
                <w:sz w:val="18"/>
              </w:rPr>
              <w:t xml:space="preserve"> (</w:t>
            </w:r>
            <w:r>
              <w:rPr>
                <w:rFonts w:ascii="Arial" w:hAnsi="Arial" w:cs="Arial"/>
                <w:b/>
                <w:position w:val="-14"/>
                <w:sz w:val="18"/>
              </w:rPr>
              <w:object>
                <v:shape id="_x0000_i1082" o:spt="75" type="#_x0000_t75" style="height:21.6pt;width:28.8pt;" o:ole="t" filled="f" o:preferrelative="t" stroked="f" coordsize="21600,21600">
                  <v:path/>
                  <v:fill on="f" focussize="0,0"/>
                  <v:stroke on="f" joinstyle="miter"/>
                  <v:imagedata r:id="rId112" o:title=""/>
                  <o:lock v:ext="edit" aspectratio="t"/>
                  <w10:wrap type="none"/>
                  <w10:anchorlock/>
                </v:shape>
                <o:OLEObject Type="Embed" ProgID="Equation.3" ShapeID="_x0000_i1082" DrawAspect="Content" ObjectID="_1468075782" r:id="rId111">
                  <o:LockedField>false</o:LockedField>
                </o:OLEObject>
              </w:object>
            </w:r>
            <w:r>
              <w:rPr>
                <w:rFonts w:hint="eastAsia" w:ascii="Arial" w:hAnsi="Arial" w:cs="Arial"/>
                <w:sz w:val="18"/>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p>
            <w:pPr>
              <w:keepNext/>
              <w:keepLines/>
              <w:spacing w:after="0"/>
              <w:jc w:val="center"/>
              <w:rPr>
                <w:rFonts w:ascii="Arial" w:hAnsi="Arial" w:cs="Arial"/>
                <w:kern w:val="2"/>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b/>
                <w:position w:val="-14"/>
                <w:sz w:val="18"/>
              </w:rPr>
              <w:object>
                <v:shape id="_x0000_i1083" o:spt="75" type="#_x0000_t75" style="height:21.6pt;width:21.6pt;" o:ole="t" filled="f" o:preferrelative="t" stroked="f" coordsize="21600,21600">
                  <v:path/>
                  <v:fill on="f" focussize="0,0"/>
                  <v:stroke on="f" joinstyle="miter"/>
                  <v:imagedata r:id="rId114" o:title=""/>
                  <o:lock v:ext="edit" aspectratio="t"/>
                  <w10:wrap type="none"/>
                  <w10:anchorlock/>
                </v:shape>
                <o:OLEObject Type="Embed" ProgID="Equation.DSMT4" ShapeID="_x0000_i1083" DrawAspect="Content" ObjectID="_1468075783" r:id="rId113">
                  <o:LockedField>false</o:LockedField>
                </o:OLEObject>
              </w:object>
            </w:r>
            <w:r>
              <w:rPr>
                <w:rFonts w:hint="eastAsia" w:ascii="Arial" w:hAnsi="Arial" w:cs="Arial"/>
                <w:b/>
                <w:sz w:val="18"/>
              </w:rPr>
              <w:t>(</w:t>
            </w:r>
            <w:r>
              <w:rPr>
                <w:rFonts w:ascii="Arial" w:hAnsi="Arial" w:cs="Arial"/>
                <w:i/>
                <w:sz w:val="18"/>
              </w:rPr>
              <w:t>ack-NACK-NumRepetitions</w:t>
            </w:r>
            <w:r>
              <w:rPr>
                <w:rFonts w:hint="eastAsia" w:ascii="Arial" w:hAnsi="Arial" w:cs="Arial"/>
                <w:i/>
                <w:sz w:val="18"/>
              </w:rPr>
              <w:t>-r13</w:t>
            </w:r>
            <w:r>
              <w:rPr>
                <w:rFonts w:hint="eastAsia" w:ascii="Arial" w:hAnsi="Arial" w:cs="Arial"/>
                <w:sz w:val="18"/>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i/>
                <w:sz w:val="18"/>
              </w:rPr>
            </w:pPr>
            <w:r>
              <w:rPr>
                <w:rFonts w:ascii="Arial" w:hAnsi="Arial" w:cs="Arial"/>
                <w:sz w:val="18"/>
              </w:rPr>
              <w:t>ACK/NACK resource field</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hint="eastAsia" w:ascii="Arial" w:hAnsi="Arial" w:cs="Arial"/>
                <w:sz w:val="18"/>
              </w:rPr>
              <w:t>Reference channel for NPDCCH</w:t>
            </w:r>
          </w:p>
          <w:p>
            <w:pPr>
              <w:keepNext/>
              <w:keepLines/>
              <w:spacing w:after="0"/>
              <w:jc w:val="center"/>
              <w:rPr>
                <w:rFonts w:ascii="Arial" w:hAnsi="Arial" w:cs="Arial"/>
                <w:sz w:val="18"/>
                <w:lang w:eastAsia="zh-TW"/>
              </w:rPr>
            </w:pPr>
            <w:r>
              <w:rPr>
                <w:rFonts w:hint="eastAsia" w:ascii="Arial" w:hAnsi="Arial" w:cs="Arial"/>
                <w:sz w:val="18"/>
                <w:lang w:eastAsia="zh-TW"/>
              </w:rPr>
              <w:t>(</w:t>
            </w:r>
            <w:r>
              <w:rPr>
                <w:rFonts w:ascii="Arial" w:hAnsi="Arial" w:cs="Arial"/>
                <w:sz w:val="18"/>
                <w:lang w:eastAsia="zh-TW"/>
              </w:rPr>
              <w:t>Note 1)</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R.NB.3</w:t>
            </w:r>
            <w:r>
              <w:rPr>
                <w:rFonts w:hint="eastAsia" w:ascii="Arial" w:hAnsi="Arial" w:cs="Arial"/>
                <w:kern w:val="2"/>
                <w:sz w:val="18"/>
              </w:rPr>
              <w:t xml:space="preserve"> </w:t>
            </w:r>
            <w:r>
              <w:rPr>
                <w:rFonts w:ascii="Arial" w:hAnsi="Arial" w:cs="Arial"/>
                <w:kern w:val="2"/>
                <w:sz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b/>
                <w:position w:val="-14"/>
                <w:sz w:val="18"/>
                <w:lang w:eastAsia="en-GB"/>
              </w:rPr>
              <w:object>
                <v:shape id="_x0000_i1084" o:spt="75" type="#_x0000_t75" style="height:13.8pt;width:21.6pt;" o:ole="t" filled="f" o:preferrelative="t" stroked="f" coordsize="21600,21600">
                  <v:path/>
                  <v:fill on="f" focussize="0,0"/>
                  <v:stroke on="f" joinstyle="miter"/>
                  <v:imagedata r:id="rId116" o:title=""/>
                  <o:lock v:ext="edit" aspectratio="t"/>
                  <w10:wrap type="none"/>
                  <w10:anchorlock/>
                </v:shape>
                <o:OLEObject Type="Embed" ProgID="Equation.3" ShapeID="_x0000_i1084" DrawAspect="Content" ObjectID="_1468075784" r:id="rId115">
                  <o:LockedField>false</o:LockedField>
                </o:OLEObject>
              </w:object>
            </w:r>
            <w:r>
              <w:rPr>
                <w:rFonts w:hint="eastAsia" w:ascii="Arial" w:hAnsi="Arial"/>
                <w:sz w:val="18"/>
              </w:rPr>
              <w:t>(</w:t>
            </w:r>
            <w:r>
              <w:rPr>
                <w:rFonts w:ascii="Arial" w:hAnsi="Arial" w:cs="Arial"/>
                <w:i/>
                <w:sz w:val="18"/>
              </w:rPr>
              <w:t>npdcch-Offset-USS-r13</w:t>
            </w:r>
            <w:r>
              <w:rPr>
                <w:rFonts w:hint="eastAsia" w:ascii="Arial" w:hAnsi="Arial" w:cs="Arial"/>
                <w:sz w:val="18"/>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Cs/>
                <w:sz w:val="18"/>
                <w:lang w:eastAsia="zh-TW"/>
              </w:rPr>
            </w:pPr>
            <w:r>
              <w:rPr>
                <w:rFonts w:hint="eastAsia" w:ascii="Arial" w:hAnsi="Arial"/>
                <w:bCs/>
                <w:sz w:val="18"/>
                <w:lang w:eastAsia="zh-TW"/>
              </w:rPr>
              <w:t>K</w:t>
            </w:r>
            <w:r>
              <w:rPr>
                <w:rFonts w:ascii="Arial" w:hAnsi="Arial"/>
                <w:bCs/>
                <w:sz w:val="18"/>
                <w:lang w:eastAsia="zh-TW"/>
              </w:rPr>
              <w:t>_offset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TW"/>
              </w:rPr>
            </w:pPr>
            <w:r>
              <w:rPr>
                <w:rFonts w:ascii="Arial" w:hAnsi="Arial" w:cs="Arial"/>
                <w:kern w:val="2"/>
                <w:sz w:val="18"/>
                <w:lang w:eastAsia="zh-TW"/>
              </w:rPr>
              <w:t>ms</w:t>
            </w: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TW"/>
              </w:rPr>
            </w:pPr>
            <w:r>
              <w:rPr>
                <w:rFonts w:ascii="Arial" w:hAnsi="Arial" w:cs="Arial"/>
                <w:kern w:val="2"/>
                <w:sz w:val="18"/>
                <w:lang w:eastAsia="zh-TW"/>
              </w:rPr>
              <w:t>8</w:t>
            </w:r>
          </w:p>
        </w:tc>
      </w:tr>
    </w:tbl>
    <w:p>
      <w:pPr>
        <w:rPr>
          <w:rFonts w:ascii="Arial" w:hAnsi="Arial" w:cs="Arial"/>
          <w:sz w:val="24"/>
          <w:szCs w:val="24"/>
        </w:rPr>
      </w:pPr>
    </w:p>
    <w:p>
      <w:pPr>
        <w:pStyle w:val="7"/>
        <w:rPr>
          <w:rFonts w:cs="Arial"/>
          <w:szCs w:val="22"/>
        </w:rPr>
      </w:pPr>
      <w:bookmarkStart w:id="1588" w:name="_Toc2784"/>
      <w:bookmarkStart w:id="1589" w:name="_Toc16018"/>
      <w:bookmarkStart w:id="1590" w:name="_Toc12277"/>
      <w:bookmarkStart w:id="1591" w:name="_Toc18524"/>
      <w:bookmarkStart w:id="1592" w:name="_Toc28751"/>
      <w:r>
        <w:rPr>
          <w:snapToGrid w:val="0"/>
          <w:lang w:val="en-US"/>
        </w:rPr>
        <w:t>8.3.1.1.1</w:t>
      </w:r>
      <w:r>
        <w:rPr>
          <w:snapToGrid w:val="0"/>
          <w:lang w:val="en-US"/>
        </w:rPr>
        <w:tab/>
      </w:r>
      <w:r>
        <w:rPr>
          <w:snapToGrid w:val="0"/>
          <w:lang w:val="en-US"/>
        </w:rPr>
        <w:t>Demodulation of NPDSCH (Cell-Specific Reference Symbols) in standalone mode for category NB1 and NB2 under NTN fading conditions</w:t>
      </w:r>
      <w:bookmarkEnd w:id="1588"/>
      <w:bookmarkEnd w:id="1589"/>
      <w:bookmarkEnd w:id="1590"/>
      <w:bookmarkEnd w:id="1591"/>
      <w:bookmarkEnd w:id="1592"/>
    </w:p>
    <w:p>
      <w:pPr>
        <w:pStyle w:val="112"/>
        <w:rPr>
          <w:i w:val="0"/>
          <w:iCs w:val="0"/>
          <w:lang w:val="en-GB"/>
        </w:rPr>
      </w:pPr>
      <w:r>
        <w:t>Editor’s Note: Addition to applicability spec is pending.</w:t>
      </w:r>
    </w:p>
    <w:p>
      <w:pPr>
        <w:pStyle w:val="9"/>
        <w:rPr>
          <w:snapToGrid w:val="0"/>
          <w:kern w:val="2"/>
        </w:rPr>
      </w:pPr>
      <w:r>
        <w:rPr>
          <w:snapToGrid w:val="0"/>
          <w:kern w:val="2"/>
        </w:rPr>
        <w:t>8.3.1.1.1.1</w:t>
      </w:r>
      <w:r>
        <w:rPr>
          <w:snapToGrid w:val="0"/>
          <w:kern w:val="2"/>
        </w:rPr>
        <w:tab/>
      </w:r>
      <w:r>
        <w:rPr>
          <w:snapToGrid w:val="0"/>
          <w:kern w:val="2"/>
        </w:rPr>
        <w:t>Test purpose</w:t>
      </w:r>
    </w:p>
    <w:p>
      <w:r>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Pr>
          <w:rFonts w:hint="eastAsia"/>
        </w:rPr>
        <w:t>one</w:t>
      </w:r>
      <w:r>
        <w:t xml:space="preserve"> antenna ports.</w:t>
      </w:r>
    </w:p>
    <w:p>
      <w:pPr>
        <w:pStyle w:val="9"/>
      </w:pPr>
      <w:r>
        <w:rPr>
          <w:snapToGrid w:val="0"/>
          <w:kern w:val="2"/>
        </w:rPr>
        <w:t>8.3.1.1.1.2</w:t>
      </w:r>
      <w:r>
        <w:rPr>
          <w:snapToGrid w:val="0"/>
          <w:kern w:val="2"/>
        </w:rPr>
        <w:tab/>
      </w:r>
      <w:r>
        <w:rPr>
          <w:snapToGrid w:val="0"/>
          <w:kern w:val="2"/>
        </w:rPr>
        <w:t>Test applicability</w:t>
      </w:r>
    </w:p>
    <w:p>
      <w:r>
        <w:t xml:space="preserve">This test applies to all types of NB-IoT FDD UE release 17 and forward of category NB1 </w:t>
      </w:r>
      <w:r>
        <w:rPr>
          <w:rFonts w:hint="eastAsia"/>
        </w:rPr>
        <w:t>and</w:t>
      </w:r>
      <w:r>
        <w:t xml:space="preserve"> </w:t>
      </w:r>
      <w:r>
        <w:rPr>
          <w:rFonts w:hint="eastAsia"/>
        </w:rPr>
        <w:t>NB</w:t>
      </w:r>
      <w:r>
        <w:t xml:space="preserve">2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8.3.1.1.1.3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pPr>
        <w:rPr>
          <w:lang w:eastAsia="en-GB"/>
        </w:rPr>
      </w:pPr>
      <w:r>
        <w:rPr>
          <w:lang w:eastAsia="en-GB"/>
        </w:rPr>
        <w:t>The requirements are specified in Table 8.3.1.</w:t>
      </w:r>
      <w:r>
        <w:rPr>
          <w:rFonts w:hint="eastAsia"/>
        </w:rPr>
        <w:t>1.</w:t>
      </w:r>
      <w:r>
        <w:t>1.3</w:t>
      </w:r>
      <w:r>
        <w:rPr>
          <w:lang w:eastAsia="en-GB"/>
        </w:rPr>
        <w:t>-2, with the addition of the parameters in Table 8.3.1.</w:t>
      </w:r>
      <w:r>
        <w:rPr>
          <w:rFonts w:hint="eastAsia"/>
        </w:rPr>
        <w:t>1.</w:t>
      </w:r>
      <w:r>
        <w:t>1.3</w:t>
      </w:r>
      <w:r>
        <w:rPr>
          <w:lang w:eastAsia="en-GB"/>
        </w:rPr>
        <w:t>-1 and the downlink physical channel setup according to Annex C.3.2. The purpose of these tests is to verify the performance.</w:t>
      </w:r>
    </w:p>
    <w:p>
      <w:pPr>
        <w:keepNext/>
        <w:keepLines/>
        <w:spacing w:before="60"/>
        <w:jc w:val="center"/>
        <w:rPr>
          <w:rFonts w:ascii="Arial" w:hAnsi="Arial"/>
          <w:b/>
        </w:rPr>
      </w:pPr>
      <w:r>
        <w:rPr>
          <w:rFonts w:ascii="Arial" w:hAnsi="Arial"/>
          <w:b/>
          <w:lang w:eastAsia="en-GB"/>
        </w:rPr>
        <w:t>Table 8.3.1</w:t>
      </w:r>
      <w:r>
        <w:rPr>
          <w:rFonts w:hint="eastAsia" w:ascii="Arial" w:hAnsi="Arial"/>
          <w:b/>
        </w:rPr>
        <w:t>.1.</w:t>
      </w:r>
      <w:r>
        <w:rPr>
          <w:rFonts w:ascii="Arial" w:hAnsi="Arial"/>
          <w:b/>
        </w:rPr>
        <w:t>1.3</w:t>
      </w:r>
      <w:r>
        <w:rPr>
          <w:rFonts w:ascii="Arial" w:hAnsi="Arial"/>
          <w:b/>
          <w:lang w:eastAsia="en-GB"/>
        </w:rPr>
        <w:t xml:space="preserve">-1: Test Parameters for </w:t>
      </w:r>
      <w:r>
        <w:rPr>
          <w:rFonts w:hint="eastAsia" w:ascii="Arial" w:hAnsi="Arial"/>
          <w:b/>
        </w:rPr>
        <w:t>NPDSCH under Standalone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4"/>
        <w:gridCol w:w="1381"/>
        <w:gridCol w:w="1685"/>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2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Parameter</w:t>
            </w:r>
          </w:p>
        </w:tc>
        <w:tc>
          <w:tcPr>
            <w:tcW w:w="306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Test 1</w:t>
            </w:r>
            <w:r>
              <w:rPr>
                <w:rFonts w:hint="eastAsia" w:ascii="Arial" w:hAnsi="Arial" w:cs="Arial"/>
                <w:b/>
                <w:kern w:val="2"/>
                <w:sz w:val="18"/>
              </w:rPr>
              <w: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restart"/>
            <w:tcBorders>
              <w:left w:val="single" w:color="auto" w:sz="4" w:space="0"/>
              <w:right w:val="single" w:color="auto" w:sz="4" w:space="0"/>
            </w:tcBorders>
            <w:vAlign w:val="center"/>
          </w:tcPr>
          <w:p>
            <w:pPr>
              <w:keepNext/>
              <w:keepLines/>
              <w:spacing w:after="0"/>
              <w:jc w:val="center"/>
              <w:rPr>
                <w:rFonts w:ascii="Arial" w:hAnsi="Arial" w:cs="Arial"/>
                <w:kern w:val="2"/>
                <w:position w:val="-12"/>
                <w:sz w:val="18"/>
              </w:rPr>
            </w:pPr>
            <w:r>
              <w:rPr>
                <w:rFonts w:ascii="Arial" w:hAnsi="Arial" w:cs="Arial"/>
                <w:kern w:val="2"/>
                <w:position w:val="-12"/>
                <w:sz w:val="18"/>
                <w:lang w:eastAsia="ja-JP"/>
              </w:rPr>
              <w:drawing>
                <wp:inline distT="0" distB="0" distL="0" distR="0">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Pr>
                <w:rFonts w:ascii="Arial" w:hAnsi="Arial" w:cs="Arial"/>
                <w:kern w:val="2"/>
                <w:sz w:val="18"/>
                <w:lang w:eastAsia="ja-JP"/>
              </w:rPr>
              <w:t>at antenna port</w:t>
            </w: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position w:val="-10"/>
                <w:sz w:val="18"/>
                <w:lang w:eastAsia="ja-JP"/>
              </w:rPr>
              <w:drawing>
                <wp:inline distT="0" distB="0" distL="0" distR="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color="auto" w:sz="4" w:space="0"/>
              <w:left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eastAsia="?? ??" w:cs="Arial"/>
                <w:kern w:val="2"/>
                <w:sz w:val="18"/>
                <w:lang w:eastAsia="ja-JP"/>
              </w:rPr>
              <w:t>dBm/15kHz</w:t>
            </w:r>
          </w:p>
        </w:tc>
        <w:tc>
          <w:tcPr>
            <w:tcW w:w="1858" w:type="dxa"/>
            <w:tcBorders>
              <w:top w:val="single" w:color="auto" w:sz="4" w:space="0"/>
              <w:left w:val="single" w:color="auto" w:sz="4" w:space="0"/>
              <w:right w:val="single" w:color="auto" w:sz="4" w:space="0"/>
            </w:tcBorders>
            <w:vAlign w:val="center"/>
          </w:tcPr>
          <w:p>
            <w:pPr>
              <w:keepNext/>
              <w:keepLines/>
              <w:spacing w:after="0"/>
              <w:jc w:val="center"/>
              <w:rPr>
                <w:rFonts w:ascii="Arial" w:hAnsi="Arial" w:cs="v5.0.0"/>
                <w:kern w:val="2"/>
                <w:sz w:val="18"/>
              </w:rPr>
            </w:pPr>
            <w:r>
              <w:rPr>
                <w:rFonts w:ascii="Arial" w:hAnsi="Arial" w:eastAsia="?? ??" w:cs="v5.0.0"/>
                <w:kern w:val="2"/>
                <w:sz w:val="18"/>
                <w:lang w:eastAsia="ja-JP"/>
              </w:rPr>
              <w:t>-9</w:t>
            </w:r>
            <w:r>
              <w:rPr>
                <w:rFonts w:hint="eastAsia" w:ascii="Arial" w:hAnsi="Arial" w:cs="v5.0.0"/>
                <w:kern w:val="2"/>
                <w:sz w:val="18"/>
              </w:rPr>
              <w:t>3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position w:val="-12"/>
                <w:sz w:val="18"/>
                <w:lang w:eastAsia="ja-JP"/>
              </w:rPr>
            </w:pP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position w:val="-10"/>
                <w:sz w:val="18"/>
                <w:lang w:eastAsia="ja-JP"/>
              </w:rPr>
              <w:drawing>
                <wp:inline distT="0" distB="0" distL="0" distR="0">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eastAsia="?? ??" w:cs="Arial"/>
                <w:kern w:val="2"/>
                <w:sz w:val="18"/>
                <w:lang w:eastAsia="ja-JP"/>
              </w:rPr>
              <w:t>dBm/15kHz</w:t>
            </w:r>
          </w:p>
        </w:tc>
        <w:tc>
          <w:tcPr>
            <w:tcW w:w="1858" w:type="dxa"/>
            <w:tcBorders>
              <w:left w:val="single" w:color="auto" w:sz="4" w:space="0"/>
              <w:bottom w:val="single" w:color="auto" w:sz="4" w:space="0"/>
              <w:right w:val="single" w:color="auto" w:sz="4" w:space="0"/>
            </w:tcBorders>
            <w:vAlign w:val="center"/>
          </w:tcPr>
          <w:p>
            <w:pPr>
              <w:keepNext/>
              <w:keepLines/>
              <w:spacing w:after="0"/>
              <w:jc w:val="center"/>
              <w:rPr>
                <w:rFonts w:ascii="Arial" w:hAnsi="Arial" w:eastAsia="?? ??" w:cs="v5.0.0"/>
                <w:kern w:val="2"/>
                <w:sz w:val="18"/>
                <w:lang w:eastAsia="ja-JP"/>
              </w:rPr>
            </w:pPr>
            <w:r>
              <w:rPr>
                <w:rFonts w:ascii="Arial" w:hAnsi="Arial" w:eastAsia="?? ??" w:cs="v5.0.0"/>
                <w:kern w:val="2"/>
                <w:sz w:val="18"/>
                <w:lang w:eastAsia="ja-JP"/>
              </w:rPr>
              <w:t>-9</w:t>
            </w:r>
            <w:r>
              <w:rPr>
                <w:rFonts w:hint="eastAsia" w:ascii="Arial" w:hAnsi="Arial" w:cs="v5.0.0"/>
                <w:kern w:val="2"/>
                <w:sz w:val="18"/>
              </w:rPr>
              <w:t>9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Cs/>
                <w:i/>
                <w:sz w:val="18"/>
                <w:lang w:eastAsia="en-GB"/>
              </w:rPr>
            </w:pPr>
            <w:r>
              <w:rPr>
                <w:rFonts w:hint="eastAsia" w:ascii="Arial" w:hAnsi="Arial" w:cs="Arial"/>
                <w:kern w:val="2"/>
                <w:sz w:val="18"/>
              </w:rPr>
              <w:t>NPDCCH repetition number</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hint="eastAsia" w:ascii="Arial" w:hAnsi="Arial" w:cs="Arial"/>
                <w:kern w:val="2"/>
                <w:sz w:val="18"/>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 xml:space="preserve">32 for Test 1; </w:t>
            </w:r>
            <w:r>
              <w:rPr>
                <w:rFonts w:ascii="Arial" w:hAnsi="Arial" w:cs="Arial"/>
                <w:kern w:val="2"/>
                <w:sz w:val="18"/>
              </w:rPr>
              <w:t>128</w:t>
            </w:r>
            <w:r>
              <w:rPr>
                <w:rFonts w:hint="eastAsia" w:ascii="Arial" w:hAnsi="Arial" w:cs="Arial"/>
                <w:kern w:val="2"/>
                <w:sz w:val="18"/>
              </w:rPr>
              <w:t xml:space="preserve">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position w:val="-12"/>
                <w:sz w:val="18"/>
                <w:lang w:eastAsia="ja-JP"/>
              </w:rPr>
              <w:object>
                <v:shape id="_x0000_i1085" o:spt="75" type="#_x0000_t75" style="height:21.6pt;width:21.6pt;" o:ole="t" filled="f" o:preferrelative="t" stroked="f" coordsize="21600,21600">
                  <v:path/>
                  <v:fill on="f" focussize="0,0"/>
                  <v:stroke on="f" joinstyle="miter"/>
                  <v:imagedata r:id="rId121" o:title=""/>
                  <o:lock v:ext="edit" aspectratio="t"/>
                  <w10:wrap type="none"/>
                  <w10:anchorlock/>
                </v:shape>
                <o:OLEObject Type="Embed" ProgID="Equation.DSMT4" ShapeID="_x0000_i1085" DrawAspect="Content" ObjectID="_1468075785" r:id="rId120">
                  <o:LockedField>false</o:LockedField>
                </o:OLEObject>
              </w:object>
            </w:r>
            <w:r>
              <w:rPr>
                <w:rFonts w:ascii="Arial" w:hAnsi="Arial"/>
                <w:b/>
                <w:sz w:val="18"/>
                <w:lang w:eastAsia="ja-JP"/>
              </w:rPr>
              <w:t xml:space="preserve"> </w:t>
            </w:r>
            <w:r>
              <w:rPr>
                <w:rFonts w:hint="eastAsia" w:ascii="Arial" w:hAnsi="Arial"/>
                <w:sz w:val="18"/>
              </w:rPr>
              <w:t>(</w:t>
            </w:r>
            <w:r>
              <w:rPr>
                <w:rFonts w:ascii="Arial" w:hAnsi="Arial"/>
                <w:i/>
                <w:sz w:val="18"/>
                <w:lang w:eastAsia="ja-JP"/>
              </w:rPr>
              <w:t>n</w:t>
            </w:r>
            <w:r>
              <w:rPr>
                <w:rFonts w:ascii="Arial" w:hAnsi="Arial"/>
                <w:i/>
                <w:sz w:val="18"/>
                <w:lang w:val="sv-SE" w:eastAsia="ja-JP"/>
              </w:rPr>
              <w:t>pdcch-NumRepetitions-r13</w:t>
            </w:r>
            <w:r>
              <w:rPr>
                <w:rFonts w:hint="eastAsia" w:ascii="Arial" w:hAnsi="Arial"/>
                <w:sz w:val="18"/>
                <w:lang w:val="sv-SE"/>
              </w:rPr>
              <w:t>)</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 xml:space="preserve">64 for Test 1; </w:t>
            </w:r>
            <w:r>
              <w:rPr>
                <w:rFonts w:ascii="Arial" w:hAnsi="Arial" w:cs="Arial"/>
                <w:kern w:val="2"/>
                <w:sz w:val="18"/>
              </w:rPr>
              <w:t>256</w:t>
            </w:r>
            <w:r>
              <w:rPr>
                <w:rFonts w:hint="eastAsia" w:ascii="Arial" w:hAnsi="Arial" w:cs="Arial"/>
                <w:kern w:val="2"/>
                <w:sz w:val="18"/>
              </w:rPr>
              <w:t xml:space="preserve">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position w:val="-6"/>
                <w:sz w:val="18"/>
                <w:lang w:eastAsia="en-GB"/>
              </w:rPr>
              <w:object>
                <v:shape id="_x0000_i1086" o:spt="75" type="#_x0000_t75" style="height:13.8pt;width:13.2pt;" o:ole="t" filled="f" o:preferrelative="t" stroked="f" coordsize="21600,21600">
                  <v:path/>
                  <v:fill on="f" focussize="0,0"/>
                  <v:stroke on="f" joinstyle="miter"/>
                  <v:imagedata r:id="rId123" o:title=""/>
                  <o:lock v:ext="edit" aspectratio="t"/>
                  <w10:wrap type="none"/>
                  <w10:anchorlock/>
                </v:shape>
                <o:OLEObject Type="Embed" ProgID="Equation.3" ShapeID="_x0000_i1086" DrawAspect="Content" ObjectID="_1468075786" r:id="rId122">
                  <o:LockedField>false</o:LockedField>
                </o:OLEObject>
              </w:object>
            </w:r>
            <w:r>
              <w:rPr>
                <w:rFonts w:hint="eastAsia" w:ascii="Arial" w:hAnsi="Arial"/>
                <w:sz w:val="18"/>
              </w:rPr>
              <w:t>(</w:t>
            </w:r>
            <w:r>
              <w:rPr>
                <w:rFonts w:ascii="Arial" w:hAnsi="Arial" w:cs="Arial"/>
                <w:i/>
                <w:sz w:val="18"/>
              </w:rPr>
              <w:t>nPDCCH-startSF-USS</w:t>
            </w:r>
            <w:r>
              <w:rPr>
                <w:rFonts w:hint="eastAsia" w:ascii="Arial" w:hAnsi="Arial" w:cs="Arial"/>
                <w:i/>
                <w:sz w:val="18"/>
              </w:rPr>
              <w:t>-r13</w:t>
            </w:r>
            <w:r>
              <w:rPr>
                <w:rFonts w:hint="eastAsia" w:ascii="Arial" w:hAnsi="Arial"/>
                <w:sz w:val="18"/>
                <w:lang w:val="sv-SE"/>
              </w:rPr>
              <w:t>)</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trPr>
        <w:tc>
          <w:tcPr>
            <w:tcW w:w="8148"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cs="Arial"/>
                <w:kern w:val="2"/>
                <w:sz w:val="18"/>
              </w:rPr>
            </w:pPr>
            <w:r>
              <w:rPr>
                <w:rFonts w:hint="eastAsia" w:ascii="Arial" w:hAnsi="Arial" w:cs="Arial"/>
                <w:kern w:val="2"/>
                <w:sz w:val="18"/>
              </w:rPr>
              <w:t>Note 1:</w:t>
            </w:r>
            <w:r>
              <w:rPr>
                <w:rFonts w:ascii="Arial" w:hAnsi="Arial" w:cs="Arial"/>
                <w:kern w:val="2"/>
                <w:sz w:val="18"/>
              </w:rPr>
              <w:tab/>
            </w:r>
            <w:r>
              <w:rPr>
                <w:rFonts w:hint="eastAsia" w:ascii="Arial" w:hAnsi="Arial" w:cs="Arial"/>
                <w:sz w:val="18"/>
              </w:rPr>
              <w:t xml:space="preserve">This noise is applied </w:t>
            </w:r>
            <w:r>
              <w:rPr>
                <w:rFonts w:ascii="Arial" w:hAnsi="Arial" w:cs="Arial"/>
                <w:sz w:val="18"/>
              </w:rPr>
              <w:t>to all subframes from the end of the NPDCCH</w:t>
            </w:r>
            <w:r>
              <w:rPr>
                <w:rFonts w:hint="eastAsia" w:ascii="Arial" w:hAnsi="Arial" w:cs="Arial"/>
                <w:sz w:val="18"/>
              </w:rPr>
              <w:t xml:space="preserve"> </w:t>
            </w:r>
            <w:r>
              <w:rPr>
                <w:rFonts w:ascii="Arial" w:hAnsi="Arial" w:cs="Arial"/>
                <w:sz w:val="18"/>
              </w:rPr>
              <w:t>to the end of the following</w:t>
            </w:r>
            <w:r>
              <w:rPr>
                <w:rFonts w:hint="eastAsia" w:ascii="Arial" w:hAnsi="Arial" w:cs="Arial"/>
                <w:sz w:val="18"/>
              </w:rPr>
              <w:t xml:space="preserve"> NPDSCH </w:t>
            </w:r>
            <w:r>
              <w:rPr>
                <w:rFonts w:ascii="Arial" w:hAnsi="Arial" w:cs="Arial"/>
                <w:sz w:val="18"/>
              </w:rPr>
              <w:t>transmission</w:t>
            </w:r>
            <w:r>
              <w:rPr>
                <w:rFonts w:ascii="Arial" w:hAnsi="Arial" w:cs="Arial"/>
                <w:kern w:val="2"/>
                <w:sz w:val="18"/>
              </w:rPr>
              <w:t>.</w:t>
            </w:r>
          </w:p>
          <w:p>
            <w:pPr>
              <w:keepNext/>
              <w:keepLines/>
              <w:spacing w:after="0"/>
              <w:ind w:left="851" w:hanging="851"/>
              <w:rPr>
                <w:rFonts w:ascii="Arial" w:hAnsi="Arial" w:cs="Arial"/>
                <w:kern w:val="2"/>
                <w:sz w:val="18"/>
              </w:rPr>
            </w:pPr>
            <w:r>
              <w:rPr>
                <w:rFonts w:hint="eastAsia" w:ascii="Arial" w:hAnsi="Arial"/>
                <w:sz w:val="18"/>
                <w:lang w:eastAsia="ja-JP"/>
              </w:rPr>
              <w:t xml:space="preserve">Note </w:t>
            </w:r>
            <w:r>
              <w:rPr>
                <w:rFonts w:ascii="Arial" w:hAnsi="Arial"/>
                <w:sz w:val="18"/>
                <w:lang w:eastAsia="ja-JP"/>
              </w:rPr>
              <w:t>2</w:t>
            </w:r>
            <w:r>
              <w:rPr>
                <w:rFonts w:hint="eastAsia" w:ascii="Arial" w:hAnsi="Arial"/>
                <w:sz w:val="18"/>
                <w:lang w:eastAsia="ja-JP"/>
              </w:rPr>
              <w:t>:</w:t>
            </w:r>
            <w:r>
              <w:rPr>
                <w:rFonts w:ascii="Arial" w:hAnsi="Arial" w:cs="Arial"/>
                <w:kern w:val="2"/>
                <w:sz w:val="18"/>
              </w:rPr>
              <w:tab/>
            </w:r>
            <w:r>
              <w:rPr>
                <w:rFonts w:hint="eastAsia" w:ascii="Arial" w:hAnsi="Arial"/>
                <w:sz w:val="18"/>
                <w:lang w:eastAsia="ja-JP"/>
              </w:rPr>
              <w:t xml:space="preserve">This noise is applied </w:t>
            </w:r>
            <w:r>
              <w:rPr>
                <w:rFonts w:ascii="Arial" w:hAnsi="Arial"/>
                <w:sz w:val="18"/>
                <w:lang w:eastAsia="ja-JP"/>
              </w:rPr>
              <w:t>to all subframes from the end of the NPDSCH to the end of the following</w:t>
            </w:r>
            <w:r>
              <w:rPr>
                <w:rFonts w:hint="eastAsia" w:ascii="Arial" w:hAnsi="Arial"/>
                <w:sz w:val="18"/>
                <w:lang w:eastAsia="ja-JP"/>
              </w:rPr>
              <w:t xml:space="preserve"> NPDCCH </w:t>
            </w:r>
            <w:r>
              <w:rPr>
                <w:rFonts w:ascii="Arial" w:hAnsi="Arial"/>
                <w:sz w:val="18"/>
                <w:lang w:eastAsia="ja-JP"/>
              </w:rPr>
              <w:t>transmission</w:t>
            </w:r>
            <w:r>
              <w:rPr>
                <w:rFonts w:hint="eastAsia" w:ascii="Arial" w:hAnsi="Arial"/>
                <w:sz w:val="18"/>
                <w:lang w:eastAsia="ja-JP"/>
              </w:rPr>
              <w:t>.</w:t>
            </w:r>
          </w:p>
        </w:tc>
      </w:tr>
    </w:tbl>
    <w:p/>
    <w:p>
      <w:pPr>
        <w:keepNext/>
        <w:keepLines/>
        <w:spacing w:before="60"/>
        <w:jc w:val="center"/>
        <w:rPr>
          <w:rFonts w:ascii="Arial" w:hAnsi="Arial"/>
          <w:b/>
        </w:rPr>
      </w:pPr>
      <w:r>
        <w:rPr>
          <w:rFonts w:ascii="Arial" w:hAnsi="Arial"/>
          <w:b/>
          <w:lang w:eastAsia="en-GB"/>
        </w:rPr>
        <w:t>Table 8.3.</w:t>
      </w:r>
      <w:r>
        <w:rPr>
          <w:rFonts w:hint="eastAsia" w:ascii="Arial" w:hAnsi="Arial"/>
          <w:b/>
        </w:rPr>
        <w:t>1</w:t>
      </w:r>
      <w:r>
        <w:rPr>
          <w:rFonts w:ascii="Arial" w:hAnsi="Arial"/>
          <w:b/>
          <w:lang w:eastAsia="en-GB"/>
        </w:rPr>
        <w:t>.1</w:t>
      </w:r>
      <w:r>
        <w:rPr>
          <w:rFonts w:hint="eastAsia" w:ascii="Arial" w:hAnsi="Arial"/>
          <w:b/>
        </w:rPr>
        <w:t>.</w:t>
      </w:r>
      <w:r>
        <w:rPr>
          <w:rFonts w:ascii="Arial" w:hAnsi="Arial"/>
          <w:b/>
        </w:rPr>
        <w:t>1.3</w:t>
      </w:r>
      <w:r>
        <w:rPr>
          <w:rFonts w:ascii="Arial" w:hAnsi="Arial"/>
          <w:b/>
          <w:lang w:eastAsia="en-GB"/>
        </w:rPr>
        <w:t xml:space="preserve">-2: Minimum performance </w:t>
      </w:r>
      <w:r>
        <w:rPr>
          <w:rFonts w:hint="eastAsia" w:ascii="Arial" w:hAnsi="Arial"/>
          <w:b/>
        </w:rPr>
        <w:t>for NPDSCH under Standalone with 1 NRS port</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5"/>
        <w:gridCol w:w="980"/>
        <w:gridCol w:w="707"/>
        <w:gridCol w:w="939"/>
        <w:gridCol w:w="947"/>
        <w:gridCol w:w="1089"/>
        <w:gridCol w:w="782"/>
        <w:gridCol w:w="1196"/>
        <w:gridCol w:w="1055"/>
        <w:gridCol w:w="532"/>
        <w:gridCol w:w="8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bookmarkStart w:id="1593" w:name="_Hlk134259197"/>
            <w:r>
              <w:rPr>
                <w:rFonts w:ascii="Arial" w:hAnsi="Arial" w:cs="Arial"/>
                <w:b/>
                <w:kern w:val="2"/>
                <w:sz w:val="18"/>
                <w:lang w:eastAsia="ja-JP"/>
              </w:rPr>
              <w:t>Test number</w:t>
            </w:r>
          </w:p>
        </w:tc>
        <w:tc>
          <w:tcPr>
            <w:tcW w:w="49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Bandwidth</w:t>
            </w:r>
          </w:p>
        </w:tc>
        <w:tc>
          <w:tcPr>
            <w:tcW w:w="357"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Carr</w:t>
            </w:r>
            <w:r>
              <w:rPr>
                <w:rFonts w:ascii="Arial" w:hAnsi="Arial" w:cs="Arial"/>
                <w:b/>
                <w:kern w:val="2"/>
                <w:sz w:val="18"/>
              </w:rPr>
              <w:t>i</w:t>
            </w:r>
            <w:r>
              <w:rPr>
                <w:rFonts w:hint="eastAsia" w:ascii="Arial" w:hAnsi="Arial" w:cs="Arial"/>
                <w:b/>
                <w:kern w:val="2"/>
                <w:sz w:val="18"/>
              </w:rPr>
              <w:t>er Type</w:t>
            </w:r>
          </w:p>
        </w:tc>
        <w:tc>
          <w:tcPr>
            <w:tcW w:w="47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Reference Channel</w:t>
            </w:r>
          </w:p>
        </w:tc>
        <w:tc>
          <w:tcPr>
            <w:tcW w:w="477"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Repetition number</w:t>
            </w:r>
          </w:p>
        </w:tc>
        <w:tc>
          <w:tcPr>
            <w:tcW w:w="548"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Propagation condition</w:t>
            </w:r>
          </w:p>
        </w:tc>
        <w:tc>
          <w:tcPr>
            <w:tcW w:w="395"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Number of NRS ports</w:t>
            </w:r>
          </w:p>
        </w:tc>
        <w:tc>
          <w:tcPr>
            <w:tcW w:w="549"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sz w:val="18"/>
                <w:lang w:eastAsia="en-GB"/>
              </w:rPr>
              <w:t>Antenna Configuration</w:t>
            </w:r>
          </w:p>
        </w:tc>
        <w:tc>
          <w:tcPr>
            <w:tcW w:w="886"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Reference value</w:t>
            </w:r>
          </w:p>
        </w:tc>
        <w:tc>
          <w:tcPr>
            <w:tcW w:w="436" w:type="pct"/>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kern w:val="2"/>
                <w:sz w:val="18"/>
                <w:lang w:eastAsia="ja-JP"/>
              </w:rPr>
            </w:pPr>
            <w:r>
              <w:rPr>
                <w:rFonts w:hint="eastAsia" w:ascii="Arial" w:hAnsi="Arial" w:cs="Arial"/>
                <w:b/>
                <w:kern w:val="2"/>
                <w:sz w:val="18"/>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9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357"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7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77"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48"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395"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49"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8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Fraction of Maximum</w:t>
            </w:r>
          </w:p>
          <w:p>
            <w:pPr>
              <w:keepNext/>
              <w:keepLines/>
              <w:spacing w:after="0"/>
              <w:jc w:val="center"/>
              <w:rPr>
                <w:rFonts w:ascii="Arial" w:hAnsi="Arial" w:cs="Arial"/>
                <w:b/>
                <w:kern w:val="2"/>
                <w:sz w:val="18"/>
                <w:lang w:eastAsia="ja-JP"/>
              </w:rPr>
            </w:pPr>
            <w:r>
              <w:rPr>
                <w:rFonts w:ascii="Arial" w:hAnsi="Arial" w:cs="Arial"/>
                <w:b/>
                <w:kern w:val="2"/>
                <w:sz w:val="18"/>
                <w:lang w:eastAsia="ja-JP"/>
              </w:rPr>
              <w:t>Throughput (%)</w:t>
            </w:r>
          </w:p>
        </w:tc>
        <w:tc>
          <w:tcPr>
            <w:tcW w:w="30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SNR (dB)</w:t>
            </w:r>
          </w:p>
        </w:tc>
        <w:tc>
          <w:tcPr>
            <w:tcW w:w="436" w:type="pct"/>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kern w:val="2"/>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49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200</w:t>
            </w:r>
            <w:r>
              <w:rPr>
                <w:rFonts w:ascii="Arial" w:hAnsi="Arial" w:cs="Arial"/>
                <w:kern w:val="2"/>
                <w:sz w:val="18"/>
              </w:rPr>
              <w:t>kHz</w:t>
            </w:r>
          </w:p>
        </w:tc>
        <w:tc>
          <w:tcPr>
            <w:tcW w:w="35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Anchor</w:t>
            </w:r>
          </w:p>
        </w:tc>
        <w:tc>
          <w:tcPr>
            <w:tcW w:w="4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sz w:val="18"/>
              </w:rPr>
              <w:t>R.NB.1</w:t>
            </w:r>
            <w:r>
              <w:rPr>
                <w:rFonts w:ascii="Arial" w:hAnsi="Arial" w:cs="Arial"/>
                <w:kern w:val="2"/>
                <w:sz w:val="18"/>
                <w:lang w:eastAsia="ja-JP"/>
              </w:rPr>
              <w:t xml:space="preserve"> FDD</w:t>
            </w:r>
          </w:p>
        </w:tc>
        <w:tc>
          <w:tcPr>
            <w:tcW w:w="47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32</w:t>
            </w:r>
          </w:p>
        </w:tc>
        <w:tc>
          <w:tcPr>
            <w:tcW w:w="54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NTN-TDLC5-200</w:t>
            </w:r>
          </w:p>
        </w:tc>
        <w:tc>
          <w:tcPr>
            <w:tcW w:w="39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54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hint="eastAsia" w:ascii="Arial" w:hAnsi="Arial" w:cs="Arial"/>
                <w:kern w:val="2"/>
                <w:sz w:val="18"/>
              </w:rPr>
              <w:t>1x1</w:t>
            </w:r>
          </w:p>
        </w:tc>
        <w:tc>
          <w:tcPr>
            <w:tcW w:w="58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70%</w:t>
            </w:r>
          </w:p>
        </w:tc>
        <w:tc>
          <w:tcPr>
            <w:tcW w:w="30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-4.7</w:t>
            </w:r>
          </w:p>
        </w:tc>
        <w:tc>
          <w:tcPr>
            <w:tcW w:w="43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w:t>
            </w:r>
            <w:r>
              <w:rPr>
                <w:rFonts w:hint="eastAsia" w:ascii="Arial" w:hAnsi="Arial" w:cs="Arial"/>
                <w:kern w:val="2"/>
                <w:sz w:val="18"/>
              </w:rPr>
              <w:t>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w:t>
            </w:r>
          </w:p>
        </w:tc>
        <w:tc>
          <w:tcPr>
            <w:tcW w:w="49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200</w:t>
            </w:r>
            <w:r>
              <w:rPr>
                <w:rFonts w:ascii="Arial" w:hAnsi="Arial" w:cs="Arial"/>
                <w:kern w:val="2"/>
                <w:sz w:val="18"/>
              </w:rPr>
              <w:t>kHz</w:t>
            </w:r>
          </w:p>
        </w:tc>
        <w:tc>
          <w:tcPr>
            <w:tcW w:w="35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Non-anchor</w:t>
            </w:r>
          </w:p>
        </w:tc>
        <w:tc>
          <w:tcPr>
            <w:tcW w:w="4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sz w:val="18"/>
              </w:rPr>
              <w:t>R.NB.2</w:t>
            </w:r>
            <w:r>
              <w:rPr>
                <w:rFonts w:ascii="Arial" w:hAnsi="Arial" w:cs="Arial"/>
                <w:kern w:val="2"/>
                <w:sz w:val="18"/>
                <w:lang w:eastAsia="ja-JP"/>
              </w:rPr>
              <w:t xml:space="preserve"> FDD</w:t>
            </w:r>
          </w:p>
        </w:tc>
        <w:tc>
          <w:tcPr>
            <w:tcW w:w="47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128</w:t>
            </w:r>
          </w:p>
        </w:tc>
        <w:tc>
          <w:tcPr>
            <w:tcW w:w="54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NTN-TDLA100-10</w:t>
            </w:r>
          </w:p>
        </w:tc>
        <w:tc>
          <w:tcPr>
            <w:tcW w:w="39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54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hint="eastAsia" w:ascii="Arial" w:hAnsi="Arial" w:cs="Arial"/>
                <w:kern w:val="2"/>
                <w:sz w:val="18"/>
              </w:rPr>
              <w:t>1x1</w:t>
            </w:r>
          </w:p>
        </w:tc>
        <w:tc>
          <w:tcPr>
            <w:tcW w:w="58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70%</w:t>
            </w:r>
          </w:p>
        </w:tc>
        <w:tc>
          <w:tcPr>
            <w:tcW w:w="30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-10.6</w:t>
            </w:r>
          </w:p>
        </w:tc>
        <w:tc>
          <w:tcPr>
            <w:tcW w:w="43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NB1, NB2</w:t>
            </w:r>
          </w:p>
        </w:tc>
      </w:tr>
      <w:bookmarkEnd w:id="1593"/>
    </w:tbl>
    <w:p>
      <w:pPr>
        <w:rPr>
          <w:lang w:val="en-US"/>
        </w:rPr>
      </w:pPr>
    </w:p>
    <w:p>
      <w:pPr>
        <w:rPr>
          <w:lang w:eastAsia="zh-TW"/>
        </w:rPr>
      </w:pPr>
      <w:r>
        <w:t>The normative reference for this requirement is TS 36.102[11] clause 8.3.1.1.1.1</w:t>
      </w:r>
      <w:r>
        <w:rPr>
          <w:lang w:eastAsia="zh-TW"/>
        </w:rPr>
        <w:t>.</w:t>
      </w:r>
    </w:p>
    <w:p>
      <w:pPr>
        <w:pStyle w:val="9"/>
        <w:rPr>
          <w:snapToGrid w:val="0"/>
          <w:kern w:val="2"/>
        </w:rPr>
      </w:pPr>
      <w:r>
        <w:rPr>
          <w:snapToGrid w:val="0"/>
          <w:kern w:val="2"/>
        </w:rPr>
        <w:t>8.3.1.1.1.4</w:t>
      </w:r>
      <w:r>
        <w:rPr>
          <w:snapToGrid w:val="0"/>
          <w:kern w:val="2"/>
        </w:rPr>
        <w:tab/>
      </w:r>
      <w:r>
        <w:rPr>
          <w:snapToGrid w:val="0"/>
          <w:kern w:val="2"/>
        </w:rPr>
        <w:t>Test description</w:t>
      </w:r>
    </w:p>
    <w:p>
      <w:pPr>
        <w:pStyle w:val="9"/>
        <w:rPr>
          <w:snapToGrid w:val="0"/>
          <w:kern w:val="2"/>
        </w:rPr>
      </w:pPr>
      <w:r>
        <w:rPr>
          <w:snapToGrid w:val="0"/>
          <w:kern w:val="2"/>
        </w:rPr>
        <w:t>8.3.1.1.1.4.1</w:t>
      </w:r>
      <w:r>
        <w:rPr>
          <w:snapToGrid w:val="0"/>
          <w:kern w:val="2"/>
        </w:rPr>
        <w:tab/>
      </w:r>
      <w:r>
        <w:rPr>
          <w:snapToGrid w:val="0"/>
          <w:kern w:val="2"/>
          <w:lang w:eastAsia="zh-CN"/>
        </w:rPr>
        <w:t>Initial conditions</w:t>
      </w:r>
    </w:p>
    <w:p>
      <w:r>
        <w:t>Initial conditions are a set of test configurations the UE needs to be tested in and the steps for the SS to take with the UE to reach the correct measurement state.</w:t>
      </w:r>
    </w:p>
    <w:p>
      <w:r>
        <w:t>Configurations of NPDSCH and NPDCCH before measurement are specified in Annex C.2.</w:t>
      </w:r>
    </w:p>
    <w:p>
      <w:r>
        <w:t>Test Environment: Normal, as defined in TS 36.508 [7] clause 4.1.</w:t>
      </w:r>
    </w:p>
    <w:p>
      <w:pPr>
        <w:rPr>
          <w:lang w:eastAsia="zh-TW"/>
        </w:rPr>
      </w:pPr>
      <w:r>
        <w:t>Frequencies to be tested: K.2.1.</w:t>
      </w:r>
    </w:p>
    <w:p>
      <w:pPr>
        <w:rPr>
          <w:lang w:eastAsia="zh-TW"/>
        </w:rPr>
      </w:pPr>
      <w:r>
        <w:rPr>
          <w:lang w:eastAsia="zh-TW"/>
        </w:rPr>
        <w:t xml:space="preserve">Channel </w:t>
      </w:r>
      <w:r>
        <w:t xml:space="preserve">Bandwidths to be tested: </w:t>
      </w:r>
      <w:r>
        <w:rPr>
          <w:lang w:eastAsia="zh-TW"/>
        </w:rPr>
        <w:t>A</w:t>
      </w:r>
      <w:r>
        <w:t>s</w:t>
      </w:r>
      <w:r>
        <w:rPr>
          <w:lang w:eastAsia="zh-TW"/>
        </w:rPr>
        <w:t xml:space="preserve"> specified per test number in Table 8.3.1.1.1.3-2.</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the faders and AWGN noise sources to the UE antenna connectors as shown in TS 36.508 [7] Annex A, Figure A.9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Tables 8.3.1.1-1 and 8.3.1.1.1.3-1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Annex C.3.2 and uplink signals according to Annex H.0.1, H.1.1, H.2.1 and Annex H.4.2.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rPr>
        <w:t>5</w:t>
      </w:r>
      <w:r>
        <w:rPr>
          <w:rFonts w:eastAsia="Malgun Gothic"/>
        </w:rPr>
        <w:t>.</w:t>
      </w:r>
      <w:r>
        <w:rPr>
          <w:rFonts w:eastAsia="Malgun Gothic"/>
        </w:rPr>
        <w:tab/>
      </w:r>
      <w:r>
        <w:rPr>
          <w:rFonts w:eastAsia="Malgun Gothic"/>
          <w:lang w:eastAsia="en-GB"/>
        </w:rPr>
        <w:t>UE location according to TS 36.508 [12] clause 8.2.6.1 is provided to the UE by any preconfigured means.</w:t>
      </w:r>
    </w:p>
    <w:p>
      <w:pPr>
        <w:pStyle w:val="111"/>
        <w:overflowPunct w:val="0"/>
        <w:autoSpaceDE w:val="0"/>
        <w:autoSpaceDN w:val="0"/>
        <w:adjustRightInd w:val="0"/>
        <w:contextualSpacing w:val="0"/>
        <w:textAlignment w:val="baseline"/>
        <w:rPr>
          <w:rFonts w:eastAsia="Malgun Gothic"/>
          <w:lang w:val="en-US" w:eastAsia="en-GB"/>
        </w:rPr>
      </w:pPr>
      <w:r>
        <w:rPr>
          <w:rFonts w:hint="eastAsia" w:eastAsia="Malgun Gothic"/>
          <w:lang w:eastAsia="en-GB"/>
        </w:rPr>
        <w:t>6</w:t>
      </w:r>
      <w:r>
        <w:rPr>
          <w:rFonts w:eastAsia="Malgun Gothic"/>
          <w:lang w:eastAsia="en-GB"/>
        </w:rPr>
        <w:t>.</w:t>
      </w:r>
      <w:r>
        <w:rPr>
          <w:rFonts w:eastAsia="Malgun Gothic"/>
          <w:lang w:eastAsia="en-GB"/>
        </w:rPr>
        <w:tab/>
      </w:r>
      <w:r>
        <w:rPr>
          <w:rFonts w:eastAsia="Malgun Gothic"/>
          <w:lang w:val="en-US" w:eastAsia="en-GB"/>
        </w:rPr>
        <w:t>Test equipment shall emulate the signal with doppler and delay according to ephemeris defined in TS 36.508 [12] table 8.2.6.2.1-2 for NGSO (LEO-600). Test system shall send same SIB31-NB information during the duration of the test as defined in TS 36.508 [12] clause 8.2.6.3.1.</w:t>
      </w:r>
    </w:p>
    <w:p>
      <w:pPr>
        <w:pStyle w:val="111"/>
        <w:overflowPunct w:val="0"/>
        <w:autoSpaceDE w:val="0"/>
        <w:autoSpaceDN w:val="0"/>
        <w:adjustRightInd w:val="0"/>
        <w:contextualSpacing w:val="0"/>
        <w:textAlignment w:val="baseline"/>
        <w:rPr>
          <w:rFonts w:eastAsia="Malgun Gothic"/>
        </w:rPr>
      </w:pPr>
      <w:r>
        <w:rPr>
          <w:rFonts w:hint="eastAsia" w:eastAsia="Malgun Gothic"/>
          <w:lang w:val="en-US" w:eastAsia="en-GB"/>
        </w:rPr>
        <w:t>7</w:t>
      </w:r>
      <w:r>
        <w:rPr>
          <w:rFonts w:eastAsia="Malgun Gothic"/>
          <w:lang w:val="en-US" w:eastAsia="en-GB"/>
        </w:rPr>
        <w:t>.</w:t>
      </w:r>
      <w:r>
        <w:rPr>
          <w:rFonts w:eastAsia="Malgun Gothic"/>
          <w:lang w:val="en-US" w:eastAsia="en-GB"/>
        </w:rPr>
        <w:tab/>
      </w:r>
      <w:r>
        <w:rPr>
          <w:lang w:eastAsia="zh-CN"/>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rPr>
          <w:rFonts w:eastAsia="Malgun Gothic"/>
        </w:rPr>
        <w:t>Ensure the UE is in State 2A-NB with CP CIoT Optimisation according to TS 36.508 [7] clause 8.1.5. Message contents are defined in clause 8.3.1.1.1.4.2.</w:t>
      </w:r>
    </w:p>
    <w:p>
      <w:pPr>
        <w:pStyle w:val="9"/>
      </w:pPr>
      <w:r>
        <w:rPr>
          <w:snapToGrid w:val="0"/>
          <w:kern w:val="2"/>
        </w:rPr>
        <w:t>8.3.1.1.1.</w:t>
      </w:r>
      <w:r>
        <w:rPr>
          <w:snapToGrid w:val="0"/>
          <w:kern w:val="2"/>
          <w:lang w:eastAsia="zh-TW"/>
        </w:rPr>
        <w:t>4.</w:t>
      </w:r>
      <w:r>
        <w:t>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Tables 8.3.1.1.1.3-1 and 8.3.1.1.1.3-2.</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parameters of the bandwidth, MCS, reference channel, the propagation condition, the correlation matrix, antenna configuration and the SNR according to Table 8.3.1.1.1.5-1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Repeat steps from 1 to 3 for each test interval in Tables 8.3.1.1.1.5-1 as appropriate.</w:t>
      </w:r>
    </w:p>
    <w:p>
      <w:pPr>
        <w:pStyle w:val="9"/>
      </w:pPr>
      <w:r>
        <w:rPr>
          <w:snapToGrid w:val="0"/>
          <w:kern w:val="2"/>
        </w:rPr>
        <w:t>8.3.1.1.1.</w:t>
      </w:r>
      <w:r>
        <w:rPr>
          <w:snapToGrid w:val="0"/>
          <w:kern w:val="2"/>
          <w:lang w:eastAsia="zh-TW"/>
        </w:rPr>
        <w:t>4.</w:t>
      </w:r>
      <w:r>
        <w:rPr>
          <w:lang w:eastAsia="zh-TW"/>
        </w:rPr>
        <w:t>3</w:t>
      </w:r>
      <w:r>
        <w:tab/>
      </w:r>
      <w:r>
        <w:t>Message contents</w:t>
      </w:r>
    </w:p>
    <w:p>
      <w:r>
        <w:t>Message contents are according to TS 36.508 [7] subclause 8.1.5B and 8.1.6 with the following exceptions:</w:t>
      </w:r>
    </w:p>
    <w:p>
      <w:pPr>
        <w:pStyle w:val="113"/>
      </w:pPr>
      <w:r>
        <w:t xml:space="preserve">Table 8.3.1.1.1.4.3-1: Configure Non-anchor carrier in subtest 2 </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03"/>
              <w:keepNext w:val="0"/>
              <w:keepLines w:val="0"/>
            </w:pPr>
            <w:r>
              <w:t>Derivation Path: 36.508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shd w:val="clear" w:color="auto" w:fill="auto"/>
          </w:tcPr>
          <w:p>
            <w:pPr>
              <w:pStyle w:val="103"/>
              <w:keepNext w:val="0"/>
              <w:keepLines w:val="0"/>
            </w:pPr>
            <w:r>
              <w:t>PhysicalConfigDedicated-NB-DEFAULT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carrierConfigDedicated-NB-r13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r>
              <w:t>Non-anchor carrier</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dl-CarrierConfig-r13::=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dl-CarrierFreq-r13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downlinkBitmapNonAnchor-r13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dl-GapNonAnchor-r13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ul-CarrierConfig-r13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ul-CarrierFreq-r13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npdcch-ConfigDedicated-r13</w:t>
            </w:r>
          </w:p>
        </w:tc>
        <w:tc>
          <w:tcPr>
            <w:tcW w:w="2267" w:type="dxa"/>
            <w:shd w:val="clear" w:color="auto" w:fill="auto"/>
          </w:tcPr>
          <w:p>
            <w:pPr>
              <w:pStyle w:val="103"/>
              <w:keepNext w:val="0"/>
              <w:keepLines w:val="0"/>
            </w:pPr>
            <w:r>
              <w:t>NPDCCH-ConfigDedicated-NB-DEFAULT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npusch-ConfigDedicated-r13</w:t>
            </w:r>
          </w:p>
        </w:tc>
        <w:tc>
          <w:tcPr>
            <w:tcW w:w="2267" w:type="dxa"/>
            <w:tcBorders>
              <w:bottom w:val="single" w:color="000000" w:sz="4" w:space="0"/>
            </w:tcBorders>
            <w:shd w:val="clear" w:color="auto" w:fill="auto"/>
          </w:tcPr>
          <w:p>
            <w:pPr>
              <w:pStyle w:val="103"/>
              <w:keepNext w:val="0"/>
              <w:keepLines w:val="0"/>
            </w:pPr>
            <w:r>
              <w:t>NPUSCH-ConfigDedicated-NB-DEFAULT</w:t>
            </w:r>
          </w:p>
        </w:tc>
        <w:tc>
          <w:tcPr>
            <w:tcW w:w="1811" w:type="dxa"/>
            <w:tcBorders>
              <w:bottom w:val="single" w:color="000000" w:sz="4" w:space="0"/>
            </w:tcBorders>
            <w:shd w:val="clear" w:color="auto" w:fill="auto"/>
          </w:tcPr>
          <w:p>
            <w:pPr>
              <w:pStyle w:val="103"/>
              <w:keepNext w:val="0"/>
              <w:keepLines w:val="0"/>
            </w:pPr>
            <w:r>
              <w:t>See subclause 8.1.6.3 in 36.508</w:t>
            </w:r>
          </w:p>
        </w:tc>
        <w:tc>
          <w:tcPr>
            <w:tcW w:w="1134" w:type="dxa"/>
            <w:tcBorders>
              <w:bottom w:val="single" w:color="000000"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uplinkPowerControlDedicated-r13</w:t>
            </w:r>
          </w:p>
        </w:tc>
        <w:tc>
          <w:tcPr>
            <w:tcW w:w="2267" w:type="dxa"/>
            <w:shd w:val="clear" w:color="auto" w:fill="auto"/>
          </w:tcPr>
          <w:p>
            <w:pPr>
              <w:pStyle w:val="103"/>
              <w:keepNext w:val="0"/>
              <w:keepLines w:val="0"/>
            </w:pPr>
            <w:r>
              <w:t>UplinkPowerControlDedicated-NB-DEFAULT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18"/>
              <w:keepNext w:val="0"/>
              <w:keepLines w:val="0"/>
            </w:pPr>
            <w:r>
              <w:t>Note 1: The frequency of Non-anchor carrier is located at 200KHz higher from the centre of the anchor carrier.</w:t>
            </w:r>
          </w:p>
        </w:tc>
      </w:tr>
    </w:tbl>
    <w:p/>
    <w:p>
      <w:pPr>
        <w:pStyle w:val="113"/>
      </w:pPr>
      <w:r>
        <w:t>Table 8.3.1.1.1.4.3-2: NPDCCH-ConfigDedicated-NB-DEFAULT</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03"/>
              <w:keepNext w:val="0"/>
              <w:keepLines w:val="0"/>
            </w:pPr>
            <w:r>
              <w:t>Derivation Path: 36.508 Table 8.1.6.3-3 NPDCCH-ConfigDedicated-NB-DEFAULT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shd w:val="clear" w:color="auto" w:fill="auto"/>
          </w:tcPr>
          <w:p>
            <w:pPr>
              <w:pStyle w:val="103"/>
              <w:keepNext w:val="0"/>
              <w:keepLines w:val="0"/>
            </w:pPr>
            <w:r>
              <w:t>NPDCCH-ConfigDedicated-NB-DEFAULT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npdcch-NumRepetitions-r13</w:t>
            </w:r>
          </w:p>
        </w:tc>
        <w:tc>
          <w:tcPr>
            <w:tcW w:w="2267" w:type="dxa"/>
            <w:shd w:val="clear" w:color="auto" w:fill="auto"/>
          </w:tcPr>
          <w:p>
            <w:pPr>
              <w:pStyle w:val="103"/>
              <w:keepNext w:val="0"/>
              <w:keepLines w:val="0"/>
            </w:pPr>
            <w:r>
              <w:t>r64 for Test 1; r256 for Test 2.</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npdcch-StartSF-USS-r13</w:t>
            </w:r>
          </w:p>
        </w:tc>
        <w:tc>
          <w:tcPr>
            <w:tcW w:w="2267" w:type="dxa"/>
            <w:shd w:val="clear" w:color="auto" w:fill="auto"/>
          </w:tcPr>
          <w:p>
            <w:pPr>
              <w:pStyle w:val="103"/>
              <w:keepNext w:val="0"/>
              <w:keepLines w:val="0"/>
            </w:pPr>
            <w:r>
              <w:t>V1.5</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bottom w:val="single" w:color="auto" w:sz="4" w:space="0"/>
            </w:tcBorders>
            <w:shd w:val="clear" w:color="auto" w:fill="auto"/>
          </w:tcPr>
          <w:p>
            <w:pPr>
              <w:pStyle w:val="103"/>
              <w:keepNext w:val="0"/>
              <w:keepLines w:val="0"/>
            </w:pPr>
            <w:r>
              <w:t xml:space="preserve">  npdcch-Offset-USS-r13</w:t>
            </w:r>
          </w:p>
        </w:tc>
        <w:tc>
          <w:tcPr>
            <w:tcW w:w="2267" w:type="dxa"/>
            <w:tcBorders>
              <w:bottom w:val="single" w:color="auto" w:sz="4" w:space="0"/>
            </w:tcBorders>
            <w:shd w:val="clear" w:color="auto" w:fill="auto"/>
          </w:tcPr>
          <w:p>
            <w:pPr>
              <w:pStyle w:val="103"/>
              <w:keepNext w:val="0"/>
              <w:keepLines w:val="0"/>
            </w:pPr>
            <w:r>
              <w:t>zero</w:t>
            </w:r>
          </w:p>
        </w:tc>
        <w:tc>
          <w:tcPr>
            <w:tcW w:w="1811" w:type="dxa"/>
            <w:tcBorders>
              <w:bottom w:val="single" w:color="auto" w:sz="4" w:space="0"/>
            </w:tcBorders>
            <w:shd w:val="clear" w:color="auto" w:fill="auto"/>
          </w:tcPr>
          <w:p>
            <w:pPr>
              <w:pStyle w:val="103"/>
              <w:keepNext w:val="0"/>
              <w:keepLines w:val="0"/>
            </w:pPr>
          </w:p>
        </w:tc>
        <w:tc>
          <w:tcPr>
            <w:tcW w:w="1134" w:type="dxa"/>
            <w:tcBorders>
              <w:bottom w:val="single" w:color="auto"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r>
    </w:tbl>
    <w:p>
      <w:pPr>
        <w:rPr>
          <w:lang w:eastAsia="zh-TW"/>
        </w:rPr>
      </w:pPr>
    </w:p>
    <w:p>
      <w:pPr>
        <w:pStyle w:val="113"/>
      </w:pPr>
      <w:r>
        <w:t>Table 8.3.1.1.1.4.3-3: NPUSCH-ConfigDedicated-NB-DEFAULT</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Before w:val="1"/>
          <w:wBefore w:w="9" w:type="dxa"/>
          <w:jc w:val="center"/>
        </w:trPr>
        <w:tc>
          <w:tcPr>
            <w:tcW w:w="9738" w:type="dxa"/>
            <w:gridSpan w:val="4"/>
          </w:tcPr>
          <w:p>
            <w:pPr>
              <w:pStyle w:val="103"/>
              <w:keepNext w:val="0"/>
              <w:keepLines w:val="0"/>
            </w:pPr>
            <w:r>
              <w:t xml:space="preserve">Derivation Path: 36.508 Table 8.1.6.3-7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shd w:val="clear" w:color="auto" w:fill="auto"/>
          </w:tcPr>
          <w:p>
            <w:pPr>
              <w:pStyle w:val="103"/>
              <w:keepNext w:val="0"/>
              <w:keepLines w:val="0"/>
            </w:pPr>
            <w:r>
              <w:t>NPUSCH-ConfigDedicated-NB-DEFAULT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ack-NACK-NumRepetitions-r13</w:t>
            </w:r>
          </w:p>
        </w:tc>
        <w:tc>
          <w:tcPr>
            <w:tcW w:w="2267" w:type="dxa"/>
            <w:shd w:val="clear" w:color="auto" w:fill="auto"/>
          </w:tcPr>
          <w:p>
            <w:pPr>
              <w:pStyle w:val="103"/>
              <w:keepNext w:val="0"/>
              <w:keepLines w:val="0"/>
            </w:pPr>
            <w:r>
              <w:t>R1</w:t>
            </w:r>
          </w:p>
        </w:tc>
        <w:tc>
          <w:tcPr>
            <w:tcW w:w="1811" w:type="dxa"/>
            <w:shd w:val="clear" w:color="auto" w:fill="auto"/>
          </w:tcPr>
          <w:p>
            <w:pPr>
              <w:pStyle w:val="103"/>
              <w:keepNext w:val="0"/>
              <w:keepLines w:val="0"/>
            </w:pPr>
            <w:r>
              <w:t>Default</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w:t>
            </w:r>
            <w:r>
              <w:rPr>
                <w:rFonts w:cs="Arial"/>
                <w:szCs w:val="16"/>
              </w:rPr>
              <w:t>npusch-AllSymbols-r13</w:t>
            </w:r>
          </w:p>
        </w:tc>
        <w:tc>
          <w:tcPr>
            <w:tcW w:w="2267" w:type="dxa"/>
            <w:shd w:val="clear" w:color="auto" w:fill="auto"/>
          </w:tcPr>
          <w:p>
            <w:pPr>
              <w:pStyle w:val="103"/>
              <w:keepNext w:val="0"/>
              <w:keepLines w:val="0"/>
            </w:pPr>
            <w:r>
              <w:t>TRUE</w:t>
            </w:r>
          </w:p>
        </w:tc>
        <w:tc>
          <w:tcPr>
            <w:tcW w:w="1811" w:type="dxa"/>
            <w:shd w:val="clear" w:color="auto" w:fill="auto"/>
          </w:tcPr>
          <w:p>
            <w:pPr>
              <w:pStyle w:val="103"/>
              <w:keepNext w:val="0"/>
              <w:keepLines w:val="0"/>
            </w:pPr>
            <w:r>
              <w:t>Default</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auto" w:sz="4" w:space="0"/>
            </w:tcBorders>
            <w:shd w:val="clear" w:color="auto" w:fill="auto"/>
          </w:tcPr>
          <w:p>
            <w:pPr>
              <w:pStyle w:val="103"/>
              <w:keepNext w:val="0"/>
              <w:keepLines w:val="0"/>
            </w:pPr>
            <w:r>
              <w:t xml:space="preserve">  groupHoppingDisabled-r13</w:t>
            </w:r>
            <w:r>
              <w:tab/>
            </w:r>
          </w:p>
        </w:tc>
        <w:tc>
          <w:tcPr>
            <w:tcW w:w="2267" w:type="dxa"/>
            <w:tcBorders>
              <w:bottom w:val="single" w:color="auto" w:sz="4" w:space="0"/>
            </w:tcBorders>
            <w:shd w:val="clear" w:color="auto" w:fill="auto"/>
          </w:tcPr>
          <w:p>
            <w:pPr>
              <w:pStyle w:val="103"/>
              <w:keepNext w:val="0"/>
              <w:keepLines w:val="0"/>
            </w:pPr>
            <w:r>
              <w:t>Not present</w:t>
            </w:r>
          </w:p>
        </w:tc>
        <w:tc>
          <w:tcPr>
            <w:tcW w:w="1811" w:type="dxa"/>
            <w:tcBorders>
              <w:bottom w:val="single" w:color="auto" w:sz="4" w:space="0"/>
            </w:tcBorders>
            <w:shd w:val="clear" w:color="auto" w:fill="auto"/>
          </w:tcPr>
          <w:p>
            <w:pPr>
              <w:pStyle w:val="103"/>
              <w:keepNext w:val="0"/>
              <w:keepLines w:val="0"/>
            </w:pPr>
            <w:r>
              <w:t>Default</w:t>
            </w:r>
          </w:p>
        </w:tc>
        <w:tc>
          <w:tcPr>
            <w:tcW w:w="1134" w:type="dxa"/>
            <w:tcBorders>
              <w:bottom w:val="single" w:color="auto"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r>
    </w:tbl>
    <w:p>
      <w:pPr>
        <w:rPr>
          <w:lang w:eastAsia="zh-TW"/>
        </w:rPr>
      </w:pPr>
    </w:p>
    <w:p>
      <w:pPr>
        <w:pStyle w:val="9"/>
        <w:rPr>
          <w:snapToGrid w:val="0"/>
          <w:kern w:val="2"/>
        </w:rPr>
      </w:pPr>
      <w:r>
        <w:rPr>
          <w:snapToGrid w:val="0"/>
          <w:kern w:val="2"/>
        </w:rPr>
        <w:t>8.3.1.1.1.5</w:t>
      </w:r>
      <w:r>
        <w:rPr>
          <w:snapToGrid w:val="0"/>
          <w:kern w:val="2"/>
        </w:rPr>
        <w:tab/>
      </w:r>
      <w:r>
        <w:rPr>
          <w:snapToGrid w:val="0"/>
          <w:kern w:val="2"/>
        </w:rPr>
        <w:t>Test requirement</w:t>
      </w:r>
    </w:p>
    <w:p>
      <w:r>
        <w:t>Table 8.3.1.1.1</w:t>
      </w:r>
      <w:r>
        <w:rPr>
          <w:lang w:eastAsia="zh-TW"/>
        </w:rPr>
        <w:t>.3</w:t>
      </w:r>
      <w:r>
        <w:t>-1 defines the primary level settings.</w:t>
      </w:r>
    </w:p>
    <w:p>
      <w:pPr>
        <w:rPr>
          <w:lang w:eastAsia="zh-TW"/>
        </w:rPr>
      </w:pPr>
      <w:r>
        <w:t xml:space="preserve">The fraction of maximum throughput percentage for the downlink reference measurement channels specified in </w:t>
      </w:r>
      <w:r>
        <w:rPr>
          <w:rFonts w:hint="eastAsia"/>
        </w:rPr>
        <w:t>TS</w:t>
      </w:r>
      <w:r>
        <w:t xml:space="preserve"> 36.102[11] Annex A clause A.1.1.1</w:t>
      </w:r>
      <w:r>
        <w:tab/>
      </w:r>
      <w:r>
        <w:t>for each throughput test shall meet or exceed the specified value in Table 8.3.1.1.1.</w:t>
      </w:r>
      <w:r>
        <w:rPr>
          <w:lang w:eastAsia="zh-TW"/>
        </w:rPr>
        <w:t>5</w:t>
      </w:r>
      <w:r>
        <w:t>-</w:t>
      </w:r>
      <w:r>
        <w:rPr>
          <w:lang w:eastAsia="zh-TW"/>
        </w:rPr>
        <w:t>1</w:t>
      </w:r>
      <w:r>
        <w:t xml:space="preserve"> for the specified SNR including test tolerances for all throughput tests.</w:t>
      </w:r>
    </w:p>
    <w:p>
      <w:pPr>
        <w:pStyle w:val="113"/>
      </w:pPr>
      <w:r>
        <w:t>Table 8.3.1.1.1.</w:t>
      </w:r>
      <w:r>
        <w:rPr>
          <w:lang w:eastAsia="zh-TW"/>
        </w:rPr>
        <w:t>5</w:t>
      </w:r>
      <w:r>
        <w:t>-</w:t>
      </w:r>
      <w:r>
        <w:rPr>
          <w:lang w:eastAsia="zh-TW"/>
        </w:rPr>
        <w:t>1</w:t>
      </w:r>
      <w:r>
        <w:t>: Test requirements under standalone with 1 NRS ports</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8"/>
        <w:gridCol w:w="956"/>
        <w:gridCol w:w="691"/>
        <w:gridCol w:w="916"/>
        <w:gridCol w:w="924"/>
        <w:gridCol w:w="1061"/>
        <w:gridCol w:w="764"/>
        <w:gridCol w:w="1165"/>
        <w:gridCol w:w="1028"/>
        <w:gridCol w:w="760"/>
        <w:gridCol w:w="8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8"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Test number</w:t>
            </w:r>
          </w:p>
        </w:tc>
        <w:tc>
          <w:tcPr>
            <w:tcW w:w="49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Bandwidth</w:t>
            </w:r>
          </w:p>
        </w:tc>
        <w:tc>
          <w:tcPr>
            <w:tcW w:w="359"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Carr</w:t>
            </w:r>
            <w:r>
              <w:rPr>
                <w:rFonts w:ascii="Arial" w:hAnsi="Arial" w:cs="Arial"/>
                <w:b/>
                <w:kern w:val="2"/>
                <w:sz w:val="18"/>
              </w:rPr>
              <w:t>i</w:t>
            </w:r>
            <w:r>
              <w:rPr>
                <w:rFonts w:hint="eastAsia" w:ascii="Arial" w:hAnsi="Arial" w:cs="Arial"/>
                <w:b/>
                <w:kern w:val="2"/>
                <w:sz w:val="18"/>
              </w:rPr>
              <w:t>er Type</w:t>
            </w:r>
          </w:p>
        </w:tc>
        <w:tc>
          <w:tcPr>
            <w:tcW w:w="47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Reference Channel</w:t>
            </w:r>
          </w:p>
        </w:tc>
        <w:tc>
          <w:tcPr>
            <w:tcW w:w="479"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Repetition number</w:t>
            </w:r>
          </w:p>
        </w:tc>
        <w:tc>
          <w:tcPr>
            <w:tcW w:w="550"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Propagation condition</w:t>
            </w:r>
          </w:p>
        </w:tc>
        <w:tc>
          <w:tcPr>
            <w:tcW w:w="39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Number of NRS ports</w:t>
            </w:r>
          </w:p>
        </w:tc>
        <w:tc>
          <w:tcPr>
            <w:tcW w:w="604"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sz w:val="18"/>
                <w:lang w:eastAsia="en-GB"/>
              </w:rPr>
              <w:t>Antenna Configuration</w:t>
            </w:r>
          </w:p>
        </w:tc>
        <w:tc>
          <w:tcPr>
            <w:tcW w:w="886"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Reference value</w:t>
            </w:r>
          </w:p>
        </w:tc>
        <w:tc>
          <w:tcPr>
            <w:tcW w:w="365" w:type="pct"/>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kern w:val="2"/>
                <w:sz w:val="18"/>
                <w:lang w:eastAsia="ja-JP"/>
              </w:rPr>
            </w:pPr>
            <w:r>
              <w:rPr>
                <w:rFonts w:hint="eastAsia" w:ascii="Arial" w:hAnsi="Arial" w:cs="Arial"/>
                <w:b/>
                <w:kern w:val="2"/>
                <w:sz w:val="18"/>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8"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9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359"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7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79"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50"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39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604"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3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Fraction of Maximum</w:t>
            </w:r>
          </w:p>
          <w:p>
            <w:pPr>
              <w:keepNext/>
              <w:keepLines/>
              <w:spacing w:after="0"/>
              <w:jc w:val="center"/>
              <w:rPr>
                <w:rFonts w:ascii="Arial" w:hAnsi="Arial" w:cs="Arial"/>
                <w:b/>
                <w:kern w:val="2"/>
                <w:sz w:val="18"/>
                <w:lang w:eastAsia="ja-JP"/>
              </w:rPr>
            </w:pPr>
            <w:r>
              <w:rPr>
                <w:rFonts w:ascii="Arial" w:hAnsi="Arial" w:cs="Arial"/>
                <w:b/>
                <w:kern w:val="2"/>
                <w:sz w:val="18"/>
                <w:lang w:eastAsia="ja-JP"/>
              </w:rPr>
              <w:t>Throughput (%)</w:t>
            </w:r>
          </w:p>
        </w:tc>
        <w:tc>
          <w:tcPr>
            <w:tcW w:w="35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SNR (dB)</w:t>
            </w:r>
          </w:p>
        </w:tc>
        <w:tc>
          <w:tcPr>
            <w:tcW w:w="365" w:type="pct"/>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kern w:val="2"/>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4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200</w:t>
            </w:r>
            <w:r>
              <w:rPr>
                <w:rFonts w:ascii="Arial" w:hAnsi="Arial" w:cs="Arial"/>
                <w:kern w:val="2"/>
                <w:sz w:val="18"/>
              </w:rPr>
              <w:t>kHz</w:t>
            </w:r>
          </w:p>
        </w:tc>
        <w:tc>
          <w:tcPr>
            <w:tcW w:w="35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Anchor</w:t>
            </w:r>
          </w:p>
        </w:tc>
        <w:tc>
          <w:tcPr>
            <w:tcW w:w="47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sz w:val="18"/>
              </w:rPr>
              <w:t>R.NB.1</w:t>
            </w:r>
            <w:r>
              <w:rPr>
                <w:rFonts w:ascii="Arial" w:hAnsi="Arial" w:cs="Arial"/>
                <w:kern w:val="2"/>
                <w:sz w:val="18"/>
                <w:lang w:eastAsia="ja-JP"/>
              </w:rPr>
              <w:t xml:space="preserve"> FDD</w:t>
            </w:r>
          </w:p>
        </w:tc>
        <w:tc>
          <w:tcPr>
            <w:tcW w:w="47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32</w:t>
            </w:r>
          </w:p>
        </w:tc>
        <w:tc>
          <w:tcPr>
            <w:tcW w:w="550"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NTN-TDLC5-200</w:t>
            </w:r>
          </w:p>
        </w:tc>
        <w:tc>
          <w:tcPr>
            <w:tcW w:w="3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60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hint="eastAsia" w:ascii="Arial" w:hAnsi="Arial" w:cs="Arial"/>
                <w:kern w:val="2"/>
                <w:sz w:val="18"/>
              </w:rPr>
              <w:t>1x1</w:t>
            </w:r>
          </w:p>
        </w:tc>
        <w:tc>
          <w:tcPr>
            <w:tcW w:w="53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70%</w:t>
            </w:r>
          </w:p>
        </w:tc>
        <w:tc>
          <w:tcPr>
            <w:tcW w:w="35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-4.7+TT</w:t>
            </w:r>
          </w:p>
        </w:tc>
        <w:tc>
          <w:tcPr>
            <w:tcW w:w="36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w:t>
            </w:r>
            <w:r>
              <w:rPr>
                <w:rFonts w:hint="eastAsia" w:ascii="Arial" w:hAnsi="Arial" w:cs="Arial"/>
                <w:kern w:val="2"/>
                <w:sz w:val="18"/>
              </w:rPr>
              <w:t>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w:t>
            </w:r>
          </w:p>
        </w:tc>
        <w:tc>
          <w:tcPr>
            <w:tcW w:w="4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200</w:t>
            </w:r>
            <w:r>
              <w:rPr>
                <w:rFonts w:ascii="Arial" w:hAnsi="Arial" w:cs="Arial"/>
                <w:kern w:val="2"/>
                <w:sz w:val="18"/>
              </w:rPr>
              <w:t>kHz</w:t>
            </w:r>
          </w:p>
        </w:tc>
        <w:tc>
          <w:tcPr>
            <w:tcW w:w="35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Non-anchor</w:t>
            </w:r>
          </w:p>
        </w:tc>
        <w:tc>
          <w:tcPr>
            <w:tcW w:w="47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sz w:val="18"/>
              </w:rPr>
              <w:t>R.NB.2</w:t>
            </w:r>
            <w:r>
              <w:rPr>
                <w:rFonts w:ascii="Arial" w:hAnsi="Arial" w:cs="Arial"/>
                <w:kern w:val="2"/>
                <w:sz w:val="18"/>
                <w:lang w:eastAsia="ja-JP"/>
              </w:rPr>
              <w:t xml:space="preserve"> FDD</w:t>
            </w:r>
          </w:p>
        </w:tc>
        <w:tc>
          <w:tcPr>
            <w:tcW w:w="47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128</w:t>
            </w:r>
          </w:p>
        </w:tc>
        <w:tc>
          <w:tcPr>
            <w:tcW w:w="550"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NTN-TDLA100-10</w:t>
            </w:r>
          </w:p>
        </w:tc>
        <w:tc>
          <w:tcPr>
            <w:tcW w:w="3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60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hint="eastAsia" w:ascii="Arial" w:hAnsi="Arial" w:cs="Arial"/>
                <w:kern w:val="2"/>
                <w:sz w:val="18"/>
              </w:rPr>
              <w:t>1x1</w:t>
            </w:r>
          </w:p>
        </w:tc>
        <w:tc>
          <w:tcPr>
            <w:tcW w:w="53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70%</w:t>
            </w:r>
          </w:p>
        </w:tc>
        <w:tc>
          <w:tcPr>
            <w:tcW w:w="35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-10.6+TT</w:t>
            </w:r>
          </w:p>
        </w:tc>
        <w:tc>
          <w:tcPr>
            <w:tcW w:w="36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NB1, NB2</w:t>
            </w:r>
          </w:p>
        </w:tc>
      </w:tr>
    </w:tbl>
    <w:p/>
    <w:p>
      <w:pPr>
        <w:pStyle w:val="7"/>
        <w:rPr>
          <w:rFonts w:cs="Arial"/>
          <w:szCs w:val="22"/>
        </w:rPr>
      </w:pPr>
      <w:bookmarkStart w:id="1594" w:name="_Toc12955"/>
      <w:bookmarkStart w:id="1595" w:name="_Toc31509"/>
      <w:bookmarkStart w:id="1596" w:name="_Toc2916"/>
      <w:bookmarkStart w:id="1597" w:name="_Toc20618"/>
      <w:bookmarkStart w:id="1598" w:name="_Toc4963"/>
      <w:r>
        <w:rPr>
          <w:snapToGrid w:val="0"/>
          <w:lang w:val="en-US"/>
        </w:rPr>
        <w:t>8.3.1.1.2</w:t>
      </w:r>
      <w:r>
        <w:rPr>
          <w:snapToGrid w:val="0"/>
          <w:lang w:val="en-US"/>
        </w:rPr>
        <w:tab/>
      </w:r>
      <w:r>
        <w:rPr>
          <w:snapToGrid w:val="0"/>
          <w:lang w:val="en-US"/>
        </w:rPr>
        <w:t>Demodulation of NPDSCH (Cell-Specific Reference Symbols) in standalone mode for category NB1 and NB2</w:t>
      </w:r>
      <w:bookmarkEnd w:id="1594"/>
      <w:bookmarkEnd w:id="1595"/>
      <w:bookmarkEnd w:id="1596"/>
      <w:bookmarkEnd w:id="1597"/>
      <w:bookmarkEnd w:id="1598"/>
    </w:p>
    <w:p>
      <w:pPr>
        <w:pStyle w:val="112"/>
        <w:rPr>
          <w:i w:val="0"/>
          <w:iCs w:val="0"/>
          <w:lang w:val="en-GB"/>
        </w:rPr>
      </w:pPr>
      <w:r>
        <w:t>Editor’s Note: Addition to applicability spec is pending.</w:t>
      </w:r>
    </w:p>
    <w:p>
      <w:pPr>
        <w:pStyle w:val="9"/>
        <w:rPr>
          <w:snapToGrid w:val="0"/>
          <w:kern w:val="2"/>
        </w:rPr>
      </w:pPr>
      <w:r>
        <w:rPr>
          <w:snapToGrid w:val="0"/>
          <w:kern w:val="2"/>
        </w:rPr>
        <w:t>8.3.1.1.2.1</w:t>
      </w:r>
      <w:r>
        <w:rPr>
          <w:snapToGrid w:val="0"/>
          <w:kern w:val="2"/>
        </w:rPr>
        <w:tab/>
      </w:r>
      <w:r>
        <w:rPr>
          <w:snapToGrid w:val="0"/>
          <w:kern w:val="2"/>
        </w:rPr>
        <w:t>Test purpose</w:t>
      </w:r>
    </w:p>
    <w:p>
      <w:r>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Pr>
          <w:rFonts w:hint="eastAsia"/>
        </w:rPr>
        <w:t>one</w:t>
      </w:r>
      <w:r>
        <w:t xml:space="preserve"> antenna ports.</w:t>
      </w:r>
    </w:p>
    <w:p>
      <w:pPr>
        <w:pStyle w:val="9"/>
        <w:rPr>
          <w:snapToGrid w:val="0"/>
          <w:kern w:val="2"/>
        </w:rPr>
      </w:pPr>
      <w:r>
        <w:rPr>
          <w:snapToGrid w:val="0"/>
          <w:kern w:val="2"/>
        </w:rPr>
        <w:t>8.3.1.1.2.2</w:t>
      </w:r>
      <w:r>
        <w:rPr>
          <w:snapToGrid w:val="0"/>
          <w:kern w:val="2"/>
        </w:rPr>
        <w:tab/>
      </w:r>
      <w:r>
        <w:rPr>
          <w:snapToGrid w:val="0"/>
          <w:kern w:val="2"/>
        </w:rPr>
        <w:t>Test applicability</w:t>
      </w:r>
    </w:p>
    <w:p>
      <w:r>
        <w:t xml:space="preserve">This test applies to all types of NB-IoT FDD UE release 17 and forward of category NB1 </w:t>
      </w:r>
      <w:r>
        <w:rPr>
          <w:rFonts w:hint="eastAsia"/>
        </w:rPr>
        <w:t>and</w:t>
      </w:r>
      <w:r>
        <w:t xml:space="preserve"> </w:t>
      </w:r>
      <w:r>
        <w:rPr>
          <w:rFonts w:hint="eastAsia"/>
        </w:rPr>
        <w:t>NB</w:t>
      </w:r>
      <w:r>
        <w:t xml:space="preserve">2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8.3.1.1.2.3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r>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p>
    <w:p>
      <w:pPr>
        <w:pStyle w:val="113"/>
      </w:pPr>
      <w:r>
        <w:t>Table 8.3.1.1.2.3-1: Test Parameters for NPDSCH under standalone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4"/>
        <w:gridCol w:w="1381"/>
        <w:gridCol w:w="1685"/>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24" w:type="dxa"/>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Parameter</w:t>
            </w:r>
          </w:p>
        </w:tc>
        <w:tc>
          <w:tcPr>
            <w:tcW w:w="3066" w:type="dxa"/>
            <w:gridSpan w:val="2"/>
            <w:tcBorders>
              <w:top w:val="single" w:color="auto" w:sz="4" w:space="0"/>
              <w:left w:val="single" w:color="auto" w:sz="4" w:space="0"/>
              <w:bottom w:val="single" w:color="auto" w:sz="4" w:space="0"/>
              <w:right w:val="single" w:color="auto" w:sz="4" w:space="0"/>
            </w:tcBorders>
            <w:vAlign w:val="center"/>
          </w:tcPr>
          <w:p>
            <w:pPr>
              <w:pStyle w:val="104"/>
              <w:rPr>
                <w:rFonts w:eastAsia="?? ??"/>
                <w:kern w:val="2"/>
              </w:rPr>
            </w:pPr>
            <w:r>
              <w:rPr>
                <w:rFonts w:eastAsia="?? ??"/>
                <w:kern w:val="2"/>
              </w:rPr>
              <w:t>Unit</w:t>
            </w:r>
          </w:p>
        </w:tc>
        <w:tc>
          <w:tcPr>
            <w:tcW w:w="1858" w:type="dxa"/>
            <w:tcBorders>
              <w:top w:val="single" w:color="auto" w:sz="4" w:space="0"/>
              <w:left w:val="single" w:color="auto" w:sz="4" w:space="0"/>
              <w:bottom w:val="single" w:color="auto" w:sz="4" w:space="0"/>
              <w:right w:val="single" w:color="auto" w:sz="4" w:space="0"/>
            </w:tcBorders>
            <w:vAlign w:val="center"/>
          </w:tcPr>
          <w:p>
            <w:pPr>
              <w:pStyle w:val="104"/>
              <w:rPr>
                <w:rFonts w:eastAsia="?? ??"/>
                <w:kern w:val="2"/>
              </w:rPr>
            </w:pPr>
            <w:r>
              <w:rPr>
                <w:rFonts w:eastAsia="?? ??"/>
                <w:kern w:val="2"/>
              </w:rPr>
              <w:t>Test 1</w:t>
            </w:r>
            <w:r>
              <w:rPr>
                <w:kern w:val="2"/>
              </w:rPr>
              <w: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restart"/>
            <w:tcBorders>
              <w:left w:val="single" w:color="auto" w:sz="4" w:space="0"/>
              <w:right w:val="single" w:color="auto" w:sz="4" w:space="0"/>
            </w:tcBorders>
            <w:vAlign w:val="center"/>
          </w:tcPr>
          <w:p>
            <w:pPr>
              <w:pStyle w:val="105"/>
              <w:rPr>
                <w:kern w:val="2"/>
                <w:position w:val="-12"/>
              </w:rPr>
            </w:pPr>
            <w:r>
              <w:rPr>
                <w:kern w:val="2"/>
                <w:position w:val="-12"/>
              </w:rPr>
              <w:drawing>
                <wp:inline distT="0" distB="0" distL="0" distR="0">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Pr>
                <w:kern w:val="2"/>
              </w:rPr>
              <w:t>at antenna port</w:t>
            </w:r>
          </w:p>
        </w:tc>
        <w:tc>
          <w:tcPr>
            <w:tcW w:w="1381" w:type="dxa"/>
            <w:tcBorders>
              <w:top w:val="single" w:color="auto" w:sz="4" w:space="0"/>
              <w:left w:val="single" w:color="auto" w:sz="4" w:space="0"/>
              <w:bottom w:val="single" w:color="auto" w:sz="4" w:space="0"/>
              <w:right w:val="single" w:color="auto" w:sz="4" w:space="0"/>
            </w:tcBorders>
            <w:vAlign w:val="center"/>
          </w:tcPr>
          <w:p>
            <w:pPr>
              <w:pStyle w:val="105"/>
            </w:pPr>
            <w:r>
              <w:drawing>
                <wp:inline distT="0" distB="0" distL="0" distR="0">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color="auto" w:sz="4" w:space="0"/>
              <w:left w:val="single" w:color="auto" w:sz="4" w:space="0"/>
              <w:right w:val="single" w:color="auto" w:sz="4" w:space="0"/>
            </w:tcBorders>
            <w:vAlign w:val="center"/>
          </w:tcPr>
          <w:p>
            <w:pPr>
              <w:pStyle w:val="105"/>
              <w:rPr>
                <w:rFonts w:eastAsia="?? ??"/>
                <w:kern w:val="2"/>
              </w:rPr>
            </w:pPr>
            <w:r>
              <w:rPr>
                <w:rFonts w:eastAsia="?? ??"/>
                <w:kern w:val="2"/>
              </w:rPr>
              <w:t>dBm/15kHz</w:t>
            </w:r>
          </w:p>
        </w:tc>
        <w:tc>
          <w:tcPr>
            <w:tcW w:w="1858" w:type="dxa"/>
            <w:tcBorders>
              <w:top w:val="single" w:color="auto" w:sz="4" w:space="0"/>
              <w:left w:val="single" w:color="auto" w:sz="4" w:space="0"/>
              <w:right w:val="single" w:color="auto" w:sz="4" w:space="0"/>
            </w:tcBorders>
            <w:vAlign w:val="center"/>
          </w:tcPr>
          <w:p>
            <w:pPr>
              <w:pStyle w:val="105"/>
              <w:rPr>
                <w:rFonts w:cs="v5.0.0"/>
                <w:kern w:val="2"/>
              </w:rPr>
            </w:pPr>
            <w:r>
              <w:rPr>
                <w:rFonts w:eastAsia="?? ??" w:cs="v5.0.0"/>
                <w:kern w:val="2"/>
              </w:rPr>
              <w:t>-9</w:t>
            </w:r>
            <w:r>
              <w:rPr>
                <w:rFonts w:cs="v5.0.0"/>
                <w:kern w:val="2"/>
              </w:rPr>
              <w:t>3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position w:val="-12"/>
                <w:sz w:val="18"/>
              </w:rPr>
            </w:pPr>
          </w:p>
        </w:tc>
        <w:tc>
          <w:tcPr>
            <w:tcW w:w="1381" w:type="dxa"/>
            <w:tcBorders>
              <w:top w:val="single" w:color="auto" w:sz="4" w:space="0"/>
              <w:left w:val="single" w:color="auto" w:sz="4" w:space="0"/>
              <w:bottom w:val="single" w:color="auto" w:sz="4" w:space="0"/>
              <w:right w:val="single" w:color="auto" w:sz="4" w:space="0"/>
            </w:tcBorders>
            <w:vAlign w:val="center"/>
          </w:tcPr>
          <w:p>
            <w:pPr>
              <w:pStyle w:val="105"/>
            </w:pPr>
            <w:r>
              <w:drawing>
                <wp:inline distT="0" distB="0" distL="0" distR="0">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color="auto" w:sz="4" w:space="0"/>
              <w:bottom w:val="single" w:color="auto" w:sz="4" w:space="0"/>
              <w:right w:val="single" w:color="auto" w:sz="4" w:space="0"/>
            </w:tcBorders>
            <w:vAlign w:val="center"/>
          </w:tcPr>
          <w:p>
            <w:pPr>
              <w:pStyle w:val="105"/>
              <w:rPr>
                <w:rFonts w:eastAsia="?? ??"/>
                <w:kern w:val="2"/>
              </w:rPr>
            </w:pPr>
            <w:r>
              <w:rPr>
                <w:rFonts w:eastAsia="?? ??"/>
                <w:kern w:val="2"/>
              </w:rPr>
              <w:t>dBm/15kHz</w:t>
            </w:r>
          </w:p>
        </w:tc>
        <w:tc>
          <w:tcPr>
            <w:tcW w:w="1858" w:type="dxa"/>
            <w:tcBorders>
              <w:left w:val="single" w:color="auto" w:sz="4" w:space="0"/>
              <w:bottom w:val="single" w:color="auto" w:sz="4" w:space="0"/>
              <w:right w:val="single" w:color="auto" w:sz="4" w:space="0"/>
            </w:tcBorders>
            <w:vAlign w:val="center"/>
          </w:tcPr>
          <w:p>
            <w:pPr>
              <w:pStyle w:val="105"/>
              <w:rPr>
                <w:rFonts w:eastAsia="?? ??" w:cs="v5.0.0"/>
                <w:kern w:val="2"/>
              </w:rPr>
            </w:pPr>
            <w:r>
              <w:rPr>
                <w:rFonts w:eastAsia="?? ??" w:cs="v5.0.0"/>
                <w:kern w:val="2"/>
              </w:rPr>
              <w:t>-9</w:t>
            </w:r>
            <w:r>
              <w:rPr>
                <w:rFonts w:cs="v5.0.0"/>
                <w:kern w:val="2"/>
              </w:rPr>
              <w:t>9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pStyle w:val="105"/>
              <w:rPr>
                <w:bCs/>
                <w:i/>
              </w:rPr>
            </w:pPr>
            <w:r>
              <w:rPr>
                <w:kern w:val="2"/>
              </w:rPr>
              <w:t>NPDCCH repetition number</w:t>
            </w:r>
          </w:p>
        </w:tc>
        <w:tc>
          <w:tcPr>
            <w:tcW w:w="1685"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rPr>
            </w:pPr>
            <w:r>
              <w:rPr>
                <w:kern w:val="2"/>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32 for Test 1; 256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pStyle w:val="105"/>
              <w:rPr>
                <w:kern w:val="2"/>
              </w:rPr>
            </w:pPr>
            <w:r>
              <w:rPr>
                <w:position w:val="-12"/>
              </w:rPr>
              <w:drawing>
                <wp:inline distT="0" distB="0" distL="0" distR="0">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Pr>
                <w:b/>
              </w:rPr>
              <w:t xml:space="preserve"> </w:t>
            </w:r>
            <w:r>
              <w:t>(</w:t>
            </w:r>
            <w:r>
              <w:rPr>
                <w:i/>
              </w:rPr>
              <w:t>npdcch-NumRepetitions-r13</w:t>
            </w:r>
            <w:r>
              <w:t>)</w:t>
            </w:r>
          </w:p>
        </w:tc>
        <w:tc>
          <w:tcPr>
            <w:tcW w:w="1685"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64 for Test 1; 512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pStyle w:val="105"/>
              <w:rPr>
                <w:position w:val="-12"/>
              </w:rPr>
            </w:pPr>
            <w:r>
              <w:rPr>
                <w:position w:val="-6"/>
                <w:lang w:eastAsia="ko-KR"/>
              </w:rPr>
              <w:object>
                <v:shape id="_x0000_i1087" o:spt="75" type="#_x0000_t75" style="height:13.2pt;width:13.2pt;" o:ole="t" filled="f" o:preferrelative="t" stroked="f" coordsize="21600,21600">
                  <v:path/>
                  <v:fill on="f" focussize="0,0"/>
                  <v:stroke on="f" joinstyle="miter"/>
                  <v:imagedata r:id="rId123" o:title=""/>
                  <o:lock v:ext="edit" aspectratio="t"/>
                  <w10:wrap type="none"/>
                  <w10:anchorlock/>
                </v:shape>
                <o:OLEObject Type="Embed" ProgID="Equation.3" ShapeID="_x0000_i1087" DrawAspect="Content" ObjectID="_1468075787" r:id="rId124">
                  <o:LockedField>false</o:LockedField>
                </o:OLEObject>
              </w:object>
            </w:r>
            <w:r>
              <w:t>(</w:t>
            </w:r>
            <w:r>
              <w:rPr>
                <w:rFonts w:cs="Arial"/>
                <w:i/>
              </w:rPr>
              <w:t>nPDCCH-startSF-USS-r13</w:t>
            </w:r>
            <w:r>
              <w:rPr>
                <w:rFonts w:cs="Arial"/>
                <w:b/>
              </w:rPr>
              <w:t>)</w:t>
            </w:r>
          </w:p>
        </w:tc>
        <w:tc>
          <w:tcPr>
            <w:tcW w:w="1685" w:type="dxa"/>
            <w:tcBorders>
              <w:top w:val="single" w:color="auto" w:sz="4" w:space="0"/>
              <w:left w:val="single" w:color="auto" w:sz="4" w:space="0"/>
              <w:bottom w:val="single" w:color="auto" w:sz="4" w:space="0"/>
              <w:right w:val="single" w:color="auto" w:sz="4" w:space="0"/>
            </w:tcBorders>
            <w:vAlign w:val="center"/>
          </w:tcPr>
          <w:p>
            <w:pPr>
              <w:pStyle w:val="105"/>
              <w:rPr>
                <w:kern w:val="2"/>
              </w:rPr>
            </w:pPr>
          </w:p>
        </w:tc>
        <w:tc>
          <w:tcPr>
            <w:tcW w:w="1858"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rFonts w:cs="Arial"/>
                <w:kern w:val="2"/>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trPr>
        <w:tc>
          <w:tcPr>
            <w:tcW w:w="8148" w:type="dxa"/>
            <w:gridSpan w:val="4"/>
            <w:tcBorders>
              <w:top w:val="single" w:color="auto" w:sz="4" w:space="0"/>
              <w:left w:val="single" w:color="auto" w:sz="4" w:space="0"/>
              <w:bottom w:val="single" w:color="auto" w:sz="4" w:space="0"/>
              <w:right w:val="single" w:color="auto" w:sz="4" w:space="0"/>
            </w:tcBorders>
          </w:tcPr>
          <w:p>
            <w:pPr>
              <w:pStyle w:val="118"/>
              <w:rPr>
                <w:kern w:val="2"/>
              </w:rPr>
            </w:pPr>
            <w:r>
              <w:rPr>
                <w:kern w:val="2"/>
              </w:rPr>
              <w:t>Note 1:</w:t>
            </w:r>
            <w:r>
              <w:rPr>
                <w:kern w:val="2"/>
              </w:rPr>
              <w:tab/>
            </w:r>
            <w:r>
              <w:rPr>
                <w:rFonts w:cs="Arial"/>
              </w:rPr>
              <w:t>This noise is applied to all subframes from the end of the NPDCCH to the end of the following NPDSCH transmission</w:t>
            </w:r>
            <w:r>
              <w:rPr>
                <w:rFonts w:cs="Arial"/>
                <w:kern w:val="2"/>
              </w:rPr>
              <w:t>;</w:t>
            </w:r>
          </w:p>
          <w:p>
            <w:pPr>
              <w:pStyle w:val="118"/>
              <w:rPr>
                <w:kern w:val="2"/>
              </w:rPr>
            </w:pPr>
            <w:r>
              <w:t>Note 2:</w:t>
            </w:r>
            <w:r>
              <w:rPr>
                <w:kern w:val="2"/>
              </w:rPr>
              <w:tab/>
            </w:r>
            <w:r>
              <w:t>This noise is applied to all subframes from the end of the NPDSCH to the end of the following NPDCCH transmission.</w:t>
            </w:r>
          </w:p>
        </w:tc>
      </w:tr>
    </w:tbl>
    <w:p/>
    <w:p>
      <w:pPr>
        <w:pStyle w:val="113"/>
      </w:pPr>
      <w:r>
        <w:t>Table 8.3.1.1.2.3-2: Minimum performance under standalone</w:t>
      </w:r>
    </w:p>
    <w:tbl>
      <w:tblPr>
        <w:tblStyle w:val="89"/>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3"/>
        <w:gridCol w:w="798"/>
        <w:gridCol w:w="927"/>
        <w:gridCol w:w="927"/>
        <w:gridCol w:w="1041"/>
        <w:gridCol w:w="1041"/>
        <w:gridCol w:w="1041"/>
        <w:gridCol w:w="1327"/>
        <w:gridCol w:w="895"/>
        <w:gridCol w:w="8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89" w:type="pct"/>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Test number</w:t>
            </w:r>
          </w:p>
        </w:tc>
        <w:tc>
          <w:tcPr>
            <w:tcW w:w="405" w:type="pct"/>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Bandwidth</w:t>
            </w:r>
          </w:p>
        </w:tc>
        <w:tc>
          <w:tcPr>
            <w:tcW w:w="470" w:type="pct"/>
            <w:vMerge w:val="restart"/>
            <w:tcBorders>
              <w:top w:val="single" w:color="auto" w:sz="4" w:space="0"/>
              <w:left w:val="single" w:color="auto" w:sz="4" w:space="0"/>
              <w:right w:val="single" w:color="auto" w:sz="4" w:space="0"/>
            </w:tcBorders>
            <w:vAlign w:val="center"/>
          </w:tcPr>
          <w:p>
            <w:pPr>
              <w:pStyle w:val="104"/>
              <w:rPr>
                <w:rFonts w:cs="Arial"/>
                <w:kern w:val="2"/>
              </w:rPr>
            </w:pPr>
            <w:r>
              <w:rPr>
                <w:rFonts w:cs="Arial"/>
                <w:kern w:val="2"/>
              </w:rPr>
              <w:t>Carrier Type</w:t>
            </w:r>
          </w:p>
        </w:tc>
        <w:tc>
          <w:tcPr>
            <w:tcW w:w="470" w:type="pct"/>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Reference Channel</w:t>
            </w:r>
          </w:p>
        </w:tc>
        <w:tc>
          <w:tcPr>
            <w:tcW w:w="528" w:type="pct"/>
            <w:vMerge w:val="restart"/>
            <w:tcBorders>
              <w:top w:val="single" w:color="auto" w:sz="4" w:space="0"/>
              <w:left w:val="single" w:color="auto" w:sz="4" w:space="0"/>
              <w:right w:val="single" w:color="auto" w:sz="4" w:space="0"/>
            </w:tcBorders>
            <w:vAlign w:val="center"/>
          </w:tcPr>
          <w:p>
            <w:pPr>
              <w:pStyle w:val="104"/>
              <w:rPr>
                <w:rFonts w:cs="Arial"/>
                <w:kern w:val="2"/>
              </w:rPr>
            </w:pPr>
            <w:r>
              <w:rPr>
                <w:rFonts w:cs="Arial"/>
                <w:kern w:val="2"/>
              </w:rPr>
              <w:t>Repetition number</w:t>
            </w:r>
          </w:p>
        </w:tc>
        <w:tc>
          <w:tcPr>
            <w:tcW w:w="528" w:type="pct"/>
            <w:vMerge w:val="restart"/>
            <w:tcBorders>
              <w:top w:val="single" w:color="auto" w:sz="4" w:space="0"/>
              <w:left w:val="single" w:color="auto" w:sz="4" w:space="0"/>
              <w:right w:val="single" w:color="auto" w:sz="4" w:space="0"/>
            </w:tcBorders>
            <w:vAlign w:val="center"/>
          </w:tcPr>
          <w:p>
            <w:pPr>
              <w:pStyle w:val="104"/>
              <w:rPr>
                <w:rFonts w:cs="Arial"/>
                <w:kern w:val="2"/>
              </w:rPr>
            </w:pPr>
            <w:r>
              <w:rPr>
                <w:rFonts w:cs="Arial"/>
                <w:kern w:val="2"/>
              </w:rPr>
              <w:t>Propagation condition</w:t>
            </w:r>
          </w:p>
        </w:tc>
        <w:tc>
          <w:tcPr>
            <w:tcW w:w="528" w:type="pct"/>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Number of NRS ports</w:t>
            </w:r>
          </w:p>
        </w:tc>
        <w:tc>
          <w:tcPr>
            <w:tcW w:w="1127" w:type="pct"/>
            <w:gridSpan w:val="2"/>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Reference value</w:t>
            </w:r>
          </w:p>
        </w:tc>
        <w:tc>
          <w:tcPr>
            <w:tcW w:w="454" w:type="pct"/>
            <w:vMerge w:val="restart"/>
            <w:tcBorders>
              <w:top w:val="single" w:color="auto" w:sz="4" w:space="0"/>
              <w:left w:val="single" w:color="auto" w:sz="4" w:space="0"/>
              <w:right w:val="single" w:color="auto" w:sz="4" w:space="0"/>
            </w:tcBorders>
          </w:tcPr>
          <w:p>
            <w:pPr>
              <w:pStyle w:val="104"/>
              <w:rPr>
                <w:rFonts w:cs="Arial"/>
                <w:kern w:val="2"/>
              </w:rPr>
            </w:pPr>
            <w:r>
              <w:rPr>
                <w:rFonts w:cs="Arial"/>
                <w:kern w:val="2"/>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89"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p>
        </w:tc>
        <w:tc>
          <w:tcPr>
            <w:tcW w:w="40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p>
        </w:tc>
        <w:tc>
          <w:tcPr>
            <w:tcW w:w="470" w:type="pct"/>
            <w:vMerge w:val="continue"/>
            <w:tcBorders>
              <w:left w:val="single" w:color="auto" w:sz="4" w:space="0"/>
              <w:bottom w:val="single" w:color="auto" w:sz="4" w:space="0"/>
              <w:right w:val="single" w:color="auto" w:sz="4" w:space="0"/>
            </w:tcBorders>
            <w:vAlign w:val="center"/>
          </w:tcPr>
          <w:p>
            <w:pPr>
              <w:pStyle w:val="104"/>
              <w:rPr>
                <w:rFonts w:cs="Arial"/>
                <w:kern w:val="2"/>
              </w:rPr>
            </w:pPr>
          </w:p>
        </w:tc>
        <w:tc>
          <w:tcPr>
            <w:tcW w:w="470"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p>
        </w:tc>
        <w:tc>
          <w:tcPr>
            <w:tcW w:w="528" w:type="pct"/>
            <w:vMerge w:val="continue"/>
            <w:tcBorders>
              <w:left w:val="single" w:color="auto" w:sz="4" w:space="0"/>
              <w:bottom w:val="single" w:color="auto" w:sz="4" w:space="0"/>
              <w:right w:val="single" w:color="auto" w:sz="4" w:space="0"/>
            </w:tcBorders>
            <w:vAlign w:val="center"/>
          </w:tcPr>
          <w:p>
            <w:pPr>
              <w:pStyle w:val="104"/>
              <w:rPr>
                <w:rFonts w:cs="Arial"/>
                <w:kern w:val="2"/>
              </w:rPr>
            </w:pPr>
          </w:p>
        </w:tc>
        <w:tc>
          <w:tcPr>
            <w:tcW w:w="528" w:type="pct"/>
            <w:vMerge w:val="continue"/>
            <w:tcBorders>
              <w:left w:val="single" w:color="auto" w:sz="4" w:space="0"/>
              <w:bottom w:val="single" w:color="auto" w:sz="4" w:space="0"/>
              <w:right w:val="single" w:color="auto" w:sz="4" w:space="0"/>
            </w:tcBorders>
            <w:vAlign w:val="center"/>
          </w:tcPr>
          <w:p>
            <w:pPr>
              <w:pStyle w:val="104"/>
              <w:rPr>
                <w:rFonts w:cs="Arial"/>
                <w:kern w:val="2"/>
              </w:rPr>
            </w:pPr>
          </w:p>
        </w:tc>
        <w:tc>
          <w:tcPr>
            <w:tcW w:w="528"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p>
        </w:tc>
        <w:tc>
          <w:tcPr>
            <w:tcW w:w="673" w:type="pc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Fraction of Maximum</w:t>
            </w:r>
          </w:p>
          <w:p>
            <w:pPr>
              <w:pStyle w:val="104"/>
              <w:rPr>
                <w:rFonts w:cs="Arial"/>
                <w:kern w:val="2"/>
              </w:rPr>
            </w:pPr>
            <w:r>
              <w:rPr>
                <w:rFonts w:cs="Arial"/>
                <w:kern w:val="2"/>
              </w:rPr>
              <w:t>Throughput (%)</w:t>
            </w:r>
          </w:p>
        </w:tc>
        <w:tc>
          <w:tcPr>
            <w:tcW w:w="454" w:type="pc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SNR (dB)</w:t>
            </w:r>
          </w:p>
        </w:tc>
        <w:tc>
          <w:tcPr>
            <w:tcW w:w="454" w:type="pct"/>
            <w:vMerge w:val="continue"/>
            <w:tcBorders>
              <w:left w:val="single" w:color="auto" w:sz="4" w:space="0"/>
              <w:bottom w:val="single" w:color="auto" w:sz="4" w:space="0"/>
              <w:right w:val="single" w:color="auto" w:sz="4" w:space="0"/>
            </w:tcBorders>
          </w:tcPr>
          <w:p>
            <w:pPr>
              <w:pStyle w:val="104"/>
              <w:rPr>
                <w:rFonts w:cs="Arial"/>
                <w:kern w:val="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89"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1</w:t>
            </w:r>
          </w:p>
        </w:tc>
        <w:tc>
          <w:tcPr>
            <w:tcW w:w="405"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200kHz</w:t>
            </w:r>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Anchor</w:t>
            </w:r>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rPr>
              <w:t>R.NB.6</w:t>
            </w:r>
            <w:r>
              <w:rPr>
                <w:rFonts w:cs="Arial"/>
                <w:kern w:val="2"/>
              </w:rPr>
              <w:t xml:space="preserve"> FDD</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32</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EPA5</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1</w:t>
            </w:r>
          </w:p>
        </w:tc>
        <w:tc>
          <w:tcPr>
            <w:tcW w:w="673"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70%</w:t>
            </w:r>
          </w:p>
        </w:tc>
        <w:tc>
          <w:tcPr>
            <w:tcW w:w="454"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-3.4</w:t>
            </w:r>
          </w:p>
        </w:tc>
        <w:tc>
          <w:tcPr>
            <w:tcW w:w="454" w:type="pct"/>
            <w:tcBorders>
              <w:top w:val="single" w:color="auto" w:sz="4" w:space="0"/>
              <w:left w:val="single" w:color="auto" w:sz="4" w:space="0"/>
              <w:bottom w:val="single" w:color="auto" w:sz="4" w:space="0"/>
              <w:right w:val="single" w:color="auto" w:sz="4" w:space="0"/>
            </w:tcBorders>
          </w:tcPr>
          <w:p>
            <w:pPr>
              <w:pStyle w:val="103"/>
              <w:jc w:val="center"/>
              <w:rPr>
                <w:rFonts w:cs="Arial"/>
                <w:kern w:val="2"/>
              </w:rPr>
            </w:pPr>
            <w:r>
              <w:rPr>
                <w:rFonts w:cs="Arial"/>
                <w:kern w:val="2"/>
              </w:rPr>
              <w:t>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89"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2 (Note 1)</w:t>
            </w:r>
          </w:p>
        </w:tc>
        <w:tc>
          <w:tcPr>
            <w:tcW w:w="405"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200kHz</w:t>
            </w:r>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Non-anchor</w:t>
            </w:r>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rPr>
              <w:t>R.NB.6-1</w:t>
            </w:r>
            <w:r>
              <w:rPr>
                <w:rFonts w:cs="Arial"/>
                <w:kern w:val="2"/>
              </w:rPr>
              <w:t xml:space="preserve"> FDD</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256</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ETU1</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1</w:t>
            </w:r>
          </w:p>
        </w:tc>
        <w:tc>
          <w:tcPr>
            <w:tcW w:w="673"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70%</w:t>
            </w:r>
          </w:p>
        </w:tc>
        <w:tc>
          <w:tcPr>
            <w:tcW w:w="454"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-10.2</w:t>
            </w:r>
          </w:p>
        </w:tc>
        <w:tc>
          <w:tcPr>
            <w:tcW w:w="454" w:type="pct"/>
            <w:tcBorders>
              <w:top w:val="single" w:color="auto" w:sz="4" w:space="0"/>
              <w:left w:val="single" w:color="auto" w:sz="4" w:space="0"/>
              <w:bottom w:val="single" w:color="auto" w:sz="4" w:space="0"/>
              <w:right w:val="single" w:color="auto" w:sz="4" w:space="0"/>
            </w:tcBorders>
          </w:tcPr>
          <w:p>
            <w:pPr>
              <w:pStyle w:val="103"/>
              <w:jc w:val="center"/>
              <w:rPr>
                <w:rFonts w:cs="Arial"/>
                <w:kern w:val="2"/>
              </w:rPr>
            </w:pPr>
            <w:r>
              <w:rPr>
                <w:rFonts w:cs="Arial"/>
                <w:kern w:val="2"/>
              </w:rPr>
              <w:t>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000" w:type="pct"/>
            <w:gridSpan w:val="10"/>
            <w:tcBorders>
              <w:top w:val="single" w:color="auto" w:sz="4" w:space="0"/>
              <w:left w:val="single" w:color="auto" w:sz="4" w:space="0"/>
              <w:bottom w:val="single" w:color="auto" w:sz="4" w:space="0"/>
              <w:right w:val="single" w:color="auto" w:sz="4" w:space="0"/>
            </w:tcBorders>
            <w:vAlign w:val="center"/>
          </w:tcPr>
          <w:p>
            <w:pPr>
              <w:pStyle w:val="103"/>
              <w:rPr>
                <w:rFonts w:cs="Arial"/>
                <w:kern w:val="2"/>
              </w:rPr>
            </w:pPr>
            <w:r>
              <w:rPr>
                <w:rFonts w:cs="Arial"/>
                <w:kern w:val="2"/>
              </w:rPr>
              <w:t>Note 1:</w:t>
            </w:r>
            <w:r>
              <w:rPr>
                <w:kern w:val="2"/>
              </w:rPr>
              <w:tab/>
            </w:r>
            <w:r>
              <w:rPr>
                <w:rFonts w:cs="Arial"/>
                <w:kern w:val="2"/>
              </w:rPr>
              <w:t>Applicable to UE supporting Non-Anchor mode of operation.</w:t>
            </w:r>
          </w:p>
        </w:tc>
      </w:tr>
    </w:tbl>
    <w:p/>
    <w:p>
      <w:pPr>
        <w:rPr>
          <w:lang w:eastAsia="zh-TW"/>
        </w:rPr>
      </w:pPr>
      <w:r>
        <w:t>The normative reference for this requirement is TS 36.101 [2] clause 8.12.1.1.2</w:t>
      </w:r>
      <w:r>
        <w:rPr>
          <w:lang w:eastAsia="zh-TW"/>
        </w:rPr>
        <w:t>.</w:t>
      </w:r>
    </w:p>
    <w:p>
      <w:pPr>
        <w:pStyle w:val="9"/>
        <w:rPr>
          <w:snapToGrid w:val="0"/>
          <w:kern w:val="2"/>
        </w:rPr>
      </w:pPr>
      <w:r>
        <w:rPr>
          <w:snapToGrid w:val="0"/>
          <w:kern w:val="2"/>
        </w:rPr>
        <w:t>8.3.1.1.2.4</w:t>
      </w:r>
      <w:r>
        <w:rPr>
          <w:snapToGrid w:val="0"/>
          <w:kern w:val="2"/>
        </w:rPr>
        <w:tab/>
      </w:r>
      <w:r>
        <w:rPr>
          <w:snapToGrid w:val="0"/>
          <w:kern w:val="2"/>
        </w:rPr>
        <w:t>Test description</w:t>
      </w:r>
    </w:p>
    <w:p>
      <w:pPr>
        <w:pStyle w:val="9"/>
        <w:rPr>
          <w:snapToGrid w:val="0"/>
          <w:kern w:val="2"/>
        </w:rPr>
      </w:pPr>
      <w:r>
        <w:rPr>
          <w:snapToGrid w:val="0"/>
          <w:kern w:val="2"/>
        </w:rPr>
        <w:t>8.3.1.1.2.4.1</w:t>
      </w:r>
      <w:r>
        <w:rPr>
          <w:snapToGrid w:val="0"/>
          <w:kern w:val="2"/>
        </w:rPr>
        <w:tab/>
      </w:r>
      <w:r>
        <w:rPr>
          <w:snapToGrid w:val="0"/>
          <w:kern w:val="2"/>
          <w:lang w:eastAsia="zh-CN"/>
        </w:rPr>
        <w:t>Initial conditions</w:t>
      </w:r>
    </w:p>
    <w:p>
      <w:r>
        <w:t>Initial conditions are a set of test configurations the UE needs to be tested in and the steps for the SS to take with the UE to reach the correct measurement state.</w:t>
      </w:r>
    </w:p>
    <w:p>
      <w:r>
        <w:t>Configurations of NPDSCH and NPDCCH before measurement are specified in Annex C.2.</w:t>
      </w:r>
    </w:p>
    <w:p>
      <w:r>
        <w:t>Test Environment: Normal, as defined in TS 36.508 [7] clause 4.1.</w:t>
      </w:r>
    </w:p>
    <w:p>
      <w:pPr>
        <w:rPr>
          <w:lang w:eastAsia="zh-TW"/>
        </w:rPr>
      </w:pPr>
      <w:r>
        <w:t>Frequencies to be tested: K.2.1.</w:t>
      </w:r>
    </w:p>
    <w:p>
      <w:pPr>
        <w:rPr>
          <w:lang w:eastAsia="zh-TW"/>
        </w:rPr>
      </w:pPr>
      <w:r>
        <w:rPr>
          <w:lang w:eastAsia="zh-TW"/>
        </w:rPr>
        <w:t xml:space="preserve">Channel </w:t>
      </w:r>
      <w:r>
        <w:t xml:space="preserve">Bandwidths to be tested: </w:t>
      </w:r>
      <w:r>
        <w:rPr>
          <w:lang w:eastAsia="zh-TW"/>
        </w:rPr>
        <w:t>A</w:t>
      </w:r>
      <w:r>
        <w:t>s</w:t>
      </w:r>
      <w:r>
        <w:rPr>
          <w:lang w:eastAsia="zh-TW"/>
        </w:rPr>
        <w:t xml:space="preserve"> specified per test number in Table 8.3.1.1.2.3-2.</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the faders and AWGN noise sources to the UE antenna connectors as shown in TS 36.508 [7] Annex A, Figure A.9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Tables 8.3.1.1-1 and 8.3.1.1.2.3-1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Annex C.3.2 and uplink signals according to Annex H.0.1, H.1.1, H.2.1 and Annex H.4.2.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rPr>
        <w:t>5</w:t>
      </w:r>
      <w:r>
        <w:rPr>
          <w:rFonts w:eastAsia="Malgun Gothic"/>
        </w:rPr>
        <w:t>.</w:t>
      </w:r>
      <w:r>
        <w:rPr>
          <w:rFonts w:eastAsia="Malgun Gothic"/>
        </w:rPr>
        <w:tab/>
      </w:r>
      <w:r>
        <w:rPr>
          <w:rFonts w:eastAsia="Malgun Gothic"/>
          <w:lang w:eastAsia="en-GB"/>
        </w:rPr>
        <w:t>UE location according to TS 36.508 [12] clause 8.2.6.1 is provided to the UE by any preconfigured means.</w:t>
      </w:r>
    </w:p>
    <w:p>
      <w:pPr>
        <w:pStyle w:val="111"/>
        <w:overflowPunct w:val="0"/>
        <w:autoSpaceDE w:val="0"/>
        <w:autoSpaceDN w:val="0"/>
        <w:adjustRightInd w:val="0"/>
        <w:contextualSpacing w:val="0"/>
        <w:textAlignment w:val="baseline"/>
        <w:rPr>
          <w:rFonts w:eastAsia="Malgun Gothic"/>
          <w:lang w:val="en-US" w:eastAsia="en-GB"/>
        </w:rPr>
      </w:pPr>
      <w:r>
        <w:rPr>
          <w:rFonts w:hint="eastAsia" w:eastAsia="Malgun Gothic"/>
          <w:lang w:eastAsia="en-GB"/>
        </w:rPr>
        <w:t>6</w:t>
      </w:r>
      <w:r>
        <w:rPr>
          <w:rFonts w:eastAsia="Malgun Gothic"/>
          <w:lang w:eastAsia="en-GB"/>
        </w:rPr>
        <w:t>.</w:t>
      </w:r>
      <w:r>
        <w:rPr>
          <w:rFonts w:eastAsia="Malgun Gothic"/>
          <w:lang w:eastAsia="en-GB"/>
        </w:rPr>
        <w:tab/>
      </w:r>
      <w:r>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pPr>
        <w:pStyle w:val="111"/>
        <w:overflowPunct w:val="0"/>
        <w:autoSpaceDE w:val="0"/>
        <w:autoSpaceDN w:val="0"/>
        <w:adjustRightInd w:val="0"/>
        <w:contextualSpacing w:val="0"/>
        <w:textAlignment w:val="baseline"/>
        <w:rPr>
          <w:rFonts w:eastAsia="Malgun Gothic"/>
        </w:rPr>
      </w:pPr>
      <w:r>
        <w:rPr>
          <w:rFonts w:hint="eastAsia" w:eastAsia="Malgun Gothic"/>
          <w:lang w:val="en-US" w:eastAsia="en-GB"/>
        </w:rPr>
        <w:t>7</w:t>
      </w:r>
      <w:r>
        <w:rPr>
          <w:rFonts w:eastAsia="Malgun Gothic"/>
          <w:lang w:val="en-US" w:eastAsia="en-GB"/>
        </w:rPr>
        <w:t>.</w:t>
      </w:r>
      <w:r>
        <w:rPr>
          <w:rFonts w:eastAsia="Malgun Gothic"/>
          <w:lang w:val="en-US" w:eastAsia="en-GB"/>
        </w:rPr>
        <w:tab/>
      </w:r>
      <w:r>
        <w:rPr>
          <w:lang w:eastAsia="zh-CN"/>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rPr>
          <w:rFonts w:eastAsia="Malgun Gothic"/>
        </w:rPr>
        <w:t>Ensure the UE is in State 2A-NB with CP CIoT Optimisation according to TS 36.508 [7] clause 8.1.5. Message contents are defined in clause 8.3.1.1.2.4.3.</w:t>
      </w:r>
    </w:p>
    <w:p>
      <w:pPr>
        <w:pStyle w:val="9"/>
      </w:pPr>
      <w:r>
        <w:rPr>
          <w:snapToGrid w:val="0"/>
          <w:kern w:val="2"/>
        </w:rPr>
        <w:t>8.3.1.1.2.</w:t>
      </w:r>
      <w:r>
        <w:rPr>
          <w:snapToGrid w:val="0"/>
          <w:kern w:val="2"/>
          <w:lang w:eastAsia="zh-TW"/>
        </w:rPr>
        <w:t>4.</w:t>
      </w:r>
      <w:r>
        <w:t>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Tables 8.3.1.1.2.3-1 and 8.3.1.1.2.3-2.</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parameters of the bandwidth, MCS, reference channel, the propagation condition, the correlation matrix, antenna configuration and the SNR according to Table 8.3.1.1.2.5-1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Repeat steps from 1 to 3 for each test interval in Tables 8.3.1.1.2.5-1 as appropriate.</w:t>
      </w:r>
    </w:p>
    <w:p>
      <w:pPr>
        <w:pStyle w:val="9"/>
      </w:pPr>
      <w:r>
        <w:rPr>
          <w:snapToGrid w:val="0"/>
          <w:kern w:val="2"/>
        </w:rPr>
        <w:t>8.3.1.1.2.</w:t>
      </w:r>
      <w:r>
        <w:rPr>
          <w:snapToGrid w:val="0"/>
          <w:kern w:val="2"/>
          <w:lang w:eastAsia="zh-TW"/>
        </w:rPr>
        <w:t>4.</w:t>
      </w:r>
      <w:r>
        <w:rPr>
          <w:lang w:eastAsia="zh-TW"/>
        </w:rPr>
        <w:t>3</w:t>
      </w:r>
      <w:r>
        <w:tab/>
      </w:r>
      <w:r>
        <w:t>Message contents</w:t>
      </w:r>
    </w:p>
    <w:p>
      <w:r>
        <w:t xml:space="preserve">Message contents are same as </w:t>
      </w:r>
      <w:r>
        <w:rPr>
          <w:snapToGrid w:val="0"/>
          <w:kern w:val="2"/>
        </w:rPr>
        <w:t>8.3.1.1.1.</w:t>
      </w:r>
      <w:r>
        <w:rPr>
          <w:snapToGrid w:val="0"/>
          <w:kern w:val="2"/>
          <w:lang w:eastAsia="zh-TW"/>
        </w:rPr>
        <w:t>4.</w:t>
      </w:r>
      <w:r>
        <w:rPr>
          <w:lang w:eastAsia="zh-TW"/>
        </w:rPr>
        <w:t>3</w:t>
      </w:r>
      <w:r>
        <w:t xml:space="preserve"> with the following exceptions:</w:t>
      </w:r>
    </w:p>
    <w:p>
      <w:pPr>
        <w:pStyle w:val="113"/>
      </w:pPr>
      <w:r>
        <w:t>Table 8.3.1.1.2.4.3-1: NPDCCH-ConfigDedicated-NB-DEFAULT</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03"/>
              <w:keepNext w:val="0"/>
              <w:keepLines w:val="0"/>
            </w:pPr>
            <w:r>
              <w:t>Derivation Path: 36.508 Table 8.1.6.3-3 NPDCCH-ConfigDedicated-NB-DEFAULT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shd w:val="clear" w:color="auto" w:fill="auto"/>
          </w:tcPr>
          <w:p>
            <w:pPr>
              <w:pStyle w:val="103"/>
              <w:keepNext w:val="0"/>
              <w:keepLines w:val="0"/>
            </w:pPr>
            <w:r>
              <w:t>NPDCCH-ConfigDedicated-NB-DEFAULT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npdcch-NumRepetitions-r13</w:t>
            </w:r>
          </w:p>
        </w:tc>
        <w:tc>
          <w:tcPr>
            <w:tcW w:w="2267" w:type="dxa"/>
            <w:shd w:val="clear" w:color="auto" w:fill="auto"/>
          </w:tcPr>
          <w:p>
            <w:pPr>
              <w:pStyle w:val="103"/>
              <w:keepNext w:val="0"/>
              <w:keepLines w:val="0"/>
            </w:pPr>
            <w:r>
              <w:t>r64 for Test 1; r512 for Test 2.</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npdcch-StartSF-USS-r13</w:t>
            </w:r>
          </w:p>
        </w:tc>
        <w:tc>
          <w:tcPr>
            <w:tcW w:w="2267" w:type="dxa"/>
            <w:shd w:val="clear" w:color="auto" w:fill="auto"/>
          </w:tcPr>
          <w:p>
            <w:pPr>
              <w:pStyle w:val="103"/>
              <w:keepNext w:val="0"/>
              <w:keepLines w:val="0"/>
            </w:pPr>
            <w:r>
              <w:t>V1.5</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r>
    </w:tbl>
    <w:p>
      <w:pPr>
        <w:rPr>
          <w:lang w:eastAsia="zh-TW"/>
        </w:rPr>
      </w:pPr>
    </w:p>
    <w:p>
      <w:pPr>
        <w:pStyle w:val="9"/>
        <w:rPr>
          <w:snapToGrid w:val="0"/>
          <w:kern w:val="2"/>
        </w:rPr>
      </w:pPr>
      <w:r>
        <w:rPr>
          <w:snapToGrid w:val="0"/>
          <w:kern w:val="2"/>
        </w:rPr>
        <w:t>8.3.1.1.2.5</w:t>
      </w:r>
      <w:r>
        <w:rPr>
          <w:snapToGrid w:val="0"/>
          <w:kern w:val="2"/>
        </w:rPr>
        <w:tab/>
      </w:r>
      <w:r>
        <w:rPr>
          <w:snapToGrid w:val="0"/>
          <w:kern w:val="2"/>
        </w:rPr>
        <w:t>Test requirement</w:t>
      </w:r>
    </w:p>
    <w:p>
      <w:r>
        <w:t>Table 8.3.1.1.2</w:t>
      </w:r>
      <w:r>
        <w:rPr>
          <w:lang w:eastAsia="zh-TW"/>
        </w:rPr>
        <w:t>.3</w:t>
      </w:r>
      <w:r>
        <w:t>-1 defines the primary level settings.</w:t>
      </w:r>
    </w:p>
    <w:p>
      <w:pPr>
        <w:rPr>
          <w:lang w:eastAsia="zh-TW"/>
        </w:rPr>
      </w:pPr>
      <w:r>
        <w:t>The fraction of maximum throughput percentage for the downlink reference measurement channels specified in Annex A clause A.3.12.</w:t>
      </w:r>
      <w:r>
        <w:rPr>
          <w:rFonts w:hint="eastAsia" w:eastAsia="宋体"/>
          <w:lang w:val="en-US" w:eastAsia="zh-CN"/>
        </w:rPr>
        <w:t>1</w:t>
      </w:r>
      <w:r>
        <w:t>.1 for each throughput test shall meet or exceed the specified value in Table 8.3.1.1.2.</w:t>
      </w:r>
      <w:r>
        <w:rPr>
          <w:lang w:eastAsia="zh-TW"/>
        </w:rPr>
        <w:t>5</w:t>
      </w:r>
      <w:r>
        <w:t>-</w:t>
      </w:r>
      <w:r>
        <w:rPr>
          <w:lang w:eastAsia="zh-TW"/>
        </w:rPr>
        <w:t>1</w:t>
      </w:r>
      <w:r>
        <w:t xml:space="preserve"> for the specified SNR including test tolerances for all throughput tests.</w:t>
      </w:r>
    </w:p>
    <w:p>
      <w:pPr>
        <w:pStyle w:val="113"/>
      </w:pPr>
      <w:r>
        <w:t>Table 8.3.1.1.2.</w:t>
      </w:r>
      <w:r>
        <w:rPr>
          <w:lang w:eastAsia="zh-TW"/>
        </w:rPr>
        <w:t>5</w:t>
      </w:r>
      <w:r>
        <w:t>-</w:t>
      </w:r>
      <w:r>
        <w:rPr>
          <w:lang w:eastAsia="zh-TW"/>
        </w:rPr>
        <w:t>1</w:t>
      </w:r>
      <w:r>
        <w:t>: Test requirements under standalone with 1 NRS ports</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3"/>
        <w:gridCol w:w="877"/>
        <w:gridCol w:w="1017"/>
        <w:gridCol w:w="1017"/>
        <w:gridCol w:w="1145"/>
        <w:gridCol w:w="1145"/>
        <w:gridCol w:w="1145"/>
        <w:gridCol w:w="1459"/>
        <w:gridCol w:w="9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39" w:type="pct"/>
            <w:vMerge w:val="restar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Test number</w:t>
            </w:r>
          </w:p>
        </w:tc>
        <w:tc>
          <w:tcPr>
            <w:tcW w:w="445" w:type="pct"/>
            <w:vMerge w:val="restar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Bandwidth</w:t>
            </w:r>
          </w:p>
        </w:tc>
        <w:tc>
          <w:tcPr>
            <w:tcW w:w="516" w:type="pct"/>
            <w:vMerge w:val="restart"/>
            <w:tcBorders>
              <w:top w:val="single" w:color="auto" w:sz="4" w:space="0"/>
              <w:left w:val="single" w:color="auto" w:sz="4" w:space="0"/>
              <w:right w:val="single" w:color="auto" w:sz="4" w:space="0"/>
            </w:tcBorders>
            <w:vAlign w:val="center"/>
          </w:tcPr>
          <w:p>
            <w:pPr>
              <w:pStyle w:val="104"/>
              <w:rPr>
                <w:kern w:val="2"/>
              </w:rPr>
            </w:pPr>
            <w:r>
              <w:rPr>
                <w:kern w:val="2"/>
              </w:rPr>
              <w:t>Carrier Type</w:t>
            </w:r>
          </w:p>
        </w:tc>
        <w:tc>
          <w:tcPr>
            <w:tcW w:w="516" w:type="pct"/>
            <w:vMerge w:val="restar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Reference Channel</w:t>
            </w:r>
          </w:p>
        </w:tc>
        <w:tc>
          <w:tcPr>
            <w:tcW w:w="581" w:type="pct"/>
            <w:vMerge w:val="restart"/>
            <w:tcBorders>
              <w:top w:val="single" w:color="auto" w:sz="4" w:space="0"/>
              <w:left w:val="single" w:color="auto" w:sz="4" w:space="0"/>
              <w:right w:val="single" w:color="auto" w:sz="4" w:space="0"/>
            </w:tcBorders>
            <w:vAlign w:val="center"/>
          </w:tcPr>
          <w:p>
            <w:pPr>
              <w:pStyle w:val="104"/>
              <w:rPr>
                <w:kern w:val="2"/>
              </w:rPr>
            </w:pPr>
            <w:r>
              <w:rPr>
                <w:kern w:val="2"/>
              </w:rPr>
              <w:t>Repetition number</w:t>
            </w:r>
          </w:p>
        </w:tc>
        <w:tc>
          <w:tcPr>
            <w:tcW w:w="581" w:type="pct"/>
            <w:vMerge w:val="restart"/>
            <w:tcBorders>
              <w:top w:val="single" w:color="auto" w:sz="4" w:space="0"/>
              <w:left w:val="single" w:color="auto" w:sz="4" w:space="0"/>
              <w:right w:val="single" w:color="auto" w:sz="4" w:space="0"/>
            </w:tcBorders>
            <w:vAlign w:val="center"/>
          </w:tcPr>
          <w:p>
            <w:pPr>
              <w:pStyle w:val="104"/>
              <w:rPr>
                <w:kern w:val="2"/>
              </w:rPr>
            </w:pPr>
            <w:r>
              <w:rPr>
                <w:kern w:val="2"/>
              </w:rPr>
              <w:t>Propagation condition</w:t>
            </w:r>
          </w:p>
        </w:tc>
        <w:tc>
          <w:tcPr>
            <w:tcW w:w="581" w:type="pct"/>
            <w:vMerge w:val="restar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Number of NRS ports</w:t>
            </w:r>
          </w:p>
        </w:tc>
        <w:tc>
          <w:tcPr>
            <w:tcW w:w="1239" w:type="pct"/>
            <w:gridSpan w:val="2"/>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Reference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39" w:type="pct"/>
            <w:vMerge w:val="continue"/>
            <w:tcBorders>
              <w:top w:val="single" w:color="auto" w:sz="4" w:space="0"/>
              <w:left w:val="single" w:color="auto" w:sz="4" w:space="0"/>
              <w:bottom w:val="single" w:color="auto" w:sz="4" w:space="0"/>
              <w:right w:val="single" w:color="auto" w:sz="4" w:space="0"/>
            </w:tcBorders>
            <w:vAlign w:val="center"/>
          </w:tcPr>
          <w:p>
            <w:pPr>
              <w:pStyle w:val="104"/>
              <w:rPr>
                <w:kern w:val="2"/>
              </w:rPr>
            </w:pPr>
          </w:p>
        </w:tc>
        <w:tc>
          <w:tcPr>
            <w:tcW w:w="445" w:type="pct"/>
            <w:vMerge w:val="continue"/>
            <w:tcBorders>
              <w:top w:val="single" w:color="auto" w:sz="4" w:space="0"/>
              <w:left w:val="single" w:color="auto" w:sz="4" w:space="0"/>
              <w:bottom w:val="single" w:color="auto" w:sz="4" w:space="0"/>
              <w:right w:val="single" w:color="auto" w:sz="4" w:space="0"/>
            </w:tcBorders>
            <w:vAlign w:val="center"/>
          </w:tcPr>
          <w:p>
            <w:pPr>
              <w:pStyle w:val="104"/>
              <w:rPr>
                <w:kern w:val="2"/>
              </w:rPr>
            </w:pPr>
          </w:p>
        </w:tc>
        <w:tc>
          <w:tcPr>
            <w:tcW w:w="516" w:type="pct"/>
            <w:vMerge w:val="continue"/>
            <w:tcBorders>
              <w:left w:val="single" w:color="auto" w:sz="4" w:space="0"/>
              <w:bottom w:val="single" w:color="auto" w:sz="4" w:space="0"/>
              <w:right w:val="single" w:color="auto" w:sz="4" w:space="0"/>
            </w:tcBorders>
            <w:vAlign w:val="center"/>
          </w:tcPr>
          <w:p>
            <w:pPr>
              <w:pStyle w:val="104"/>
              <w:rPr>
                <w:kern w:val="2"/>
              </w:rPr>
            </w:pPr>
          </w:p>
        </w:tc>
        <w:tc>
          <w:tcPr>
            <w:tcW w:w="516" w:type="pct"/>
            <w:vMerge w:val="continue"/>
            <w:tcBorders>
              <w:top w:val="single" w:color="auto" w:sz="4" w:space="0"/>
              <w:left w:val="single" w:color="auto" w:sz="4" w:space="0"/>
              <w:bottom w:val="single" w:color="auto" w:sz="4" w:space="0"/>
              <w:right w:val="single" w:color="auto" w:sz="4" w:space="0"/>
            </w:tcBorders>
            <w:vAlign w:val="center"/>
          </w:tcPr>
          <w:p>
            <w:pPr>
              <w:pStyle w:val="104"/>
              <w:rPr>
                <w:kern w:val="2"/>
              </w:rPr>
            </w:pPr>
          </w:p>
        </w:tc>
        <w:tc>
          <w:tcPr>
            <w:tcW w:w="581" w:type="pct"/>
            <w:vMerge w:val="continue"/>
            <w:tcBorders>
              <w:left w:val="single" w:color="auto" w:sz="4" w:space="0"/>
              <w:bottom w:val="single" w:color="auto" w:sz="4" w:space="0"/>
              <w:right w:val="single" w:color="auto" w:sz="4" w:space="0"/>
            </w:tcBorders>
            <w:vAlign w:val="center"/>
          </w:tcPr>
          <w:p>
            <w:pPr>
              <w:pStyle w:val="104"/>
              <w:rPr>
                <w:kern w:val="2"/>
              </w:rPr>
            </w:pPr>
          </w:p>
        </w:tc>
        <w:tc>
          <w:tcPr>
            <w:tcW w:w="581" w:type="pct"/>
            <w:vMerge w:val="continue"/>
            <w:tcBorders>
              <w:left w:val="single" w:color="auto" w:sz="4" w:space="0"/>
              <w:bottom w:val="single" w:color="auto" w:sz="4" w:space="0"/>
              <w:right w:val="single" w:color="auto" w:sz="4" w:space="0"/>
            </w:tcBorders>
            <w:vAlign w:val="center"/>
          </w:tcPr>
          <w:p>
            <w:pPr>
              <w:pStyle w:val="104"/>
              <w:rPr>
                <w:kern w:val="2"/>
              </w:rPr>
            </w:pPr>
          </w:p>
        </w:tc>
        <w:tc>
          <w:tcPr>
            <w:tcW w:w="581" w:type="pct"/>
            <w:vMerge w:val="continue"/>
            <w:tcBorders>
              <w:top w:val="single" w:color="auto" w:sz="4" w:space="0"/>
              <w:left w:val="single" w:color="auto" w:sz="4" w:space="0"/>
              <w:bottom w:val="single" w:color="auto" w:sz="4" w:space="0"/>
              <w:right w:val="single" w:color="auto" w:sz="4" w:space="0"/>
            </w:tcBorders>
            <w:vAlign w:val="center"/>
          </w:tcPr>
          <w:p>
            <w:pPr>
              <w:pStyle w:val="104"/>
              <w:rPr>
                <w:kern w:val="2"/>
              </w:rPr>
            </w:pPr>
          </w:p>
        </w:tc>
        <w:tc>
          <w:tcPr>
            <w:tcW w:w="740" w:type="pc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Fraction of Maximum</w:t>
            </w:r>
          </w:p>
          <w:p>
            <w:pPr>
              <w:pStyle w:val="104"/>
              <w:rPr>
                <w:kern w:val="2"/>
              </w:rPr>
            </w:pPr>
            <w:r>
              <w:rPr>
                <w:kern w:val="2"/>
              </w:rPr>
              <w:t>Throughput (%)</w:t>
            </w:r>
          </w:p>
        </w:tc>
        <w:tc>
          <w:tcPr>
            <w:tcW w:w="499" w:type="pc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SNR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39"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c>
          <w:tcPr>
            <w:tcW w:w="445"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200kHz</w:t>
            </w:r>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Anchor</w:t>
            </w:r>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kern w:val="2"/>
              </w:rPr>
            </w:pPr>
            <w:r>
              <w:t>R.NB.6</w:t>
            </w:r>
            <w:r>
              <w:rPr>
                <w:kern w:val="2"/>
              </w:rPr>
              <w:t xml:space="preserve"> FDD</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32</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EPA5</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c>
          <w:tcPr>
            <w:tcW w:w="740"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70%</w:t>
            </w:r>
          </w:p>
        </w:tc>
        <w:tc>
          <w:tcPr>
            <w:tcW w:w="499"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39"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 (Note 1)</w:t>
            </w:r>
          </w:p>
        </w:tc>
        <w:tc>
          <w:tcPr>
            <w:tcW w:w="445"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200kHz</w:t>
            </w:r>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Non-anchor</w:t>
            </w:r>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kern w:val="2"/>
              </w:rPr>
            </w:pPr>
            <w:r>
              <w:t>R.NB.6-1</w:t>
            </w:r>
            <w:r>
              <w:rPr>
                <w:kern w:val="2"/>
              </w:rPr>
              <w:t xml:space="preserve"> FDD</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256</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ETU1</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c>
          <w:tcPr>
            <w:tcW w:w="740"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70%</w:t>
            </w:r>
          </w:p>
        </w:tc>
        <w:tc>
          <w:tcPr>
            <w:tcW w:w="499"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000" w:type="pct"/>
            <w:gridSpan w:val="9"/>
            <w:tcBorders>
              <w:top w:val="single" w:color="auto" w:sz="4" w:space="0"/>
              <w:left w:val="single" w:color="auto" w:sz="4" w:space="0"/>
              <w:bottom w:val="single" w:color="auto" w:sz="4" w:space="0"/>
              <w:right w:val="single" w:color="auto" w:sz="4" w:space="0"/>
            </w:tcBorders>
            <w:vAlign w:val="center"/>
          </w:tcPr>
          <w:p>
            <w:pPr>
              <w:pStyle w:val="105"/>
              <w:jc w:val="left"/>
              <w:rPr>
                <w:kern w:val="2"/>
              </w:rPr>
            </w:pPr>
            <w:r>
              <w:rPr>
                <w:rFonts w:cs="Arial"/>
                <w:kern w:val="2"/>
              </w:rPr>
              <w:t>Note 1:</w:t>
            </w:r>
            <w:r>
              <w:rPr>
                <w:kern w:val="2"/>
              </w:rPr>
              <w:tab/>
            </w:r>
            <w:r>
              <w:rPr>
                <w:rFonts w:cs="Arial"/>
                <w:kern w:val="2"/>
              </w:rPr>
              <w:t>Applicable to UE supporting Non-Anchor mode of operation.</w:t>
            </w:r>
          </w:p>
        </w:tc>
      </w:tr>
    </w:tbl>
    <w:p/>
    <w:p>
      <w:pPr>
        <w:pStyle w:val="7"/>
        <w:rPr>
          <w:snapToGrid w:val="0"/>
        </w:rPr>
      </w:pPr>
      <w:bookmarkStart w:id="1599" w:name="_Toc27979"/>
      <w:bookmarkStart w:id="1600" w:name="_Toc30133"/>
      <w:bookmarkStart w:id="1601" w:name="_Toc23976"/>
      <w:bookmarkStart w:id="1602" w:name="_Toc14845"/>
      <w:bookmarkStart w:id="1603" w:name="_Toc25638"/>
      <w:r>
        <w:rPr>
          <w:snapToGrid w:val="0"/>
          <w:lang w:val="en-US"/>
        </w:rPr>
        <w:t>8.3.1.1.3</w:t>
      </w:r>
      <w:r>
        <w:rPr>
          <w:snapToGrid w:val="0"/>
          <w:lang w:val="en-US"/>
        </w:rPr>
        <w:tab/>
      </w:r>
      <w:r>
        <w:rPr>
          <w:snapToGrid w:val="0"/>
        </w:rPr>
        <w:t>Demodulation of NPDSCH (Cell-Specific Reference Symbols) in standalone for NB2</w:t>
      </w:r>
      <w:bookmarkEnd w:id="1599"/>
      <w:bookmarkEnd w:id="1600"/>
      <w:bookmarkEnd w:id="1601"/>
      <w:bookmarkEnd w:id="1602"/>
      <w:bookmarkEnd w:id="1603"/>
    </w:p>
    <w:p>
      <w:pPr>
        <w:pStyle w:val="112"/>
        <w:rPr>
          <w:i w:val="0"/>
          <w:iCs w:val="0"/>
          <w:lang w:val="en-GB"/>
        </w:rPr>
      </w:pPr>
      <w:r>
        <w:t>Editor’s Note: Addition to applicability spec is pending.</w:t>
      </w:r>
    </w:p>
    <w:p>
      <w:pPr>
        <w:pStyle w:val="9"/>
        <w:rPr>
          <w:snapToGrid w:val="0"/>
          <w:kern w:val="2"/>
        </w:rPr>
      </w:pPr>
      <w:r>
        <w:rPr>
          <w:snapToGrid w:val="0"/>
          <w:kern w:val="2"/>
        </w:rPr>
        <w:t>8.3.1.1.3.1</w:t>
      </w:r>
      <w:r>
        <w:rPr>
          <w:snapToGrid w:val="0"/>
          <w:kern w:val="2"/>
        </w:rPr>
        <w:tab/>
      </w:r>
      <w:r>
        <w:rPr>
          <w:snapToGrid w:val="0"/>
          <w:kern w:val="2"/>
        </w:rPr>
        <w:t>Test purpose</w:t>
      </w:r>
    </w:p>
    <w:p>
      <w:r>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pPr>
        <w:pStyle w:val="9"/>
        <w:rPr>
          <w:snapToGrid w:val="0"/>
          <w:kern w:val="2"/>
        </w:rPr>
      </w:pPr>
      <w:r>
        <w:rPr>
          <w:snapToGrid w:val="0"/>
          <w:kern w:val="2"/>
        </w:rPr>
        <w:t>8.3.1.1.3.2</w:t>
      </w:r>
      <w:r>
        <w:rPr>
          <w:snapToGrid w:val="0"/>
          <w:kern w:val="2"/>
        </w:rPr>
        <w:tab/>
      </w:r>
      <w:r>
        <w:rPr>
          <w:snapToGrid w:val="0"/>
          <w:kern w:val="2"/>
        </w:rPr>
        <w:t>Test applicability</w:t>
      </w:r>
    </w:p>
    <w:p>
      <w:r>
        <w:t xml:space="preserve">This test applies to all types of NB-IoT FDD UE release 17 and forward of category </w:t>
      </w:r>
      <w:r>
        <w:rPr>
          <w:rFonts w:hint="eastAsia"/>
        </w:rPr>
        <w:t>NB</w:t>
      </w:r>
      <w:r>
        <w:t xml:space="preserve">2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8.3.1.1.3.3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r>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pPr>
        <w:pStyle w:val="113"/>
      </w:pPr>
      <w:r>
        <w:t>Table 8.3.1.1.3.3-1: Test Parameters for NPDSCH under Standalone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4"/>
        <w:gridCol w:w="1381"/>
        <w:gridCol w:w="1685"/>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2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Parameter</w:t>
            </w:r>
          </w:p>
        </w:tc>
        <w:tc>
          <w:tcPr>
            <w:tcW w:w="306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rPr>
            </w:pPr>
            <w:r>
              <w:rPr>
                <w:rFonts w:ascii="Arial" w:hAnsi="Arial" w:eastAsia="?? ??" w:cs="Arial"/>
                <w:b/>
                <w:kern w:val="2"/>
                <w:sz w:val="18"/>
              </w:rPr>
              <w:t>Unit</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rPr>
            </w:pPr>
            <w:r>
              <w:rPr>
                <w:rFonts w:ascii="Arial" w:hAnsi="Arial" w:eastAsia="?? ??" w:cs="Arial"/>
                <w:b/>
                <w:kern w:val="2"/>
                <w:sz w:val="18"/>
              </w:rPr>
              <w:t>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restart"/>
            <w:tcBorders>
              <w:left w:val="single" w:color="auto" w:sz="4" w:space="0"/>
              <w:right w:val="single" w:color="auto" w:sz="4" w:space="0"/>
            </w:tcBorders>
            <w:vAlign w:val="center"/>
          </w:tcPr>
          <w:p>
            <w:pPr>
              <w:keepNext/>
              <w:keepLines/>
              <w:spacing w:after="0"/>
              <w:jc w:val="center"/>
              <w:rPr>
                <w:rFonts w:ascii="Arial" w:hAnsi="Arial" w:cs="Arial"/>
                <w:kern w:val="2"/>
                <w:position w:val="-12"/>
                <w:sz w:val="18"/>
              </w:rPr>
            </w:pPr>
            <w:r>
              <w:rPr>
                <w:rFonts w:ascii="Arial" w:hAnsi="Arial" w:cs="Arial"/>
                <w:kern w:val="2"/>
                <w:position w:val="-12"/>
                <w:sz w:val="18"/>
              </w:rPr>
              <w:drawing>
                <wp:inline distT="0" distB="0" distL="0" distR="0">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Pr>
                <w:rFonts w:ascii="Arial" w:hAnsi="Arial" w:cs="Arial"/>
                <w:kern w:val="2"/>
                <w:sz w:val="18"/>
              </w:rPr>
              <w:t>at antenna port</w:t>
            </w: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ko-KR"/>
              </w:rPr>
            </w:pPr>
            <w:r>
              <w:rPr>
                <w:rFonts w:ascii="Arial" w:hAnsi="Arial" w:cs="Arial"/>
                <w:position w:val="-10"/>
                <w:sz w:val="18"/>
              </w:rPr>
              <w:drawing>
                <wp:inline distT="0" distB="0" distL="0" distR="0">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color="auto" w:sz="4" w:space="0"/>
              <w:left w:val="single" w:color="auto" w:sz="4" w:space="0"/>
              <w:right w:val="single" w:color="auto" w:sz="4" w:space="0"/>
            </w:tcBorders>
            <w:vAlign w:val="center"/>
          </w:tcPr>
          <w:p>
            <w:pPr>
              <w:keepNext/>
              <w:keepLines/>
              <w:spacing w:after="0"/>
              <w:jc w:val="center"/>
              <w:rPr>
                <w:rFonts w:ascii="Arial" w:hAnsi="Arial" w:eastAsia="?? ??" w:cs="Arial"/>
                <w:kern w:val="2"/>
                <w:sz w:val="18"/>
              </w:rPr>
            </w:pPr>
            <w:r>
              <w:rPr>
                <w:rFonts w:ascii="Arial" w:hAnsi="Arial" w:eastAsia="?? ??" w:cs="Arial"/>
                <w:kern w:val="2"/>
                <w:sz w:val="18"/>
              </w:rPr>
              <w:t>dBm/15kHz</w:t>
            </w:r>
          </w:p>
        </w:tc>
        <w:tc>
          <w:tcPr>
            <w:tcW w:w="1858" w:type="dxa"/>
            <w:tcBorders>
              <w:top w:val="single" w:color="auto" w:sz="4" w:space="0"/>
              <w:left w:val="single" w:color="auto" w:sz="4" w:space="0"/>
              <w:right w:val="single" w:color="auto" w:sz="4" w:space="0"/>
            </w:tcBorders>
            <w:vAlign w:val="center"/>
          </w:tcPr>
          <w:p>
            <w:pPr>
              <w:keepNext/>
              <w:keepLines/>
              <w:spacing w:after="0"/>
              <w:jc w:val="center"/>
              <w:rPr>
                <w:rFonts w:ascii="Arial" w:hAnsi="Arial" w:cs="v5.0.0"/>
                <w:kern w:val="2"/>
                <w:sz w:val="18"/>
              </w:rPr>
            </w:pPr>
            <w:r>
              <w:rPr>
                <w:rFonts w:ascii="Arial" w:hAnsi="Arial" w:eastAsia="?? ??" w:cs="v5.0.0"/>
                <w:kern w:val="2"/>
                <w:sz w:val="18"/>
              </w:rPr>
              <w:t>-9</w:t>
            </w:r>
            <w:r>
              <w:rPr>
                <w:rFonts w:ascii="Arial" w:hAnsi="Arial" w:cs="v5.0.0"/>
                <w:kern w:val="2"/>
                <w:sz w:val="18"/>
              </w:rPr>
              <w:t>3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position w:val="-12"/>
                <w:sz w:val="18"/>
              </w:rPr>
            </w:pP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ko-KR"/>
              </w:rPr>
            </w:pPr>
            <w:r>
              <w:rPr>
                <w:rFonts w:ascii="Arial" w:hAnsi="Arial" w:cs="Arial"/>
                <w:position w:val="-10"/>
                <w:sz w:val="18"/>
              </w:rPr>
              <w:drawing>
                <wp:inline distT="0" distB="0" distL="0" distR="0">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rPr>
            </w:pPr>
            <w:r>
              <w:rPr>
                <w:rFonts w:ascii="Arial" w:hAnsi="Arial" w:eastAsia="?? ??" w:cs="Arial"/>
                <w:kern w:val="2"/>
                <w:sz w:val="18"/>
              </w:rPr>
              <w:t>dBm/15kHz</w:t>
            </w:r>
          </w:p>
        </w:tc>
        <w:tc>
          <w:tcPr>
            <w:tcW w:w="1858" w:type="dxa"/>
            <w:tcBorders>
              <w:left w:val="single" w:color="auto" w:sz="4" w:space="0"/>
              <w:bottom w:val="single" w:color="auto" w:sz="4" w:space="0"/>
              <w:right w:val="single" w:color="auto" w:sz="4" w:space="0"/>
            </w:tcBorders>
            <w:vAlign w:val="center"/>
          </w:tcPr>
          <w:p>
            <w:pPr>
              <w:keepNext/>
              <w:keepLines/>
              <w:spacing w:after="0"/>
              <w:jc w:val="center"/>
              <w:rPr>
                <w:rFonts w:ascii="Arial" w:hAnsi="Arial" w:eastAsia="?? ??" w:cs="v5.0.0"/>
                <w:kern w:val="2"/>
                <w:sz w:val="18"/>
              </w:rPr>
            </w:pPr>
            <w:r>
              <w:rPr>
                <w:rFonts w:ascii="Arial" w:hAnsi="Arial" w:eastAsia="?? ??" w:cs="v5.0.0"/>
                <w:kern w:val="2"/>
                <w:sz w:val="18"/>
              </w:rPr>
              <w:t>-9</w:t>
            </w:r>
            <w:r>
              <w:rPr>
                <w:rFonts w:ascii="Arial" w:hAnsi="Arial" w:cs="v5.0.0"/>
                <w:kern w:val="2"/>
                <w:sz w:val="18"/>
              </w:rPr>
              <w:t>6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Cs/>
                <w:i/>
                <w:sz w:val="18"/>
              </w:rPr>
            </w:pPr>
            <w:r>
              <w:rPr>
                <w:rFonts w:ascii="Arial" w:hAnsi="Arial" w:cs="Arial"/>
                <w:kern w:val="2"/>
                <w:sz w:val="18"/>
              </w:rPr>
              <w:t>NPDCCH repetition number</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rPr>
            </w:pPr>
            <w:r>
              <w:rPr>
                <w:rFonts w:ascii="Arial" w:hAnsi="Arial" w:cs="Arial"/>
                <w:kern w:val="2"/>
                <w:sz w:val="18"/>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4 for 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position w:val="-12"/>
                <w:sz w:val="18"/>
              </w:rPr>
              <w:drawing>
                <wp:inline distT="0" distB="0" distL="0" distR="0">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Pr>
                <w:rFonts w:ascii="Arial" w:hAnsi="Arial"/>
                <w:b/>
                <w:sz w:val="18"/>
              </w:rPr>
              <w:t xml:space="preserve"> </w:t>
            </w:r>
            <w:r>
              <w:rPr>
                <w:rFonts w:ascii="Arial" w:hAnsi="Arial"/>
                <w:sz w:val="18"/>
              </w:rPr>
              <w:t>(</w:t>
            </w:r>
            <w:r>
              <w:rPr>
                <w:rFonts w:ascii="Arial" w:hAnsi="Arial"/>
                <w:i/>
                <w:sz w:val="18"/>
              </w:rPr>
              <w:t>npdcch-NumRepetitions-r13</w:t>
            </w:r>
            <w:r>
              <w:rPr>
                <w:rFonts w:ascii="Arial" w:hAnsi="Arial"/>
                <w:sz w:val="18"/>
              </w:rPr>
              <w:t>)</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8 for 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position w:val="-6"/>
                <w:sz w:val="18"/>
                <w:lang w:eastAsia="ko-KR"/>
              </w:rPr>
              <w:drawing>
                <wp:inline distT="0" distB="0" distL="0" distR="0">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Pr>
                <w:rFonts w:ascii="Arial" w:hAnsi="Arial"/>
                <w:sz w:val="18"/>
              </w:rPr>
              <w:t>(</w:t>
            </w:r>
            <w:r>
              <w:rPr>
                <w:rFonts w:ascii="Arial" w:hAnsi="Arial" w:cs="Arial"/>
                <w:i/>
                <w:sz w:val="18"/>
              </w:rPr>
              <w:t>nPDCCH-startSF-USS-r13</w:t>
            </w:r>
            <w:r>
              <w:rPr>
                <w:rFonts w:ascii="Arial" w:hAnsi="Arial" w:cs="Arial"/>
                <w:b/>
                <w:sz w:val="18"/>
              </w:rPr>
              <w:t>)</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trPr>
        <w:tc>
          <w:tcPr>
            <w:tcW w:w="8148"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cs="Arial"/>
                <w:kern w:val="2"/>
                <w:sz w:val="18"/>
              </w:rPr>
            </w:pPr>
            <w:r>
              <w:rPr>
                <w:rFonts w:ascii="Arial" w:hAnsi="Arial" w:cs="Arial"/>
                <w:kern w:val="2"/>
                <w:sz w:val="18"/>
              </w:rPr>
              <w:t>Note 1:</w:t>
            </w:r>
            <w:r>
              <w:rPr>
                <w:rFonts w:ascii="Arial" w:hAnsi="Arial" w:cs="Arial"/>
                <w:kern w:val="2"/>
                <w:sz w:val="18"/>
              </w:rPr>
              <w:tab/>
            </w:r>
            <w:r>
              <w:rPr>
                <w:rFonts w:ascii="Arial" w:hAnsi="Arial" w:cs="Arial"/>
                <w:sz w:val="18"/>
              </w:rPr>
              <w:t>This noise is applied to all subframes from the end of the NPDCCH to the end of the following NPDSCH transmission</w:t>
            </w:r>
            <w:r>
              <w:rPr>
                <w:rFonts w:ascii="Arial" w:hAnsi="Arial" w:cs="Arial"/>
                <w:kern w:val="2"/>
                <w:sz w:val="18"/>
              </w:rPr>
              <w:t>;</w:t>
            </w:r>
          </w:p>
          <w:p>
            <w:pPr>
              <w:keepNext/>
              <w:keepLines/>
              <w:spacing w:after="0"/>
              <w:ind w:left="851" w:hanging="851"/>
              <w:rPr>
                <w:rFonts w:ascii="Arial" w:hAnsi="Arial" w:cs="Arial"/>
                <w:kern w:val="2"/>
                <w:sz w:val="18"/>
              </w:rPr>
            </w:pPr>
            <w:r>
              <w:rPr>
                <w:rFonts w:ascii="Arial" w:hAnsi="Arial"/>
                <w:sz w:val="18"/>
              </w:rPr>
              <w:t>Note 2:</w:t>
            </w:r>
            <w:r>
              <w:rPr>
                <w:rFonts w:ascii="Arial" w:hAnsi="Arial" w:cs="Arial"/>
                <w:kern w:val="2"/>
                <w:sz w:val="18"/>
              </w:rPr>
              <w:tab/>
            </w:r>
            <w:r>
              <w:rPr>
                <w:rFonts w:ascii="Arial" w:hAnsi="Arial"/>
                <w:sz w:val="18"/>
              </w:rPr>
              <w:t>This noise is applied to all subframes from the end of the NPDSCH to the end of the following NPDCCH transmission.</w:t>
            </w:r>
          </w:p>
        </w:tc>
      </w:tr>
    </w:tbl>
    <w:p/>
    <w:p>
      <w:pPr>
        <w:pStyle w:val="113"/>
      </w:pPr>
      <w:r>
        <w:t>Table 8.3.1.1.3.3-2: Minimum performance for NPDSCH under Standalone with 1 NRS port</w:t>
      </w:r>
    </w:p>
    <w:tbl>
      <w:tblPr>
        <w:tblStyle w:val="89"/>
        <w:tblW w:w="95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713"/>
        <w:gridCol w:w="818"/>
        <w:gridCol w:w="818"/>
        <w:gridCol w:w="919"/>
        <w:gridCol w:w="1097"/>
        <w:gridCol w:w="991"/>
        <w:gridCol w:w="1561"/>
        <w:gridCol w:w="695"/>
        <w:gridCol w:w="1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Test number</w:t>
            </w:r>
          </w:p>
        </w:tc>
        <w:tc>
          <w:tcPr>
            <w:tcW w:w="37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Bandwidth</w:t>
            </w:r>
          </w:p>
        </w:tc>
        <w:tc>
          <w:tcPr>
            <w:tcW w:w="428"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Carrier Type</w:t>
            </w:r>
          </w:p>
        </w:tc>
        <w:tc>
          <w:tcPr>
            <w:tcW w:w="428"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Reference Channel</w:t>
            </w:r>
          </w:p>
        </w:tc>
        <w:tc>
          <w:tcPr>
            <w:tcW w:w="481"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Repetition number</w:t>
            </w:r>
          </w:p>
        </w:tc>
        <w:tc>
          <w:tcPr>
            <w:tcW w:w="574"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Propagation condition</w:t>
            </w:r>
          </w:p>
        </w:tc>
        <w:tc>
          <w:tcPr>
            <w:tcW w:w="519"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Number of NRS ports</w:t>
            </w:r>
          </w:p>
        </w:tc>
        <w:tc>
          <w:tcPr>
            <w:tcW w:w="1181"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Reference value</w:t>
            </w:r>
          </w:p>
        </w:tc>
        <w:tc>
          <w:tcPr>
            <w:tcW w:w="571" w:type="pct"/>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kern w:val="2"/>
                <w:sz w:val="18"/>
              </w:rPr>
            </w:pPr>
            <w:r>
              <w:rPr>
                <w:rFonts w:ascii="Arial" w:hAnsi="Arial" w:cs="Arial"/>
                <w:b/>
                <w:kern w:val="2"/>
                <w:sz w:val="18"/>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37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28"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28"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81"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574"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519"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Fraction of Maximum</w:t>
            </w:r>
          </w:p>
          <w:p>
            <w:pPr>
              <w:keepNext/>
              <w:keepLines/>
              <w:spacing w:after="0"/>
              <w:jc w:val="center"/>
              <w:rPr>
                <w:rFonts w:ascii="Arial" w:hAnsi="Arial" w:cs="Arial"/>
                <w:b/>
                <w:kern w:val="2"/>
                <w:sz w:val="18"/>
              </w:rPr>
            </w:pPr>
            <w:r>
              <w:rPr>
                <w:rFonts w:ascii="Arial" w:hAnsi="Arial" w:cs="Arial"/>
                <w:b/>
                <w:kern w:val="2"/>
                <w:sz w:val="18"/>
              </w:rPr>
              <w:t>Throughput (%)</w:t>
            </w:r>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SNR (dB)</w:t>
            </w:r>
          </w:p>
        </w:tc>
        <w:tc>
          <w:tcPr>
            <w:tcW w:w="571" w:type="pct"/>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kern w:val="2"/>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200kHz</w:t>
            </w:r>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Non-anchor</w:t>
            </w:r>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sz w:val="18"/>
                <w:lang w:eastAsia="ko-KR"/>
              </w:rPr>
              <w:t>R.NB.</w:t>
            </w:r>
            <w:r>
              <w:rPr>
                <w:rFonts w:ascii="Arial" w:hAnsi="Arial" w:cs="Arial"/>
                <w:sz w:val="18"/>
              </w:rPr>
              <w:t>7</w:t>
            </w:r>
            <w:r>
              <w:rPr>
                <w:rFonts w:ascii="Arial" w:hAnsi="Arial" w:cs="Arial"/>
                <w:kern w:val="2"/>
                <w:sz w:val="18"/>
              </w:rPr>
              <w:t xml:space="preserve"> FDD</w:t>
            </w:r>
          </w:p>
        </w:tc>
        <w:tc>
          <w:tcPr>
            <w:tcW w:w="481"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57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EPA5</w:t>
            </w:r>
          </w:p>
        </w:tc>
        <w:tc>
          <w:tcPr>
            <w:tcW w:w="51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70%</w:t>
            </w:r>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9.4</w:t>
            </w:r>
          </w:p>
        </w:tc>
        <w:tc>
          <w:tcPr>
            <w:tcW w:w="57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kern w:val="2"/>
                <w:sz w:val="18"/>
              </w:rPr>
            </w:pPr>
            <w:r>
              <w:rPr>
                <w:rFonts w:ascii="Arial" w:hAnsi="Arial" w:cs="Arial"/>
                <w:kern w:val="2"/>
                <w:sz w:val="18"/>
              </w:rPr>
              <w:t>NB2</w:t>
            </w:r>
          </w:p>
        </w:tc>
      </w:tr>
    </w:tbl>
    <w:p/>
    <w:p>
      <w:pPr>
        <w:rPr>
          <w:lang w:eastAsia="zh-TW"/>
        </w:rPr>
      </w:pPr>
      <w:r>
        <w:t>The normative reference for this requirement is TS 36.101 [2] clause 8.12.1.1.3</w:t>
      </w:r>
      <w:r>
        <w:rPr>
          <w:lang w:eastAsia="zh-TW"/>
        </w:rPr>
        <w:t>.</w:t>
      </w:r>
    </w:p>
    <w:p>
      <w:pPr>
        <w:pStyle w:val="9"/>
        <w:rPr>
          <w:snapToGrid w:val="0"/>
          <w:kern w:val="2"/>
        </w:rPr>
      </w:pPr>
      <w:r>
        <w:rPr>
          <w:snapToGrid w:val="0"/>
          <w:kern w:val="2"/>
        </w:rPr>
        <w:t>8.3.1.1.3.4</w:t>
      </w:r>
      <w:r>
        <w:rPr>
          <w:snapToGrid w:val="0"/>
          <w:kern w:val="2"/>
        </w:rPr>
        <w:tab/>
      </w:r>
      <w:r>
        <w:rPr>
          <w:snapToGrid w:val="0"/>
          <w:kern w:val="2"/>
        </w:rPr>
        <w:t>Test description</w:t>
      </w:r>
    </w:p>
    <w:p>
      <w:pPr>
        <w:pStyle w:val="9"/>
        <w:rPr>
          <w:snapToGrid w:val="0"/>
          <w:kern w:val="2"/>
        </w:rPr>
      </w:pPr>
      <w:r>
        <w:rPr>
          <w:snapToGrid w:val="0"/>
          <w:kern w:val="2"/>
        </w:rPr>
        <w:t>8.3.1.1.3.4.1</w:t>
      </w:r>
      <w:r>
        <w:rPr>
          <w:snapToGrid w:val="0"/>
          <w:kern w:val="2"/>
        </w:rPr>
        <w:tab/>
      </w:r>
      <w:r>
        <w:rPr>
          <w:snapToGrid w:val="0"/>
          <w:kern w:val="2"/>
          <w:lang w:eastAsia="zh-CN"/>
        </w:rPr>
        <w:t>Initial conditions</w:t>
      </w:r>
    </w:p>
    <w:p>
      <w:r>
        <w:t>Initial conditions are a set of test configurations the UE needs to be tested in and the steps for the SS to take with the UE to reach the correct measurement state.</w:t>
      </w:r>
    </w:p>
    <w:p>
      <w:r>
        <w:t>Configurations of NPDSCH and NPDCCH before measurement are specified in Annex C.2.</w:t>
      </w:r>
    </w:p>
    <w:p>
      <w:r>
        <w:t>Test Environment: Normal, as defined in TS 36.508 [7] clause 4.1.</w:t>
      </w:r>
    </w:p>
    <w:p>
      <w:pPr>
        <w:rPr>
          <w:lang w:eastAsia="zh-TW"/>
        </w:rPr>
      </w:pPr>
      <w:r>
        <w:t>Frequencies to be tested: K.2.1.</w:t>
      </w:r>
    </w:p>
    <w:p>
      <w:pPr>
        <w:rPr>
          <w:lang w:eastAsia="zh-TW"/>
        </w:rPr>
      </w:pPr>
      <w:r>
        <w:rPr>
          <w:lang w:eastAsia="zh-TW"/>
        </w:rPr>
        <w:t xml:space="preserve">Channel </w:t>
      </w:r>
      <w:r>
        <w:t xml:space="preserve">Bandwidths to be tested: </w:t>
      </w:r>
      <w:r>
        <w:rPr>
          <w:lang w:eastAsia="zh-TW"/>
        </w:rPr>
        <w:t>A</w:t>
      </w:r>
      <w:r>
        <w:t>s</w:t>
      </w:r>
      <w:r>
        <w:rPr>
          <w:lang w:eastAsia="zh-TW"/>
        </w:rPr>
        <w:t xml:space="preserve"> specified per test number in Table 8.3.1.1.3.3-2.</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the faders and AWGN noise sources to the UE antenna connectors as shown in TS 36.508 [7] Annex A, Figure A.9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Tables 8.3.1.1-1 and 8.3.1.1.3.3-1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Annex C.3.2 and uplink signals according to Annex H.0.1, H.1.1, H.2.1 and Annex H.4.2.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rPr>
        <w:t>5</w:t>
      </w:r>
      <w:r>
        <w:rPr>
          <w:rFonts w:eastAsia="Malgun Gothic"/>
        </w:rPr>
        <w:t>.</w:t>
      </w:r>
      <w:r>
        <w:rPr>
          <w:rFonts w:eastAsia="Malgun Gothic"/>
        </w:rPr>
        <w:tab/>
      </w:r>
      <w:r>
        <w:rPr>
          <w:rFonts w:eastAsia="Malgun Gothic"/>
          <w:lang w:eastAsia="en-GB"/>
        </w:rPr>
        <w:t>UE location according to TS 36.508 [12] clause 8.2.6.1 is provided to the UE by any preconfigured means.</w:t>
      </w:r>
    </w:p>
    <w:p>
      <w:pPr>
        <w:pStyle w:val="111"/>
        <w:overflowPunct w:val="0"/>
        <w:autoSpaceDE w:val="0"/>
        <w:autoSpaceDN w:val="0"/>
        <w:adjustRightInd w:val="0"/>
        <w:contextualSpacing w:val="0"/>
        <w:textAlignment w:val="baseline"/>
        <w:rPr>
          <w:rFonts w:eastAsia="Malgun Gothic"/>
          <w:lang w:val="en-US" w:eastAsia="en-GB"/>
        </w:rPr>
      </w:pPr>
      <w:r>
        <w:rPr>
          <w:rFonts w:hint="eastAsia" w:eastAsia="Malgun Gothic"/>
          <w:lang w:eastAsia="en-GB"/>
        </w:rPr>
        <w:t>6</w:t>
      </w:r>
      <w:r>
        <w:rPr>
          <w:rFonts w:eastAsia="Malgun Gothic"/>
          <w:lang w:eastAsia="en-GB"/>
        </w:rPr>
        <w:t>.</w:t>
      </w:r>
      <w:r>
        <w:rPr>
          <w:rFonts w:eastAsia="Malgun Gothic"/>
          <w:lang w:eastAsia="en-GB"/>
        </w:rPr>
        <w:tab/>
      </w:r>
      <w:r>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pPr>
        <w:pStyle w:val="111"/>
        <w:overflowPunct w:val="0"/>
        <w:autoSpaceDE w:val="0"/>
        <w:autoSpaceDN w:val="0"/>
        <w:adjustRightInd w:val="0"/>
        <w:textAlignment w:val="baseline"/>
        <w:rPr>
          <w:lang w:eastAsia="zh-CN"/>
        </w:rPr>
      </w:pPr>
      <w:r>
        <w:rPr>
          <w:rFonts w:eastAsia="Malgun Gothic"/>
          <w:lang w:val="en-US" w:eastAsia="en-GB"/>
        </w:rPr>
        <w:t>7.</w:t>
      </w:r>
      <w:r>
        <w:rPr>
          <w:rFonts w:eastAsia="Malgun Gothic"/>
          <w:lang w:val="en-US" w:eastAsia="en-GB"/>
        </w:rPr>
        <w:tab/>
      </w:r>
      <w:r>
        <w:rPr>
          <w:lang w:eastAsia="zh-CN"/>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rPr>
          <w:rFonts w:eastAsia="Malgun Gothic"/>
        </w:rPr>
        <w:t>Ensure the UE is in State 2A-NB with CP CIoT Optimisation according to TS 36.508 [7] clause 8.1.5. Message contents are defined in clause 8.3.1.1.3.4.3.</w:t>
      </w:r>
    </w:p>
    <w:p>
      <w:pPr>
        <w:pStyle w:val="9"/>
      </w:pPr>
      <w:r>
        <w:rPr>
          <w:snapToGrid w:val="0"/>
          <w:kern w:val="2"/>
        </w:rPr>
        <w:t>8.3.1.1.3.</w:t>
      </w:r>
      <w:r>
        <w:rPr>
          <w:snapToGrid w:val="0"/>
          <w:kern w:val="2"/>
          <w:lang w:eastAsia="zh-TW"/>
        </w:rPr>
        <w:t>4.</w:t>
      </w:r>
      <w:r>
        <w:t>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Tables 8.3.1.1.3.3-1 and 8.3.1.1.3.3-2.</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parameters of the bandwidth, MCS, reference channel, the propagation condition, the correlation matrix, antenna configuration and the SNR according to Table 8.3.1.1.3.5-1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pPr>
        <w:pStyle w:val="9"/>
      </w:pPr>
      <w:r>
        <w:rPr>
          <w:snapToGrid w:val="0"/>
          <w:kern w:val="2"/>
        </w:rPr>
        <w:t>8.3.1.1.3.</w:t>
      </w:r>
      <w:r>
        <w:rPr>
          <w:snapToGrid w:val="0"/>
          <w:kern w:val="2"/>
          <w:lang w:eastAsia="zh-TW"/>
        </w:rPr>
        <w:t>4.</w:t>
      </w:r>
      <w:r>
        <w:rPr>
          <w:lang w:eastAsia="zh-TW"/>
        </w:rPr>
        <w:t>3</w:t>
      </w:r>
      <w:r>
        <w:tab/>
      </w:r>
      <w:r>
        <w:t>Message contents</w:t>
      </w:r>
    </w:p>
    <w:p>
      <w:r>
        <w:t xml:space="preserve">Message contents are same as </w:t>
      </w:r>
      <w:r>
        <w:rPr>
          <w:snapToGrid w:val="0"/>
          <w:kern w:val="2"/>
        </w:rPr>
        <w:t>8.3.1.1.1.</w:t>
      </w:r>
      <w:r>
        <w:rPr>
          <w:snapToGrid w:val="0"/>
          <w:kern w:val="2"/>
          <w:lang w:eastAsia="zh-TW"/>
        </w:rPr>
        <w:t>4.</w:t>
      </w:r>
      <w:r>
        <w:rPr>
          <w:lang w:eastAsia="zh-TW"/>
        </w:rPr>
        <w:t>3</w:t>
      </w:r>
      <w:r>
        <w:t xml:space="preserve"> with the following exceptions:</w:t>
      </w:r>
    </w:p>
    <w:p>
      <w:pPr>
        <w:pStyle w:val="113"/>
      </w:pPr>
      <w:r>
        <w:t xml:space="preserve">Table 8.3.1.1.3.4.3-1: Configure Non-anchor carrier in subtest 1 </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03"/>
              <w:keepNext w:val="0"/>
              <w:keepLines w:val="0"/>
            </w:pPr>
            <w:r>
              <w:t>Derivation Path: 36.508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shd w:val="clear" w:color="auto" w:fill="auto"/>
          </w:tcPr>
          <w:p>
            <w:pPr>
              <w:pStyle w:val="103"/>
              <w:keepNext w:val="0"/>
              <w:keepLines w:val="0"/>
            </w:pPr>
            <w:r>
              <w:t>PhysicalConfigDedicated-NB-DEFAULT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carrierConfigDedicated-NB-r13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r>
              <w:t>Non-anchor carrier</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dl-CarrierConfig-r13::=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dl-CarrierFreq-r13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downlinkBitmapNonAnchor-r13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dl-GapNonAnchor-r13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ul-CarrierConfig-r13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ul-CarrierFreq-r13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npdcch-ConfigDedicated-r13</w:t>
            </w:r>
          </w:p>
        </w:tc>
        <w:tc>
          <w:tcPr>
            <w:tcW w:w="2267" w:type="dxa"/>
            <w:shd w:val="clear" w:color="auto" w:fill="auto"/>
          </w:tcPr>
          <w:p>
            <w:pPr>
              <w:pStyle w:val="103"/>
              <w:keepNext w:val="0"/>
              <w:keepLines w:val="0"/>
            </w:pPr>
            <w:r>
              <w:t>NPDCCH-ConfigDedicated-NB-DEFAULT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npusch-ConfigDedicated-r13</w:t>
            </w:r>
          </w:p>
        </w:tc>
        <w:tc>
          <w:tcPr>
            <w:tcW w:w="2267" w:type="dxa"/>
            <w:tcBorders>
              <w:bottom w:val="single" w:color="000000" w:sz="4" w:space="0"/>
            </w:tcBorders>
            <w:shd w:val="clear" w:color="auto" w:fill="auto"/>
          </w:tcPr>
          <w:p>
            <w:pPr>
              <w:pStyle w:val="103"/>
              <w:keepNext w:val="0"/>
              <w:keepLines w:val="0"/>
            </w:pPr>
            <w:r>
              <w:t>NPUSCH-ConfigDedicated-NB-DEFAULT</w:t>
            </w:r>
          </w:p>
        </w:tc>
        <w:tc>
          <w:tcPr>
            <w:tcW w:w="1811" w:type="dxa"/>
            <w:tcBorders>
              <w:bottom w:val="single" w:color="000000" w:sz="4" w:space="0"/>
            </w:tcBorders>
            <w:shd w:val="clear" w:color="auto" w:fill="auto"/>
          </w:tcPr>
          <w:p>
            <w:pPr>
              <w:pStyle w:val="103"/>
              <w:keepNext w:val="0"/>
              <w:keepLines w:val="0"/>
            </w:pPr>
            <w:r>
              <w:t>See subclause 8.1.6.3 in 36.508</w:t>
            </w:r>
          </w:p>
        </w:tc>
        <w:tc>
          <w:tcPr>
            <w:tcW w:w="1134" w:type="dxa"/>
            <w:tcBorders>
              <w:bottom w:val="single" w:color="000000"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uplinkPowerControlDedicated-r13</w:t>
            </w:r>
          </w:p>
        </w:tc>
        <w:tc>
          <w:tcPr>
            <w:tcW w:w="2267" w:type="dxa"/>
            <w:shd w:val="clear" w:color="auto" w:fill="auto"/>
          </w:tcPr>
          <w:p>
            <w:pPr>
              <w:pStyle w:val="103"/>
              <w:keepNext w:val="0"/>
              <w:keepLines w:val="0"/>
            </w:pPr>
            <w:r>
              <w:t>UplinkPowerControlDedicated-NB-DEFAULT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18"/>
              <w:keepNext w:val="0"/>
              <w:keepLines w:val="0"/>
            </w:pPr>
            <w:r>
              <w:t>Note 1: The frequency of Non-anchor carrier is located at 200KHz higher from the centre of the anchor carrier.</w:t>
            </w:r>
          </w:p>
        </w:tc>
      </w:tr>
    </w:tbl>
    <w:p>
      <w:pPr>
        <w:pStyle w:val="113"/>
      </w:pPr>
      <w:r>
        <w:t>Table 8.3.1.1.3.4.3-2: NPDCCH-ConfigDedicated-NB-DEFAULT</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03"/>
              <w:keepNext w:val="0"/>
              <w:keepLines w:val="0"/>
            </w:pPr>
            <w:r>
              <w:t>Derivation Path: 36.508 Table 8.1.6.3-3 NPDCCH-ConfigDedicated-NB-DEFAULT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shd w:val="clear" w:color="auto" w:fill="auto"/>
          </w:tcPr>
          <w:p>
            <w:pPr>
              <w:pStyle w:val="103"/>
              <w:keepNext w:val="0"/>
              <w:keepLines w:val="0"/>
            </w:pPr>
            <w:r>
              <w:t>NPDCCH-ConfigDedicated-NB-DEFAULT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npdcch-NumRepetitions-r13</w:t>
            </w:r>
          </w:p>
        </w:tc>
        <w:tc>
          <w:tcPr>
            <w:tcW w:w="2267" w:type="dxa"/>
            <w:shd w:val="clear" w:color="auto" w:fill="auto"/>
          </w:tcPr>
          <w:p>
            <w:pPr>
              <w:pStyle w:val="103"/>
              <w:keepNext w:val="0"/>
              <w:keepLines w:val="0"/>
            </w:pPr>
            <w:r>
              <w:t>R8</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npdcch-StartSF-USS-r13</w:t>
            </w:r>
          </w:p>
        </w:tc>
        <w:tc>
          <w:tcPr>
            <w:tcW w:w="2267" w:type="dxa"/>
            <w:shd w:val="clear" w:color="auto" w:fill="auto"/>
          </w:tcPr>
          <w:p>
            <w:pPr>
              <w:pStyle w:val="103"/>
              <w:keepNext w:val="0"/>
              <w:keepLines w:val="0"/>
            </w:pPr>
            <w:r>
              <w:t>V1.5</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r>
    </w:tbl>
    <w:p>
      <w:pPr>
        <w:rPr>
          <w:lang w:eastAsia="zh-TW"/>
        </w:rPr>
      </w:pPr>
    </w:p>
    <w:p>
      <w:pPr>
        <w:pStyle w:val="9"/>
        <w:rPr>
          <w:snapToGrid w:val="0"/>
          <w:kern w:val="2"/>
        </w:rPr>
      </w:pPr>
      <w:r>
        <w:rPr>
          <w:snapToGrid w:val="0"/>
          <w:kern w:val="2"/>
        </w:rPr>
        <w:t>8.3.1.1.3.5</w:t>
      </w:r>
      <w:r>
        <w:rPr>
          <w:snapToGrid w:val="0"/>
          <w:kern w:val="2"/>
        </w:rPr>
        <w:tab/>
      </w:r>
      <w:r>
        <w:rPr>
          <w:snapToGrid w:val="0"/>
          <w:kern w:val="2"/>
        </w:rPr>
        <w:t>Test requirement</w:t>
      </w:r>
    </w:p>
    <w:p>
      <w:r>
        <w:t>Table 8.3.1.1.3</w:t>
      </w:r>
      <w:r>
        <w:rPr>
          <w:lang w:eastAsia="zh-TW"/>
        </w:rPr>
        <w:t>.3</w:t>
      </w:r>
      <w:r>
        <w:t>-1 defines the primary level settings.</w:t>
      </w:r>
    </w:p>
    <w:p>
      <w:pPr>
        <w:rPr>
          <w:lang w:eastAsia="zh-TW"/>
        </w:rPr>
      </w:pPr>
      <w:r>
        <w:t>The fraction of maximum throughput percentage for the downlink reference measurement channels specified in Annex A clause A.3.12.</w:t>
      </w:r>
      <w:r>
        <w:rPr>
          <w:rFonts w:hint="eastAsia" w:eastAsia="宋体"/>
          <w:lang w:val="en-US" w:eastAsia="zh-CN"/>
        </w:rPr>
        <w:t>1</w:t>
      </w:r>
      <w:r>
        <w:t>.1 for each throughput test shall meet or exceed the specified value in Table 8.3.1.1.3.</w:t>
      </w:r>
      <w:r>
        <w:rPr>
          <w:lang w:eastAsia="zh-TW"/>
        </w:rPr>
        <w:t>5</w:t>
      </w:r>
      <w:r>
        <w:t>-</w:t>
      </w:r>
      <w:r>
        <w:rPr>
          <w:lang w:eastAsia="zh-TW"/>
        </w:rPr>
        <w:t>1</w:t>
      </w:r>
      <w:r>
        <w:t xml:space="preserve"> for the specified SNR including test tolerances for all throughput tests.</w:t>
      </w:r>
    </w:p>
    <w:p>
      <w:pPr>
        <w:pStyle w:val="113"/>
      </w:pPr>
      <w:r>
        <w:t>Table 8.3.1.1.3.</w:t>
      </w:r>
      <w:r>
        <w:rPr>
          <w:lang w:eastAsia="zh-TW"/>
        </w:rPr>
        <w:t>5</w:t>
      </w:r>
      <w:r>
        <w:t>-</w:t>
      </w:r>
      <w:r>
        <w:rPr>
          <w:lang w:eastAsia="zh-TW"/>
        </w:rPr>
        <w:t>1</w:t>
      </w:r>
      <w:r>
        <w:t>: Test requirements under standalone with 1 NRS ports</w:t>
      </w:r>
    </w:p>
    <w:tbl>
      <w:tblPr>
        <w:tblStyle w:val="89"/>
        <w:tblW w:w="95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713"/>
        <w:gridCol w:w="818"/>
        <w:gridCol w:w="818"/>
        <w:gridCol w:w="919"/>
        <w:gridCol w:w="1097"/>
        <w:gridCol w:w="991"/>
        <w:gridCol w:w="1561"/>
        <w:gridCol w:w="695"/>
        <w:gridCol w:w="1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Test number</w:t>
            </w:r>
          </w:p>
        </w:tc>
        <w:tc>
          <w:tcPr>
            <w:tcW w:w="37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Bandwidth</w:t>
            </w:r>
          </w:p>
        </w:tc>
        <w:tc>
          <w:tcPr>
            <w:tcW w:w="428"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Carrier Type</w:t>
            </w:r>
          </w:p>
        </w:tc>
        <w:tc>
          <w:tcPr>
            <w:tcW w:w="428"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Reference Channel</w:t>
            </w:r>
          </w:p>
        </w:tc>
        <w:tc>
          <w:tcPr>
            <w:tcW w:w="481"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Repetition number</w:t>
            </w:r>
          </w:p>
        </w:tc>
        <w:tc>
          <w:tcPr>
            <w:tcW w:w="574"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Propagation condition</w:t>
            </w:r>
          </w:p>
        </w:tc>
        <w:tc>
          <w:tcPr>
            <w:tcW w:w="519"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Number of NRS ports</w:t>
            </w:r>
          </w:p>
        </w:tc>
        <w:tc>
          <w:tcPr>
            <w:tcW w:w="1181"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Reference value</w:t>
            </w:r>
          </w:p>
        </w:tc>
        <w:tc>
          <w:tcPr>
            <w:tcW w:w="571" w:type="pct"/>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kern w:val="2"/>
                <w:sz w:val="18"/>
              </w:rPr>
            </w:pPr>
            <w:r>
              <w:rPr>
                <w:rFonts w:ascii="Arial" w:hAnsi="Arial" w:cs="Arial"/>
                <w:b/>
                <w:kern w:val="2"/>
                <w:sz w:val="18"/>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37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28"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28"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81"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574"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519"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Fraction of Maximum</w:t>
            </w:r>
          </w:p>
          <w:p>
            <w:pPr>
              <w:keepNext/>
              <w:keepLines/>
              <w:spacing w:after="0"/>
              <w:jc w:val="center"/>
              <w:rPr>
                <w:rFonts w:ascii="Arial" w:hAnsi="Arial" w:cs="Arial"/>
                <w:b/>
                <w:kern w:val="2"/>
                <w:sz w:val="18"/>
              </w:rPr>
            </w:pPr>
            <w:r>
              <w:rPr>
                <w:rFonts w:ascii="Arial" w:hAnsi="Arial" w:cs="Arial"/>
                <w:b/>
                <w:kern w:val="2"/>
                <w:sz w:val="18"/>
              </w:rPr>
              <w:t>Throughput (%)</w:t>
            </w:r>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SNR (dB)</w:t>
            </w:r>
          </w:p>
        </w:tc>
        <w:tc>
          <w:tcPr>
            <w:tcW w:w="571" w:type="pct"/>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kern w:val="2"/>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7" w:hRule="atLeast"/>
          <w:jc w:val="center"/>
        </w:trPr>
        <w:tc>
          <w:tcPr>
            <w:tcW w:w="44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200kHz</w:t>
            </w:r>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Non-anchor</w:t>
            </w:r>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sz w:val="18"/>
                <w:lang w:eastAsia="ko-KR"/>
              </w:rPr>
              <w:t>R.NB.</w:t>
            </w:r>
            <w:r>
              <w:rPr>
                <w:rFonts w:ascii="Arial" w:hAnsi="Arial" w:cs="Arial"/>
                <w:sz w:val="18"/>
              </w:rPr>
              <w:t>7</w:t>
            </w:r>
            <w:r>
              <w:rPr>
                <w:rFonts w:ascii="Arial" w:hAnsi="Arial" w:cs="Arial"/>
                <w:kern w:val="2"/>
                <w:sz w:val="18"/>
              </w:rPr>
              <w:t xml:space="preserve"> FDD</w:t>
            </w:r>
          </w:p>
        </w:tc>
        <w:tc>
          <w:tcPr>
            <w:tcW w:w="481"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57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EPA5</w:t>
            </w:r>
          </w:p>
        </w:tc>
        <w:tc>
          <w:tcPr>
            <w:tcW w:w="51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70%</w:t>
            </w:r>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color w:val="00B050"/>
                <w:kern w:val="2"/>
                <w:sz w:val="18"/>
              </w:rPr>
            </w:pPr>
            <w:r>
              <w:rPr>
                <w:rFonts w:ascii="Arial" w:hAnsi="Arial" w:cs="Arial"/>
                <w:kern w:val="2"/>
                <w:sz w:val="18"/>
              </w:rPr>
              <w:t>10.2</w:t>
            </w:r>
          </w:p>
        </w:tc>
        <w:tc>
          <w:tcPr>
            <w:tcW w:w="57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kern w:val="2"/>
                <w:sz w:val="18"/>
              </w:rPr>
            </w:pPr>
            <w:r>
              <w:rPr>
                <w:rFonts w:ascii="Arial" w:hAnsi="Arial" w:cs="Arial"/>
                <w:kern w:val="2"/>
                <w:sz w:val="18"/>
              </w:rPr>
              <w:t>NB2</w:t>
            </w:r>
          </w:p>
        </w:tc>
      </w:tr>
    </w:tbl>
    <w:p/>
    <w:p>
      <w:pPr>
        <w:pStyle w:val="6"/>
      </w:pPr>
      <w:bookmarkStart w:id="1604" w:name="_Toc16821"/>
      <w:bookmarkStart w:id="1605" w:name="_Toc31649"/>
      <w:bookmarkStart w:id="1606" w:name="_Toc10396"/>
      <w:bookmarkStart w:id="1607" w:name="_Toc206"/>
      <w:bookmarkStart w:id="1608" w:name="_Toc11423"/>
      <w:r>
        <w:t>8.3.1.2</w:t>
      </w:r>
      <w:r>
        <w:tab/>
      </w:r>
      <w:r>
        <w:t>NPDCCH</w:t>
      </w:r>
      <w:bookmarkEnd w:id="1604"/>
      <w:bookmarkEnd w:id="1605"/>
      <w:bookmarkEnd w:id="1606"/>
      <w:bookmarkEnd w:id="1607"/>
      <w:bookmarkEnd w:id="1608"/>
    </w:p>
    <w:p>
      <w:pPr>
        <w:rPr>
          <w:rFonts w:eastAsia="MS Mincho"/>
        </w:rPr>
      </w:pPr>
      <w:r>
        <w:t>The parameters specified in Table 8.3.1.2-1 and 8.3.1.2-2 are valid for all half-duplex FDD tests unless otherwise stated.</w:t>
      </w:r>
    </w:p>
    <w:p>
      <w:pPr>
        <w:pStyle w:val="113"/>
      </w:pPr>
      <w:r>
        <w:t>Table 8.3.1.2-1: Test Parameters for NPDCCH</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7"/>
        <w:gridCol w:w="1441"/>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887" w:type="dxa"/>
            <w:tcBorders>
              <w:bottom w:val="nil"/>
            </w:tcBorders>
            <w:vAlign w:val="center"/>
          </w:tcPr>
          <w:p>
            <w:pPr>
              <w:pStyle w:val="104"/>
              <w:rPr>
                <w:rFonts w:eastAsia="?? ??" w:cs="Arial"/>
              </w:rPr>
            </w:pPr>
            <w:r>
              <w:rPr>
                <w:rFonts w:eastAsia="?? ??" w:cs="Arial"/>
              </w:rPr>
              <w:t>Parameter</w:t>
            </w:r>
          </w:p>
        </w:tc>
        <w:tc>
          <w:tcPr>
            <w:tcW w:w="1441" w:type="dxa"/>
            <w:tcBorders>
              <w:bottom w:val="nil"/>
            </w:tcBorders>
            <w:vAlign w:val="center"/>
          </w:tcPr>
          <w:p>
            <w:pPr>
              <w:pStyle w:val="104"/>
              <w:rPr>
                <w:rFonts w:cs="Arial"/>
              </w:rPr>
            </w:pPr>
            <w:r>
              <w:rPr>
                <w:rFonts w:cs="Arial"/>
              </w:rPr>
              <w:t>Unit</w:t>
            </w:r>
          </w:p>
        </w:tc>
        <w:tc>
          <w:tcPr>
            <w:tcW w:w="1559" w:type="dxa"/>
            <w:tcBorders>
              <w:bottom w:val="nil"/>
            </w:tcBorders>
            <w:vAlign w:val="center"/>
          </w:tcPr>
          <w:p>
            <w:pPr>
              <w:pStyle w:val="104"/>
              <w:rPr>
                <w:rFonts w:eastAsia="?? ??" w:cs="Arial"/>
              </w:rPr>
            </w:pPr>
            <w:r>
              <w:rPr>
                <w:rFonts w:eastAsia="?? ??" w:cs="Arial"/>
              </w:rPr>
              <w:t>Single antenna 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Arial"/>
              </w:rPr>
            </w:pPr>
            <w:r>
              <w:rPr>
                <w:rFonts w:cs="Arial"/>
              </w:rPr>
              <w:t>Narrowband physical layer Cell ID</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eastAsia="?? ??" w:cs="v5.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Arial"/>
                <w:position w:val="-12"/>
              </w:rPr>
              <w:object>
                <v:shape id="_x0000_i1088" o:spt="75" type="#_x0000_t75" style="height:16.8pt;width:19.2pt;" o:ole="t" filled="f" o:preferrelative="t" stroked="f" coordsize="21600,21600">
                  <v:path/>
                  <v:fill on="f" focussize="0,0"/>
                  <v:stroke on="f" joinstyle="miter"/>
                  <v:imagedata r:id="rId117" o:title=""/>
                  <o:lock v:ext="edit" aspectratio="t"/>
                  <w10:wrap type="none"/>
                  <w10:anchorlock/>
                </v:shape>
                <o:OLEObject Type="Embed" ProgID="Equation.3" ShapeID="_x0000_i1088" DrawAspect="Content" ObjectID="_1468075788" r:id="rId125">
                  <o:LockedField>false</o:LockedField>
                </o:OLEObject>
              </w:object>
            </w:r>
            <w:r>
              <w:rPr>
                <w:rFonts w:cs="Arial"/>
              </w:rPr>
              <w:t>at antenna port</w:t>
            </w:r>
          </w:p>
        </w:tc>
        <w:tc>
          <w:tcPr>
            <w:tcW w:w="1441" w:type="dxa"/>
            <w:vAlign w:val="center"/>
          </w:tcPr>
          <w:p>
            <w:pPr>
              <w:pStyle w:val="105"/>
              <w:rPr>
                <w:rFonts w:eastAsia="?? ??" w:cs="v5.0.0"/>
              </w:rPr>
            </w:pPr>
            <w:r>
              <w:rPr>
                <w:rFonts w:eastAsia="?? ??" w:cs="Arial"/>
              </w:rPr>
              <w:t>dBm/15kHz</w:t>
            </w:r>
          </w:p>
        </w:tc>
        <w:tc>
          <w:tcPr>
            <w:tcW w:w="1559" w:type="dxa"/>
            <w:vAlign w:val="center"/>
          </w:tcPr>
          <w:p>
            <w:pPr>
              <w:pStyle w:val="105"/>
              <w:rPr>
                <w:rFonts w:eastAsia="?? ??" w:cs="v5.0.0"/>
              </w:rPr>
            </w:pPr>
            <w:r>
              <w:rPr>
                <w:rFonts w:eastAsia="?? ??" w:cs="v5.0.0"/>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v5.0.0"/>
              </w:rPr>
              <w:t>Cyclic prefix</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eastAsia="?? ??" w:cs="v5.0.0"/>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v5.0.0"/>
                <w:lang w:eastAsia="ko-KR"/>
              </w:rPr>
              <w:t xml:space="preserve">Maximum number of repetitions </w:t>
            </w:r>
            <w:r>
              <w:rPr>
                <w:rFonts w:cs="v5.0.0"/>
                <w:lang w:eastAsia="ko-KR"/>
              </w:rPr>
              <w:object>
                <v:shape id="_x0000_i1089" o:spt="75" type="#_x0000_t75" style="height:16.8pt;width:23.4pt;" o:ole="t" filled="f" o:preferrelative="t" stroked="f" coordsize="21600,21600">
                  <v:path/>
                  <v:fill on="f" focussize="0,0"/>
                  <v:stroke on="f" joinstyle="miter"/>
                  <v:imagedata r:id="rId127" o:title=""/>
                  <o:lock v:ext="edit" aspectratio="t"/>
                  <w10:wrap type="none"/>
                  <w10:anchorlock/>
                </v:shape>
                <o:OLEObject Type="Embed" ProgID="Equation.DSMT4" ShapeID="_x0000_i1089" DrawAspect="Content" ObjectID="_1468075789" r:id="rId126">
                  <o:LockedField>false</o:LockedField>
                </o:OLEObject>
              </w:object>
            </w:r>
            <w:r>
              <w:rPr>
                <w:rFonts w:cs="v5.0.0"/>
                <w:lang w:eastAsia="ko-KR"/>
              </w:rPr>
              <w:t>(</w:t>
            </w:r>
            <w:r>
              <w:rPr>
                <w:i/>
                <w:lang w:eastAsia="ko-KR"/>
              </w:rPr>
              <w:t>npdcch-NumRepetitions-r13</w:t>
            </w:r>
            <w:r>
              <w:rPr>
                <w:rFonts w:cs="v5.0.0"/>
                <w:lang w:eastAsia="ko-KR"/>
              </w:rPr>
              <w:t>)</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cs="v5.0.0"/>
              </w:rPr>
              <w:t>128 for Test 1; 1024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v5.0.0"/>
              </w:rPr>
              <w:t xml:space="preserve">NPDCCH start subframe </w:t>
            </w:r>
            <w:r>
              <w:rPr>
                <w:position w:val="-6"/>
                <w:lang w:eastAsia="ko-KR"/>
              </w:rPr>
              <w:object>
                <v:shape id="_x0000_i1090" o:spt="75" type="#_x0000_t75" style="height:13.2pt;width:13.2pt;" o:ole="t" filled="f" o:preferrelative="t" stroked="f" coordsize="21600,21600">
                  <v:path/>
                  <v:fill on="f" focussize="0,0"/>
                  <v:stroke on="f" joinstyle="miter"/>
                  <v:imagedata r:id="rId123" o:title=""/>
                  <o:lock v:ext="edit" aspectratio="t"/>
                  <w10:wrap type="none"/>
                  <w10:anchorlock/>
                </v:shape>
                <o:OLEObject Type="Embed" ProgID="Equation.3" ShapeID="_x0000_i1090" DrawAspect="Content" ObjectID="_1468075790" r:id="rId128">
                  <o:LockedField>false</o:LockedField>
                </o:OLEObject>
              </w:object>
            </w:r>
            <w:r>
              <w:rPr>
                <w:rFonts w:cs="v5.0.0"/>
              </w:rPr>
              <w:t>(</w:t>
            </w:r>
            <w:r>
              <w:rPr>
                <w:rFonts w:cs="v5.0.0"/>
                <w:i/>
              </w:rPr>
              <w:t>npdcch-startSF-USS-r13</w:t>
            </w:r>
            <w:r>
              <w:rPr>
                <w:rFonts w:cs="v5.0.0"/>
              </w:rPr>
              <w:t>)</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eastAsia="?? ??" w:cs="v5.0.0"/>
              </w:rPr>
              <w:t>2 for test1,</w:t>
            </w:r>
          </w:p>
          <w:p>
            <w:pPr>
              <w:pStyle w:val="105"/>
              <w:rPr>
                <w:rFonts w:eastAsia="?? ??" w:cs="v5.0.0"/>
              </w:rPr>
            </w:pPr>
            <w:r>
              <w:rPr>
                <w:rFonts w:eastAsia="?? ??" w:cs="v5.0.0"/>
              </w:rPr>
              <w:t>1.5 for test2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v5.0.0"/>
              </w:rPr>
              <w:t xml:space="preserve">NPDCCH fractional period offset of starting subframe </w:t>
            </w:r>
            <w:r>
              <w:rPr>
                <w:position w:val="-14"/>
                <w:lang w:eastAsia="ko-KR"/>
              </w:rPr>
              <w:object>
                <v:shape id="_x0000_i1091" o:spt="75" type="#_x0000_t75" style="height:18pt;width:24.6pt;" o:ole="t" filled="f" o:preferrelative="t" stroked="f" coordsize="21600,21600">
                  <v:path/>
                  <v:fill on="f" focussize="0,0"/>
                  <v:stroke on="f" joinstyle="miter"/>
                  <v:imagedata r:id="rId116" o:title=""/>
                  <o:lock v:ext="edit" aspectratio="t"/>
                  <w10:wrap type="none"/>
                  <w10:anchorlock/>
                </v:shape>
                <o:OLEObject Type="Embed" ProgID="Equation.3" ShapeID="_x0000_i1091" DrawAspect="Content" ObjectID="_1468075791" r:id="rId129">
                  <o:LockedField>false</o:LockedField>
                </o:OLEObject>
              </w:object>
            </w:r>
          </w:p>
          <w:p>
            <w:pPr>
              <w:pStyle w:val="105"/>
              <w:rPr>
                <w:rFonts w:cs="v5.0.0"/>
              </w:rPr>
            </w:pPr>
            <w:r>
              <w:rPr>
                <w:rFonts w:cs="v5.0.0"/>
              </w:rPr>
              <w:t>(</w:t>
            </w:r>
            <w:r>
              <w:rPr>
                <w:rFonts w:cs="v5.0.0"/>
                <w:i/>
              </w:rPr>
              <w:t>npdcch-Offset-USS-r13</w:t>
            </w:r>
            <w:r>
              <w:rPr>
                <w:rFonts w:cs="v5.0.0"/>
              </w:rPr>
              <w:t>)</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eastAsia="?? ??" w:cs="v5.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 xml:space="preserve">NB-IoT downlink subframe bitmap for anchor carrier </w:t>
            </w:r>
            <w:r>
              <w:rPr>
                <w:i/>
              </w:rPr>
              <w:t>(downlinkBitmap</w:t>
            </w:r>
            <w:r>
              <w:rPr>
                <w:rFonts w:cs="v5.0.0"/>
                <w:i/>
              </w:rPr>
              <w:t>-r13</w:t>
            </w:r>
            <w:r>
              <w:rPr>
                <w:i/>
              </w:rPr>
              <w:t>)</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 xml:space="preserve">NB-IoT downlink subframe bitmap for non-anchor carrier </w:t>
            </w:r>
            <w:r>
              <w:rPr>
                <w:i/>
              </w:rPr>
              <w:t>(downlinkBitmapNonAnchor</w:t>
            </w:r>
            <w:r>
              <w:rPr>
                <w:rFonts w:cs="v5.0.0"/>
                <w:i/>
              </w:rPr>
              <w:t>-r13</w:t>
            </w:r>
            <w:r>
              <w:rPr>
                <w:i/>
              </w:rPr>
              <w:t>)</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 xml:space="preserve">Downlink gap configuration for anchor carrier </w:t>
            </w:r>
            <w:r>
              <w:rPr>
                <w:i/>
              </w:rPr>
              <w:t>(dl-Gap</w:t>
            </w:r>
            <w:r>
              <w:rPr>
                <w:rFonts w:cs="v5.0.0"/>
                <w:i/>
              </w:rPr>
              <w:t>-r13</w:t>
            </w:r>
            <w:r>
              <w:rPr>
                <w:i/>
              </w:rPr>
              <w:t>)</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Downlink gap configuration for non-anchor carrier</w:t>
            </w:r>
            <w:r>
              <w:br w:type="textWrapping"/>
            </w:r>
            <w:r>
              <w:rPr>
                <w:i/>
              </w:rPr>
              <w:t>(dl-GapNonAnchor</w:t>
            </w:r>
            <w:r>
              <w:rPr>
                <w:rFonts w:cs="v5.0.0"/>
                <w:i/>
              </w:rPr>
              <w:t>-r13</w:t>
            </w:r>
            <w:r>
              <w:rPr>
                <w:i/>
              </w:rPr>
              <w:t>)</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Unused REs or RBs</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OCNG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OCNG pattern</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NB.OP.1</w:t>
            </w:r>
          </w:p>
        </w:tc>
      </w:tr>
    </w:tbl>
    <w:p/>
    <w:p>
      <w:pPr>
        <w:pStyle w:val="113"/>
      </w:pPr>
      <w:r>
        <w:t xml:space="preserve">Table 8.3.1.2-2: Test Parameters of related NPDSCH and NPUSCH format 2 configurations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pStyle w:val="104"/>
              <w:rPr>
                <w:rFonts w:eastAsia="?? ??"/>
                <w:kern w:val="2"/>
              </w:rPr>
            </w:pPr>
            <w:r>
              <w:rPr>
                <w:rFonts w:eastAsia="?? ??"/>
                <w:kern w:val="2"/>
              </w:rPr>
              <w:t>Parameter</w:t>
            </w:r>
          </w:p>
        </w:tc>
        <w:tc>
          <w:tcPr>
            <w:tcW w:w="1698" w:type="dxa"/>
            <w:tcBorders>
              <w:top w:val="single" w:color="auto" w:sz="4" w:space="0"/>
              <w:left w:val="single" w:color="auto" w:sz="4" w:space="0"/>
              <w:bottom w:val="single" w:color="auto" w:sz="4" w:space="0"/>
              <w:right w:val="single" w:color="auto" w:sz="4" w:space="0"/>
            </w:tcBorders>
          </w:tcPr>
          <w:p>
            <w:pPr>
              <w:pStyle w:val="104"/>
              <w:rPr>
                <w:rFonts w:eastAsia="?? ??"/>
                <w:kern w:val="2"/>
              </w:rPr>
            </w:pPr>
            <w:r>
              <w:rPr>
                <w:rFonts w:eastAsia="?? ??"/>
                <w:kern w:val="2"/>
              </w:rPr>
              <w:t>Unit</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kern w:val="2"/>
              </w:rPr>
            </w:pPr>
            <w:r>
              <w:rPr>
                <w:kern w:val="2"/>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t>Scheduling delay field (</w:t>
            </w:r>
            <w:r>
              <w:rPr>
                <w:position w:val="-14"/>
              </w:rPr>
              <w:drawing>
                <wp:inline distT="0" distB="0" distL="0" distR="0">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pPr>
            <w:r>
              <w:t>NPDSCH Repetition number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pPr>
            <w:r>
              <w:rPr>
                <w:rFonts w:cs="Arial"/>
                <w:position w:val="-12"/>
              </w:rPr>
              <w:object>
                <v:shape id="_x0000_i1092" o:spt="75" type="#_x0000_t75" style="height:16.8pt;width:19.2pt;" o:ole="t" filled="f" o:preferrelative="t" stroked="f" coordsize="21600,21600">
                  <v:path/>
                  <v:fill on="f" focussize="0,0"/>
                  <v:stroke on="f" joinstyle="miter"/>
                  <v:imagedata r:id="rId117" o:title=""/>
                  <o:lock v:ext="edit" aspectratio="t"/>
                  <w10:wrap type="none"/>
                  <w10:anchorlock/>
                </v:shape>
                <o:OLEObject Type="Embed" ProgID="Equation.3" ShapeID="_x0000_i1092" DrawAspect="Content" ObjectID="_1468075792" r:id="rId130">
                  <o:LockedField>false</o:LockedField>
                </o:OLEObject>
              </w:object>
            </w:r>
            <w:r>
              <w:t>at antenna port for NPDSCH</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eastAsia="?? ??" w:cs="Arial"/>
              </w:rPr>
              <w:t>dBm/15kHz</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pPr>
            <w:r>
              <w:rPr>
                <w:position w:val="-14"/>
              </w:rPr>
              <w:drawing>
                <wp:inline distT="0" distB="0" distL="0" distR="0">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t xml:space="preserve"> (</w:t>
            </w:r>
            <w:r>
              <w:rPr>
                <w:i/>
              </w:rPr>
              <w:t>ack-NACK-NumRepetitions</w:t>
            </w:r>
            <w:r>
              <w:rPr>
                <w:rFonts w:cs="v5.0.0"/>
                <w:i/>
              </w:rPr>
              <w:t>-r13</w:t>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
              </w:rPr>
            </w:pPr>
            <w:r>
              <w:t>ACK/NACK resource field</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pPr>
            <w:r>
              <w:t>Reference channel for NPDSCH</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R.NB.6 and R.NB.6-1 for one NRS antenna port; R.NB.5 and R.NB.5-1 for two NRS antenna ports</w:t>
            </w:r>
          </w:p>
        </w:tc>
      </w:tr>
    </w:tbl>
    <w:p>
      <w:pPr>
        <w:pStyle w:val="7"/>
        <w:rPr>
          <w:snapToGrid w:val="0"/>
        </w:rPr>
      </w:pPr>
      <w:bookmarkStart w:id="1609" w:name="_Toc29902"/>
      <w:bookmarkStart w:id="1610" w:name="_Toc17220"/>
      <w:bookmarkStart w:id="1611" w:name="_Toc20621"/>
      <w:bookmarkStart w:id="1612" w:name="_Toc7306"/>
      <w:bookmarkStart w:id="1613" w:name="_Toc7569"/>
      <w:r>
        <w:rPr>
          <w:snapToGrid w:val="0"/>
          <w:lang w:val="en-US"/>
        </w:rPr>
        <w:t>8.3.1.2.1</w:t>
      </w:r>
      <w:r>
        <w:rPr>
          <w:snapToGrid w:val="0"/>
          <w:lang w:val="en-US"/>
        </w:rPr>
        <w:tab/>
      </w:r>
      <w:r>
        <w:rPr>
          <w:snapToGrid w:val="0"/>
          <w:kern w:val="2"/>
        </w:rPr>
        <w:t>Demodulation of NPDCCH single-antenna performance for category NB1 and NB2</w:t>
      </w:r>
      <w:bookmarkEnd w:id="1609"/>
      <w:bookmarkEnd w:id="1610"/>
      <w:bookmarkEnd w:id="1611"/>
      <w:bookmarkEnd w:id="1612"/>
      <w:bookmarkEnd w:id="1613"/>
    </w:p>
    <w:p>
      <w:pPr>
        <w:pStyle w:val="112"/>
        <w:rPr>
          <w:i w:val="0"/>
          <w:iCs w:val="0"/>
          <w:lang w:val="en-GB"/>
        </w:rPr>
      </w:pPr>
      <w:r>
        <w:t>Editor’s Note: Addition to applicability spec is pending.</w:t>
      </w:r>
    </w:p>
    <w:p>
      <w:pPr>
        <w:pStyle w:val="9"/>
        <w:rPr>
          <w:snapToGrid w:val="0"/>
          <w:kern w:val="2"/>
        </w:rPr>
      </w:pPr>
      <w:r>
        <w:rPr>
          <w:snapToGrid w:val="0"/>
          <w:kern w:val="2"/>
        </w:rPr>
        <w:t>8.3.1.2.1.1</w:t>
      </w:r>
      <w:r>
        <w:rPr>
          <w:snapToGrid w:val="0"/>
          <w:kern w:val="2"/>
        </w:rPr>
        <w:tab/>
      </w:r>
      <w:r>
        <w:rPr>
          <w:snapToGrid w:val="0"/>
          <w:kern w:val="2"/>
        </w:rPr>
        <w:t>Test purpose</w:t>
      </w:r>
    </w:p>
    <w:p>
      <w:r>
        <w:t>This test verifies the demodulation performance of NPDCCH for single-antenna scenario with a given SNR for which the average probability of miss-detection of the Downlink Scheduling Grant, remains below a given reference value.</w:t>
      </w:r>
    </w:p>
    <w:p>
      <w:pPr>
        <w:pStyle w:val="9"/>
        <w:rPr>
          <w:snapToGrid w:val="0"/>
          <w:kern w:val="2"/>
        </w:rPr>
      </w:pPr>
      <w:r>
        <w:rPr>
          <w:snapToGrid w:val="0"/>
          <w:kern w:val="2"/>
        </w:rPr>
        <w:t>8.3.1.2.1.2</w:t>
      </w:r>
      <w:r>
        <w:rPr>
          <w:snapToGrid w:val="0"/>
          <w:kern w:val="2"/>
        </w:rPr>
        <w:tab/>
      </w:r>
      <w:r>
        <w:rPr>
          <w:snapToGrid w:val="0"/>
          <w:kern w:val="2"/>
        </w:rPr>
        <w:t>Test applicability</w:t>
      </w:r>
    </w:p>
    <w:p>
      <w:r>
        <w:rPr>
          <w:rFonts w:ascii="Arial" w:hAnsi="Arial"/>
          <w:snapToGrid w:val="0"/>
          <w:kern w:val="2"/>
        </w:rPr>
        <w:t>This test applies to all types of NB-</w:t>
      </w:r>
      <w:r>
        <w:t xml:space="preserve">IoT FDD UE release 17 and forward of category NB1 and </w:t>
      </w:r>
      <w:r>
        <w:rPr>
          <w:rFonts w:hint="eastAsia"/>
        </w:rPr>
        <w:t>NB</w:t>
      </w:r>
      <w:r>
        <w:t xml:space="preserve">2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8.3.1.2.1.3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r>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p>
    <w:p>
      <w:pPr>
        <w:pStyle w:val="113"/>
      </w:pPr>
      <w:r>
        <w:t>Table 8.3.1.2.1.3-1: Minimum performance NPDCCH</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9"/>
        <w:gridCol w:w="1323"/>
        <w:gridCol w:w="1141"/>
        <w:gridCol w:w="838"/>
        <w:gridCol w:w="1134"/>
        <w:gridCol w:w="1321"/>
        <w:gridCol w:w="954"/>
        <w:gridCol w:w="589"/>
        <w:gridCol w:w="623"/>
        <w:gridCol w:w="10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461" w:type="pct"/>
            <w:vMerge w:val="restart"/>
          </w:tcPr>
          <w:p>
            <w:pPr>
              <w:pStyle w:val="104"/>
              <w:rPr>
                <w:rFonts w:cs="Arial"/>
              </w:rPr>
            </w:pPr>
            <w:r>
              <w:rPr>
                <w:rFonts w:cs="Arial"/>
              </w:rPr>
              <w:t>Test number</w:t>
            </w:r>
          </w:p>
        </w:tc>
        <w:tc>
          <w:tcPr>
            <w:tcW w:w="671" w:type="pct"/>
            <w:vMerge w:val="restart"/>
          </w:tcPr>
          <w:p>
            <w:pPr>
              <w:pStyle w:val="104"/>
              <w:rPr>
                <w:rFonts w:cs="Arial"/>
              </w:rPr>
            </w:pPr>
            <w:r>
              <w:rPr>
                <w:rFonts w:cs="Arial"/>
              </w:rPr>
              <w:t xml:space="preserve">Deployment mode </w:t>
            </w:r>
          </w:p>
        </w:tc>
        <w:tc>
          <w:tcPr>
            <w:tcW w:w="579" w:type="pct"/>
            <w:vMerge w:val="restart"/>
          </w:tcPr>
          <w:p>
            <w:pPr>
              <w:pStyle w:val="104"/>
              <w:rPr>
                <w:rFonts w:cs="Arial"/>
              </w:rPr>
            </w:pPr>
            <w:r>
              <w:rPr>
                <w:rFonts w:cs="Arial"/>
              </w:rPr>
              <w:t>Repetition number</w:t>
            </w:r>
          </w:p>
          <w:p>
            <w:pPr>
              <w:pStyle w:val="104"/>
              <w:rPr>
                <w:rFonts w:cs="Arial"/>
              </w:rPr>
            </w:pPr>
            <w:r>
              <w:rPr>
                <w:rFonts w:cs="Arial"/>
              </w:rPr>
              <w:t>(R)</w:t>
            </w:r>
          </w:p>
        </w:tc>
        <w:tc>
          <w:tcPr>
            <w:tcW w:w="425" w:type="pct"/>
            <w:vMerge w:val="restart"/>
          </w:tcPr>
          <w:p>
            <w:pPr>
              <w:pStyle w:val="104"/>
              <w:rPr>
                <w:rFonts w:cs="Arial"/>
              </w:rPr>
            </w:pPr>
            <w:r>
              <w:rPr>
                <w:rFonts w:cs="Arial"/>
                <w:kern w:val="2"/>
              </w:rPr>
              <w:t>Carrier Type</w:t>
            </w:r>
          </w:p>
        </w:tc>
        <w:tc>
          <w:tcPr>
            <w:tcW w:w="575" w:type="pct"/>
            <w:vMerge w:val="restart"/>
          </w:tcPr>
          <w:p>
            <w:pPr>
              <w:pStyle w:val="104"/>
              <w:rPr>
                <w:rFonts w:cs="Arial"/>
              </w:rPr>
            </w:pPr>
            <w:r>
              <w:rPr>
                <w:rFonts w:cs="Arial"/>
              </w:rPr>
              <w:t>Reference Channel</w:t>
            </w:r>
          </w:p>
        </w:tc>
        <w:tc>
          <w:tcPr>
            <w:tcW w:w="670" w:type="pct"/>
            <w:vMerge w:val="restart"/>
          </w:tcPr>
          <w:p>
            <w:pPr>
              <w:pStyle w:val="104"/>
              <w:rPr>
                <w:rFonts w:cs="Arial"/>
              </w:rPr>
            </w:pPr>
            <w:r>
              <w:rPr>
                <w:rFonts w:cs="Arial"/>
              </w:rPr>
              <w:t>Propagation Condition</w:t>
            </w:r>
          </w:p>
        </w:tc>
        <w:tc>
          <w:tcPr>
            <w:tcW w:w="484" w:type="pct"/>
            <w:vMerge w:val="restart"/>
          </w:tcPr>
          <w:p>
            <w:pPr>
              <w:pStyle w:val="104"/>
              <w:rPr>
                <w:rFonts w:cs="Arial"/>
              </w:rPr>
            </w:pPr>
            <w:r>
              <w:rPr>
                <w:rFonts w:cs="Arial"/>
              </w:rPr>
              <w:t>Number of NRS ports</w:t>
            </w:r>
          </w:p>
        </w:tc>
        <w:tc>
          <w:tcPr>
            <w:tcW w:w="615" w:type="pct"/>
            <w:gridSpan w:val="2"/>
          </w:tcPr>
          <w:p>
            <w:pPr>
              <w:pStyle w:val="104"/>
              <w:rPr>
                <w:rFonts w:cs="Arial"/>
              </w:rPr>
            </w:pPr>
            <w:r>
              <w:rPr>
                <w:rFonts w:cs="Arial"/>
              </w:rPr>
              <w:t>Reference value</w:t>
            </w:r>
          </w:p>
        </w:tc>
        <w:tc>
          <w:tcPr>
            <w:tcW w:w="520" w:type="pct"/>
            <w:vMerge w:val="restart"/>
          </w:tcPr>
          <w:p>
            <w:pPr>
              <w:pStyle w:val="104"/>
              <w:rPr>
                <w:rFonts w:cs="Arial"/>
              </w:rPr>
            </w:pPr>
            <w:r>
              <w:rPr>
                <w:rFonts w:cs="Arial"/>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461" w:type="pct"/>
            <w:vMerge w:val="continue"/>
          </w:tcPr>
          <w:p>
            <w:pPr>
              <w:pStyle w:val="104"/>
              <w:rPr>
                <w:rFonts w:cs="Arial"/>
              </w:rPr>
            </w:pPr>
          </w:p>
        </w:tc>
        <w:tc>
          <w:tcPr>
            <w:tcW w:w="671" w:type="pct"/>
            <w:vMerge w:val="continue"/>
          </w:tcPr>
          <w:p>
            <w:pPr>
              <w:pStyle w:val="104"/>
              <w:rPr>
                <w:rFonts w:cs="Arial"/>
              </w:rPr>
            </w:pPr>
          </w:p>
        </w:tc>
        <w:tc>
          <w:tcPr>
            <w:tcW w:w="579" w:type="pct"/>
            <w:vMerge w:val="continue"/>
          </w:tcPr>
          <w:p>
            <w:pPr>
              <w:pStyle w:val="104"/>
              <w:rPr>
                <w:rFonts w:cs="Arial"/>
              </w:rPr>
            </w:pPr>
          </w:p>
        </w:tc>
        <w:tc>
          <w:tcPr>
            <w:tcW w:w="425" w:type="pct"/>
            <w:vMerge w:val="continue"/>
          </w:tcPr>
          <w:p>
            <w:pPr>
              <w:pStyle w:val="104"/>
              <w:rPr>
                <w:rFonts w:cs="Arial"/>
              </w:rPr>
            </w:pPr>
          </w:p>
        </w:tc>
        <w:tc>
          <w:tcPr>
            <w:tcW w:w="575" w:type="pct"/>
            <w:vMerge w:val="continue"/>
          </w:tcPr>
          <w:p>
            <w:pPr>
              <w:pStyle w:val="104"/>
              <w:rPr>
                <w:rFonts w:cs="Arial"/>
              </w:rPr>
            </w:pPr>
          </w:p>
        </w:tc>
        <w:tc>
          <w:tcPr>
            <w:tcW w:w="670" w:type="pct"/>
            <w:vMerge w:val="continue"/>
          </w:tcPr>
          <w:p>
            <w:pPr>
              <w:pStyle w:val="104"/>
              <w:rPr>
                <w:rFonts w:cs="Arial"/>
              </w:rPr>
            </w:pPr>
          </w:p>
        </w:tc>
        <w:tc>
          <w:tcPr>
            <w:tcW w:w="484" w:type="pct"/>
            <w:vMerge w:val="continue"/>
          </w:tcPr>
          <w:p>
            <w:pPr>
              <w:pStyle w:val="104"/>
              <w:rPr>
                <w:rFonts w:cs="Arial"/>
              </w:rPr>
            </w:pPr>
          </w:p>
        </w:tc>
        <w:tc>
          <w:tcPr>
            <w:tcW w:w="299" w:type="pct"/>
          </w:tcPr>
          <w:p>
            <w:pPr>
              <w:pStyle w:val="104"/>
              <w:rPr>
                <w:rFonts w:cs="Arial"/>
              </w:rPr>
            </w:pPr>
            <w:r>
              <w:rPr>
                <w:rFonts w:cs="Arial"/>
              </w:rPr>
              <w:t>Pm-dsg (%)</w:t>
            </w:r>
          </w:p>
        </w:tc>
        <w:tc>
          <w:tcPr>
            <w:tcW w:w="316" w:type="pct"/>
          </w:tcPr>
          <w:p>
            <w:pPr>
              <w:pStyle w:val="104"/>
              <w:rPr>
                <w:rFonts w:cs="Arial"/>
              </w:rPr>
            </w:pPr>
            <w:r>
              <w:rPr>
                <w:rFonts w:cs="Arial"/>
              </w:rPr>
              <w:t>SNR (dB)</w:t>
            </w:r>
          </w:p>
        </w:tc>
        <w:tc>
          <w:tcPr>
            <w:tcW w:w="520" w:type="pct"/>
            <w:vMerge w:val="continue"/>
          </w:tcPr>
          <w:p>
            <w:pPr>
              <w:pStyle w:val="104"/>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461" w:type="pct"/>
            <w:shd w:val="clear" w:color="auto" w:fill="auto"/>
          </w:tcPr>
          <w:p>
            <w:pPr>
              <w:pStyle w:val="105"/>
              <w:rPr>
                <w:rFonts w:cs="Arial"/>
              </w:rPr>
            </w:pPr>
            <w:r>
              <w:rPr>
                <w:rFonts w:cs="Arial"/>
              </w:rPr>
              <w:t>1</w:t>
            </w:r>
          </w:p>
        </w:tc>
        <w:tc>
          <w:tcPr>
            <w:tcW w:w="671" w:type="pct"/>
            <w:shd w:val="clear" w:color="auto" w:fill="auto"/>
          </w:tcPr>
          <w:p>
            <w:pPr>
              <w:pStyle w:val="105"/>
              <w:rPr>
                <w:rFonts w:cs="Arial"/>
              </w:rPr>
            </w:pPr>
            <w:r>
              <w:rPr>
                <w:rFonts w:cs="Arial"/>
              </w:rPr>
              <w:t>Stand-alone</w:t>
            </w:r>
          </w:p>
        </w:tc>
        <w:tc>
          <w:tcPr>
            <w:tcW w:w="579" w:type="pct"/>
          </w:tcPr>
          <w:p>
            <w:pPr>
              <w:pStyle w:val="105"/>
              <w:rPr>
                <w:rFonts w:cs="Arial"/>
              </w:rPr>
            </w:pPr>
            <w:r>
              <w:rPr>
                <w:rFonts w:cs="Arial"/>
              </w:rPr>
              <w:t>128</w:t>
            </w:r>
          </w:p>
        </w:tc>
        <w:tc>
          <w:tcPr>
            <w:tcW w:w="425" w:type="pct"/>
          </w:tcPr>
          <w:p>
            <w:pPr>
              <w:pStyle w:val="105"/>
              <w:rPr>
                <w:rFonts w:cs="Arial"/>
              </w:rPr>
            </w:pPr>
            <w:r>
              <w:rPr>
                <w:rFonts w:cs="Arial"/>
              </w:rPr>
              <w:t>Anchor</w:t>
            </w:r>
          </w:p>
        </w:tc>
        <w:tc>
          <w:tcPr>
            <w:tcW w:w="575" w:type="pct"/>
            <w:shd w:val="clear" w:color="auto" w:fill="auto"/>
          </w:tcPr>
          <w:p>
            <w:pPr>
              <w:pStyle w:val="105"/>
              <w:rPr>
                <w:rFonts w:cs="Arial"/>
              </w:rPr>
            </w:pPr>
            <w:r>
              <w:rPr>
                <w:rFonts w:cs="Arial"/>
              </w:rPr>
              <w:t>R.NB.3 FDD</w:t>
            </w:r>
          </w:p>
        </w:tc>
        <w:tc>
          <w:tcPr>
            <w:tcW w:w="670" w:type="pct"/>
            <w:shd w:val="clear" w:color="auto" w:fill="auto"/>
          </w:tcPr>
          <w:p>
            <w:pPr>
              <w:pStyle w:val="105"/>
              <w:rPr>
                <w:rFonts w:cs="Arial"/>
              </w:rPr>
            </w:pPr>
            <w:r>
              <w:rPr>
                <w:rFonts w:cs="Arial"/>
              </w:rPr>
              <w:t>EPA5</w:t>
            </w:r>
          </w:p>
        </w:tc>
        <w:tc>
          <w:tcPr>
            <w:tcW w:w="484" w:type="pct"/>
            <w:shd w:val="clear" w:color="auto" w:fill="auto"/>
          </w:tcPr>
          <w:p>
            <w:pPr>
              <w:pStyle w:val="105"/>
              <w:rPr>
                <w:rFonts w:cs="Arial"/>
              </w:rPr>
            </w:pPr>
            <w:r>
              <w:rPr>
                <w:rFonts w:cs="Arial"/>
              </w:rPr>
              <w:t>1</w:t>
            </w:r>
          </w:p>
        </w:tc>
        <w:tc>
          <w:tcPr>
            <w:tcW w:w="299" w:type="pct"/>
          </w:tcPr>
          <w:p>
            <w:pPr>
              <w:pStyle w:val="105"/>
              <w:rPr>
                <w:rFonts w:cs="Arial"/>
              </w:rPr>
            </w:pPr>
            <w:r>
              <w:rPr>
                <w:rFonts w:cs="Arial"/>
              </w:rPr>
              <w:t>1</w:t>
            </w:r>
          </w:p>
        </w:tc>
        <w:tc>
          <w:tcPr>
            <w:tcW w:w="316" w:type="pct"/>
          </w:tcPr>
          <w:p>
            <w:pPr>
              <w:pStyle w:val="105"/>
              <w:rPr>
                <w:rFonts w:cs="Arial"/>
              </w:rPr>
            </w:pPr>
            <w:r>
              <w:rPr>
                <w:rFonts w:cs="Arial"/>
              </w:rPr>
              <w:t>-4.9</w:t>
            </w:r>
          </w:p>
        </w:tc>
        <w:tc>
          <w:tcPr>
            <w:tcW w:w="520" w:type="pct"/>
          </w:tcPr>
          <w:p>
            <w:pPr>
              <w:pStyle w:val="105"/>
              <w:rPr>
                <w:rFonts w:cs="Arial"/>
              </w:rPr>
            </w:pPr>
            <w:r>
              <w:rPr>
                <w:rFonts w:cs="Arial"/>
              </w:rPr>
              <w:t>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461" w:type="pct"/>
            <w:shd w:val="clear" w:color="auto" w:fill="auto"/>
          </w:tcPr>
          <w:p>
            <w:pPr>
              <w:pStyle w:val="105"/>
              <w:rPr>
                <w:rFonts w:cs="Arial"/>
              </w:rPr>
            </w:pPr>
            <w:r>
              <w:rPr>
                <w:rFonts w:cs="Arial"/>
              </w:rPr>
              <w:t>2 (Note 1)</w:t>
            </w:r>
          </w:p>
        </w:tc>
        <w:tc>
          <w:tcPr>
            <w:tcW w:w="671" w:type="pct"/>
            <w:shd w:val="clear" w:color="auto" w:fill="auto"/>
          </w:tcPr>
          <w:p>
            <w:pPr>
              <w:pStyle w:val="105"/>
              <w:rPr>
                <w:rFonts w:cs="Arial"/>
              </w:rPr>
            </w:pPr>
            <w:r>
              <w:rPr>
                <w:rFonts w:cs="Arial"/>
              </w:rPr>
              <w:t>Stand-alone</w:t>
            </w:r>
          </w:p>
        </w:tc>
        <w:tc>
          <w:tcPr>
            <w:tcW w:w="579" w:type="pct"/>
          </w:tcPr>
          <w:p>
            <w:pPr>
              <w:pStyle w:val="105"/>
              <w:rPr>
                <w:rFonts w:cs="Arial"/>
              </w:rPr>
            </w:pPr>
            <w:r>
              <w:rPr>
                <w:rFonts w:cs="Arial"/>
              </w:rPr>
              <w:t>1024</w:t>
            </w:r>
          </w:p>
        </w:tc>
        <w:tc>
          <w:tcPr>
            <w:tcW w:w="425" w:type="pct"/>
          </w:tcPr>
          <w:p>
            <w:pPr>
              <w:pStyle w:val="105"/>
              <w:rPr>
                <w:rFonts w:cs="Arial"/>
              </w:rPr>
            </w:pPr>
            <w:r>
              <w:rPr>
                <w:rFonts w:cs="Arial"/>
              </w:rPr>
              <w:t>Non-anchor</w:t>
            </w:r>
          </w:p>
        </w:tc>
        <w:tc>
          <w:tcPr>
            <w:tcW w:w="575" w:type="pct"/>
            <w:shd w:val="clear" w:color="auto" w:fill="auto"/>
          </w:tcPr>
          <w:p>
            <w:pPr>
              <w:pStyle w:val="105"/>
              <w:rPr>
                <w:rFonts w:cs="Arial"/>
              </w:rPr>
            </w:pPr>
            <w:r>
              <w:rPr>
                <w:rFonts w:cs="Arial"/>
              </w:rPr>
              <w:t>R.NB.3 FDD</w:t>
            </w:r>
          </w:p>
        </w:tc>
        <w:tc>
          <w:tcPr>
            <w:tcW w:w="670" w:type="pct"/>
            <w:shd w:val="clear" w:color="auto" w:fill="auto"/>
          </w:tcPr>
          <w:p>
            <w:pPr>
              <w:pStyle w:val="105"/>
              <w:rPr>
                <w:rFonts w:cs="Arial"/>
              </w:rPr>
            </w:pPr>
            <w:r>
              <w:rPr>
                <w:rFonts w:cs="Arial"/>
              </w:rPr>
              <w:t>ETU1</w:t>
            </w:r>
          </w:p>
        </w:tc>
        <w:tc>
          <w:tcPr>
            <w:tcW w:w="484" w:type="pct"/>
            <w:shd w:val="clear" w:color="auto" w:fill="auto"/>
          </w:tcPr>
          <w:p>
            <w:pPr>
              <w:pStyle w:val="105"/>
              <w:rPr>
                <w:rFonts w:cs="Arial"/>
              </w:rPr>
            </w:pPr>
            <w:r>
              <w:rPr>
                <w:rFonts w:cs="Arial"/>
              </w:rPr>
              <w:t>1</w:t>
            </w:r>
          </w:p>
        </w:tc>
        <w:tc>
          <w:tcPr>
            <w:tcW w:w="299" w:type="pct"/>
          </w:tcPr>
          <w:p>
            <w:pPr>
              <w:pStyle w:val="105"/>
              <w:rPr>
                <w:rFonts w:cs="Arial"/>
              </w:rPr>
            </w:pPr>
            <w:r>
              <w:rPr>
                <w:rFonts w:cs="Arial"/>
              </w:rPr>
              <w:t>1</w:t>
            </w:r>
          </w:p>
        </w:tc>
        <w:tc>
          <w:tcPr>
            <w:tcW w:w="316" w:type="pct"/>
          </w:tcPr>
          <w:p>
            <w:pPr>
              <w:pStyle w:val="105"/>
              <w:rPr>
                <w:rFonts w:cs="Arial"/>
              </w:rPr>
            </w:pPr>
            <w:r>
              <w:rPr>
                <w:rFonts w:cs="Arial"/>
              </w:rPr>
              <w:t>-11.4</w:t>
            </w:r>
          </w:p>
        </w:tc>
        <w:tc>
          <w:tcPr>
            <w:tcW w:w="520" w:type="pct"/>
          </w:tcPr>
          <w:p>
            <w:pPr>
              <w:pStyle w:val="105"/>
              <w:rPr>
                <w:rFonts w:cs="Arial"/>
              </w:rPr>
            </w:pPr>
            <w:r>
              <w:rPr>
                <w:rFonts w:cs="Arial"/>
              </w:rPr>
              <w:t>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5000" w:type="pct"/>
            <w:gridSpan w:val="10"/>
            <w:shd w:val="clear" w:color="auto" w:fill="auto"/>
          </w:tcPr>
          <w:p>
            <w:pPr>
              <w:pStyle w:val="118"/>
              <w:jc w:val="both"/>
            </w:pPr>
            <w:r>
              <w:t>Note 1:</w:t>
            </w:r>
            <w:r>
              <w:tab/>
            </w:r>
            <w:r>
              <w:t>Applicable to UE supporting Non-Anchor mode of operation.</w:t>
            </w:r>
          </w:p>
        </w:tc>
      </w:tr>
    </w:tbl>
    <w:p/>
    <w:p>
      <w:pPr>
        <w:rPr>
          <w:lang w:eastAsia="zh-TW"/>
        </w:rPr>
      </w:pPr>
      <w:r>
        <w:t>The normative reference for this requirement is TS 36.101 [2] clause 8.12.2.1.1</w:t>
      </w:r>
      <w:r>
        <w:rPr>
          <w:lang w:eastAsia="zh-TW"/>
        </w:rPr>
        <w:t>.</w:t>
      </w:r>
    </w:p>
    <w:p>
      <w:pPr>
        <w:pStyle w:val="9"/>
        <w:rPr>
          <w:snapToGrid w:val="0"/>
          <w:kern w:val="2"/>
        </w:rPr>
      </w:pPr>
      <w:r>
        <w:rPr>
          <w:snapToGrid w:val="0"/>
          <w:kern w:val="2"/>
        </w:rPr>
        <w:t>8.3.1.2.1.4</w:t>
      </w:r>
      <w:r>
        <w:rPr>
          <w:snapToGrid w:val="0"/>
          <w:kern w:val="2"/>
        </w:rPr>
        <w:tab/>
      </w:r>
      <w:r>
        <w:rPr>
          <w:snapToGrid w:val="0"/>
          <w:kern w:val="2"/>
        </w:rPr>
        <w:t>Test description</w:t>
      </w:r>
    </w:p>
    <w:p>
      <w:pPr>
        <w:pStyle w:val="9"/>
        <w:rPr>
          <w:snapToGrid w:val="0"/>
          <w:kern w:val="2"/>
        </w:rPr>
      </w:pPr>
      <w:r>
        <w:rPr>
          <w:snapToGrid w:val="0"/>
          <w:kern w:val="2"/>
        </w:rPr>
        <w:t>8.3.1.2.1.4.1</w:t>
      </w:r>
      <w:r>
        <w:rPr>
          <w:snapToGrid w:val="0"/>
          <w:kern w:val="2"/>
        </w:rPr>
        <w:tab/>
      </w:r>
      <w:r>
        <w:rPr>
          <w:snapToGrid w:val="0"/>
          <w:kern w:val="2"/>
          <w:lang w:eastAsia="zh-CN"/>
        </w:rPr>
        <w:t>Initial conditions</w:t>
      </w:r>
    </w:p>
    <w:p>
      <w:r>
        <w:t>Initial conditions are a set of test configurations the UE needs to be tested in and the steps for the SS to take with the UE to reach the correct measurement state.</w:t>
      </w:r>
    </w:p>
    <w:p>
      <w:r>
        <w:t>Configurations of NPDSCH and NPDCCH before measurement are specified in Annex C.2.</w:t>
      </w:r>
    </w:p>
    <w:p>
      <w:r>
        <w:t>Test Environment: Normal, as defined in TS 36.508 [7] clause 4.1.</w:t>
      </w:r>
    </w:p>
    <w:p>
      <w:r>
        <w:t>Operation mode: Standalone.</w:t>
      </w:r>
    </w:p>
    <w:p>
      <w:pPr>
        <w:rPr>
          <w:lang w:eastAsia="zh-TW"/>
        </w:rPr>
      </w:pPr>
      <w:r>
        <w:t>Frequencies to be tested: K.2.1.</w:t>
      </w:r>
    </w:p>
    <w:p>
      <w:pPr>
        <w:rPr>
          <w:lang w:eastAsia="zh-TW"/>
        </w:rPr>
      </w:pPr>
      <w:r>
        <w:rPr>
          <w:lang w:eastAsia="zh-TW"/>
        </w:rPr>
        <w:t xml:space="preserve">Channel </w:t>
      </w:r>
      <w:r>
        <w:t xml:space="preserve">Bandwidths to be tested: </w:t>
      </w:r>
      <w:r>
        <w:rPr>
          <w:lang w:eastAsia="zh-TW"/>
        </w:rPr>
        <w:t>A</w:t>
      </w:r>
      <w:r>
        <w:t>s</w:t>
      </w:r>
      <w:r>
        <w:rPr>
          <w:lang w:eastAsia="zh-TW"/>
        </w:rPr>
        <w:t xml:space="preserve"> specified per test number in Table 8.3.1.2.1.3-1.</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the faders and AWGN noise sources to the UE antenna connectors as shown in TS 36.508 [7] Annex A, Figure A.9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Tables 8.3.1.2-1 and 8.3.1.2.1.3-1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Annex C.3.2 and uplink signals according to Annex H.0.1, H.1.1, H.2.1 and Annex H.4.2.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rPr>
        <w:t>5</w:t>
      </w:r>
      <w:r>
        <w:rPr>
          <w:rFonts w:eastAsia="Malgun Gothic"/>
        </w:rPr>
        <w:t>.</w:t>
      </w:r>
      <w:r>
        <w:rPr>
          <w:rFonts w:eastAsia="Malgun Gothic"/>
        </w:rPr>
        <w:tab/>
      </w:r>
      <w:r>
        <w:rPr>
          <w:rFonts w:eastAsia="Malgun Gothic"/>
          <w:lang w:eastAsia="en-GB"/>
        </w:rPr>
        <w:t>UE location according to TS 36.508 [12] clause 8.2.6.1 is provided to the UE by any preconfigured means.</w:t>
      </w:r>
    </w:p>
    <w:p>
      <w:pPr>
        <w:pStyle w:val="111"/>
        <w:overflowPunct w:val="0"/>
        <w:autoSpaceDE w:val="0"/>
        <w:autoSpaceDN w:val="0"/>
        <w:adjustRightInd w:val="0"/>
        <w:contextualSpacing w:val="0"/>
        <w:textAlignment w:val="baseline"/>
        <w:rPr>
          <w:rFonts w:eastAsia="Malgun Gothic"/>
          <w:lang w:val="en-US" w:eastAsia="en-GB"/>
        </w:rPr>
      </w:pPr>
      <w:r>
        <w:rPr>
          <w:rFonts w:hint="eastAsia" w:eastAsia="Malgun Gothic"/>
          <w:lang w:eastAsia="en-GB"/>
        </w:rPr>
        <w:t>6</w:t>
      </w:r>
      <w:r>
        <w:rPr>
          <w:rFonts w:eastAsia="Malgun Gothic"/>
          <w:lang w:eastAsia="en-GB"/>
        </w:rPr>
        <w:t>.</w:t>
      </w:r>
      <w:r>
        <w:rPr>
          <w:rFonts w:eastAsia="Malgun Gothic"/>
          <w:lang w:eastAsia="en-GB"/>
        </w:rPr>
        <w:tab/>
      </w:r>
      <w:r>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pPr>
        <w:pStyle w:val="111"/>
        <w:overflowPunct w:val="0"/>
        <w:autoSpaceDE w:val="0"/>
        <w:autoSpaceDN w:val="0"/>
        <w:adjustRightInd w:val="0"/>
        <w:contextualSpacing w:val="0"/>
        <w:textAlignment w:val="baseline"/>
        <w:rPr>
          <w:rFonts w:eastAsia="Malgun Gothic"/>
        </w:rPr>
      </w:pPr>
      <w:r>
        <w:rPr>
          <w:rFonts w:hint="eastAsia" w:eastAsia="Malgun Gothic"/>
          <w:lang w:val="en-US" w:eastAsia="en-GB"/>
        </w:rPr>
        <w:t>7</w:t>
      </w:r>
      <w:r>
        <w:rPr>
          <w:rFonts w:eastAsia="Malgun Gothic"/>
          <w:lang w:val="en-US" w:eastAsia="en-GB"/>
        </w:rPr>
        <w:t>.</w:t>
      </w:r>
      <w:r>
        <w:rPr>
          <w:rFonts w:eastAsia="Malgun Gothic"/>
          <w:lang w:val="en-US" w:eastAsia="en-GB"/>
        </w:rPr>
        <w:tab/>
      </w:r>
      <w:r>
        <w:rPr>
          <w:lang w:eastAsia="zh-CN"/>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rPr>
          <w:rFonts w:eastAsia="Malgun Gothic"/>
        </w:rPr>
        <w:t>Ensure the UE is in State 2A-NB with CP CIoT Optimisation according to TS 36.508 [7] clause 8.1.5. Message contents are defined in clause 8.3.1.2.1.4.3.</w:t>
      </w:r>
    </w:p>
    <w:p>
      <w:pPr>
        <w:pStyle w:val="9"/>
      </w:pPr>
      <w:r>
        <w:rPr>
          <w:snapToGrid w:val="0"/>
          <w:kern w:val="2"/>
        </w:rPr>
        <w:t>8.3.1.2.1.</w:t>
      </w:r>
      <w:r>
        <w:rPr>
          <w:snapToGrid w:val="0"/>
          <w:kern w:val="2"/>
          <w:lang w:eastAsia="zh-TW"/>
        </w:rPr>
        <w:t>4.</w:t>
      </w:r>
      <w:r>
        <w:t>2</w:t>
      </w:r>
      <w:r>
        <w:tab/>
      </w:r>
      <w:r>
        <w:t>Test procedure</w:t>
      </w:r>
    </w:p>
    <w:p>
      <w:pPr>
        <w:pStyle w:val="111"/>
        <w:rPr>
          <w:rStyle w:val="176"/>
        </w:rPr>
      </w:pPr>
      <w:r>
        <w:rPr>
          <w:rStyle w:val="176"/>
        </w:rPr>
        <w:t>1.</w:t>
      </w:r>
      <w:r>
        <w:rPr>
          <w:rStyle w:val="176"/>
        </w:rPr>
        <w:tab/>
      </w:r>
      <w:r>
        <w:rPr>
          <w:rStyle w:val="176"/>
        </w:rPr>
        <w:t>SS transmits NPDSCH via NPDCCH DCI format N1 for C_RNTI to transmit the DL RMC according to Tables 8.3.1.2-1, 8.3.1.2-2 and 8.3.1.2.1.3-1. The details of NPDCCH are specified in TS36.521-2 Table A.3.13.1. The SS sends downlink MAC padding bits on the DL RMC.</w:t>
      </w:r>
    </w:p>
    <w:p>
      <w:pPr>
        <w:pStyle w:val="111"/>
        <w:rPr>
          <w:rStyle w:val="176"/>
        </w:rPr>
      </w:pPr>
      <w:r>
        <w:rPr>
          <w:rStyle w:val="176"/>
        </w:rPr>
        <w:t>2.</w:t>
      </w:r>
      <w:r>
        <w:rPr>
          <w:rStyle w:val="176"/>
        </w:rPr>
        <w:tab/>
      </w:r>
      <w:r>
        <w:rPr>
          <w:rStyle w:val="176"/>
        </w:rPr>
        <w:t>Set the parameters of the bandwidth, MCS, reference channel, the propagation condition and the SNR according to Tables 8.3.1.2.1.5-1 as appropriate.</w:t>
      </w:r>
    </w:p>
    <w:p>
      <w:pPr>
        <w:ind w:left="568" w:hanging="284"/>
        <w:rPr>
          <w:rStyle w:val="176"/>
        </w:rPr>
      </w:pPr>
      <w:r>
        <w:rPr>
          <w:rStyle w:val="176"/>
        </w:rPr>
        <w:t>3.</w:t>
      </w:r>
      <w:r>
        <w:rPr>
          <w:rStyle w:val="176"/>
        </w:rPr>
        <w:tab/>
      </w:r>
      <w:r>
        <w:rPr>
          <w:rStyle w:val="176"/>
        </w:rPr>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p>
    <w:p>
      <w:pPr>
        <w:ind w:left="568" w:hanging="284"/>
        <w:rPr>
          <w:rStyle w:val="176"/>
        </w:rPr>
      </w:pPr>
      <w:r>
        <w:rPr>
          <w:rStyle w:val="176"/>
        </w:rPr>
        <w:t>4.</w:t>
      </w:r>
      <w:r>
        <w:rPr>
          <w:rStyle w:val="176"/>
        </w:rPr>
        <w:tab/>
      </w:r>
      <w:r>
        <w:rPr>
          <w:rStyle w:val="176"/>
        </w:rPr>
        <w:t>SS release the connection through State 3A-NB and finally ensure the UE is in State 2A-NB with CP CIoT Optimisation according to TS 36.508 [7] clause 8.1.5. Configure the Non-anchor carrier according to table 8.3.1.2.1.4.3-1.</w:t>
      </w:r>
    </w:p>
    <w:p>
      <w:pPr>
        <w:pStyle w:val="111"/>
        <w:rPr>
          <w:rStyle w:val="176"/>
        </w:rPr>
      </w:pPr>
      <w:r>
        <w:rPr>
          <w:rStyle w:val="176"/>
        </w:rPr>
        <w:t>5.</w:t>
      </w:r>
      <w:r>
        <w:rPr>
          <w:rStyle w:val="176"/>
        </w:rPr>
        <w:tab/>
      </w:r>
      <w:r>
        <w:rPr>
          <w:rStyle w:val="176"/>
        </w:rPr>
        <w:t>Repeat steps from 1 to 3 for subtest 2 in Table 8.3.1.2.1.5-1 as appropriate.</w:t>
      </w:r>
    </w:p>
    <w:p>
      <w:pPr>
        <w:pStyle w:val="9"/>
      </w:pPr>
      <w:r>
        <w:rPr>
          <w:snapToGrid w:val="0"/>
          <w:kern w:val="2"/>
        </w:rPr>
        <w:t>8.3.1.2.1.</w:t>
      </w:r>
      <w:r>
        <w:rPr>
          <w:snapToGrid w:val="0"/>
          <w:kern w:val="2"/>
          <w:lang w:eastAsia="zh-TW"/>
        </w:rPr>
        <w:t>4.</w:t>
      </w:r>
      <w:r>
        <w:rPr>
          <w:lang w:eastAsia="zh-TW"/>
        </w:rPr>
        <w:t>3</w:t>
      </w:r>
      <w:r>
        <w:tab/>
      </w:r>
      <w:r>
        <w:t>Message contents</w:t>
      </w:r>
    </w:p>
    <w:p>
      <w:r>
        <w:t>Message contents are according to TS 36.508 [7] subclause 8.1.5B and 8.1.6 with the following exceptions:</w:t>
      </w:r>
    </w:p>
    <w:p>
      <w:pPr>
        <w:pStyle w:val="113"/>
      </w:pPr>
      <w:r>
        <w:t xml:space="preserve">Table 8.3.1.2.1.4.3-1: Configure Non-anchor carrier in subtest 2 </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03"/>
              <w:keepNext w:val="0"/>
              <w:keepLines w:val="0"/>
            </w:pPr>
            <w:r>
              <w:t>Derivation Path: 36.508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shd w:val="clear" w:color="auto" w:fill="auto"/>
          </w:tcPr>
          <w:p>
            <w:pPr>
              <w:pStyle w:val="103"/>
              <w:keepNext w:val="0"/>
              <w:keepLines w:val="0"/>
            </w:pPr>
            <w:r>
              <w:t>PhysicalConfigDedicated-NB-DEFAULT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carrierConfigDedicated-NB-r13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r>
              <w:t>Non-anchor carrier</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dl-CarrierConfig-r13::=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dl-CarrierFreq-r13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downlinkBitmapNonAnchor-r13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dl-GapNonAnchor-r13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ul-CarrierConfig-r13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ul-CarrierFreq-r13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npdcch-ConfigDedicated-r13</w:t>
            </w:r>
          </w:p>
        </w:tc>
        <w:tc>
          <w:tcPr>
            <w:tcW w:w="2267" w:type="dxa"/>
            <w:shd w:val="clear" w:color="auto" w:fill="auto"/>
          </w:tcPr>
          <w:p>
            <w:pPr>
              <w:pStyle w:val="103"/>
              <w:keepNext w:val="0"/>
              <w:keepLines w:val="0"/>
            </w:pPr>
            <w:r>
              <w:t>NPDCCH-ConfigDedicated-NB-DEFAULT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npusch-ConfigDedicated-r13</w:t>
            </w:r>
          </w:p>
        </w:tc>
        <w:tc>
          <w:tcPr>
            <w:tcW w:w="2267" w:type="dxa"/>
            <w:tcBorders>
              <w:bottom w:val="single" w:color="000000" w:sz="4" w:space="0"/>
            </w:tcBorders>
            <w:shd w:val="clear" w:color="auto" w:fill="auto"/>
          </w:tcPr>
          <w:p>
            <w:pPr>
              <w:pStyle w:val="103"/>
              <w:keepNext w:val="0"/>
              <w:keepLines w:val="0"/>
            </w:pPr>
            <w:r>
              <w:t>NPUSCH-ConfigDedicated-NB-DEFAULT</w:t>
            </w:r>
          </w:p>
        </w:tc>
        <w:tc>
          <w:tcPr>
            <w:tcW w:w="1811" w:type="dxa"/>
            <w:tcBorders>
              <w:bottom w:val="single" w:color="000000" w:sz="4" w:space="0"/>
            </w:tcBorders>
            <w:shd w:val="clear" w:color="auto" w:fill="auto"/>
          </w:tcPr>
          <w:p>
            <w:pPr>
              <w:pStyle w:val="103"/>
              <w:keepNext w:val="0"/>
              <w:keepLines w:val="0"/>
            </w:pPr>
            <w:r>
              <w:t>See subclause 8.1.6.3 in 36.508</w:t>
            </w:r>
          </w:p>
        </w:tc>
        <w:tc>
          <w:tcPr>
            <w:tcW w:w="1134" w:type="dxa"/>
            <w:tcBorders>
              <w:bottom w:val="single" w:color="000000"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uplinkPowerControlDedicated-r13</w:t>
            </w:r>
          </w:p>
        </w:tc>
        <w:tc>
          <w:tcPr>
            <w:tcW w:w="2267" w:type="dxa"/>
            <w:shd w:val="clear" w:color="auto" w:fill="auto"/>
          </w:tcPr>
          <w:p>
            <w:pPr>
              <w:pStyle w:val="103"/>
              <w:keepNext w:val="0"/>
              <w:keepLines w:val="0"/>
            </w:pPr>
            <w:r>
              <w:t>UplinkPowerControlDedicated-NB-DEFAULT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18"/>
              <w:keepNext w:val="0"/>
              <w:keepLines w:val="0"/>
            </w:pPr>
            <w:r>
              <w:t>Note 1: The frequency of Non-anchor carrier is located at 200KHz higher from the centre of the anchor carrier.</w:t>
            </w:r>
          </w:p>
        </w:tc>
      </w:tr>
    </w:tbl>
    <w:p/>
    <w:p>
      <w:pPr>
        <w:pStyle w:val="113"/>
      </w:pPr>
      <w:r>
        <w:t>Table 8.3.1.2.1.4.3-2: NPDCCH-ConfigDedicated-NB-DEFAULT</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03"/>
              <w:keepNext w:val="0"/>
              <w:keepLines w:val="0"/>
            </w:pPr>
            <w:r>
              <w:t>Derivation Path: 36.508 Table 8.1.6.3-3 NPDCCH-ConfigDedicated-NB-DEFAULT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shd w:val="clear" w:color="auto" w:fill="auto"/>
          </w:tcPr>
          <w:p>
            <w:pPr>
              <w:pStyle w:val="103"/>
              <w:keepNext w:val="0"/>
              <w:keepLines w:val="0"/>
            </w:pPr>
            <w:r>
              <w:t>NPDCCH-ConfigDedicated-NB-DEFAULT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npdcch-NumRepetitions-r13</w:t>
            </w:r>
          </w:p>
        </w:tc>
        <w:tc>
          <w:tcPr>
            <w:tcW w:w="2267" w:type="dxa"/>
            <w:shd w:val="clear" w:color="auto" w:fill="auto"/>
          </w:tcPr>
          <w:p>
            <w:pPr>
              <w:pStyle w:val="103"/>
              <w:keepNext w:val="0"/>
              <w:keepLines w:val="0"/>
            </w:pPr>
            <w:r>
              <w:t>R128 for Test 1; r1024 for Test 2.</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npdcch-StartSF-USS-r13</w:t>
            </w:r>
          </w:p>
        </w:tc>
        <w:tc>
          <w:tcPr>
            <w:tcW w:w="2267" w:type="dxa"/>
            <w:shd w:val="clear" w:color="auto" w:fill="auto"/>
          </w:tcPr>
          <w:p>
            <w:pPr>
              <w:pStyle w:val="103"/>
              <w:keepNext w:val="0"/>
              <w:keepLines w:val="0"/>
            </w:pPr>
            <w:r>
              <w:t>V2 for Test 1; V1.5 for Test 2.</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bottom w:val="single" w:color="auto" w:sz="4" w:space="0"/>
            </w:tcBorders>
            <w:shd w:val="clear" w:color="auto" w:fill="auto"/>
          </w:tcPr>
          <w:p>
            <w:pPr>
              <w:pStyle w:val="103"/>
              <w:keepNext w:val="0"/>
              <w:keepLines w:val="0"/>
            </w:pPr>
            <w:r>
              <w:t xml:space="preserve">  npdcch-Offset-USS-r13</w:t>
            </w:r>
          </w:p>
        </w:tc>
        <w:tc>
          <w:tcPr>
            <w:tcW w:w="2267" w:type="dxa"/>
            <w:tcBorders>
              <w:bottom w:val="single" w:color="auto" w:sz="4" w:space="0"/>
            </w:tcBorders>
            <w:shd w:val="clear" w:color="auto" w:fill="auto"/>
          </w:tcPr>
          <w:p>
            <w:pPr>
              <w:pStyle w:val="103"/>
              <w:keepNext w:val="0"/>
              <w:keepLines w:val="0"/>
            </w:pPr>
            <w:r>
              <w:t>zero</w:t>
            </w:r>
          </w:p>
        </w:tc>
        <w:tc>
          <w:tcPr>
            <w:tcW w:w="1811" w:type="dxa"/>
            <w:tcBorders>
              <w:bottom w:val="single" w:color="auto" w:sz="4" w:space="0"/>
            </w:tcBorders>
            <w:shd w:val="clear" w:color="auto" w:fill="auto"/>
          </w:tcPr>
          <w:p>
            <w:pPr>
              <w:pStyle w:val="103"/>
              <w:keepNext w:val="0"/>
              <w:keepLines w:val="0"/>
            </w:pPr>
          </w:p>
        </w:tc>
        <w:tc>
          <w:tcPr>
            <w:tcW w:w="1134" w:type="dxa"/>
            <w:tcBorders>
              <w:bottom w:val="single" w:color="auto"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r>
    </w:tbl>
    <w:p>
      <w:pPr>
        <w:rPr>
          <w:lang w:eastAsia="zh-TW"/>
        </w:rPr>
      </w:pPr>
    </w:p>
    <w:p>
      <w:pPr>
        <w:pStyle w:val="9"/>
        <w:rPr>
          <w:snapToGrid w:val="0"/>
          <w:kern w:val="2"/>
        </w:rPr>
      </w:pPr>
      <w:r>
        <w:rPr>
          <w:snapToGrid w:val="0"/>
          <w:kern w:val="2"/>
        </w:rPr>
        <w:t>8.3.1.2.1.5</w:t>
      </w:r>
      <w:r>
        <w:rPr>
          <w:snapToGrid w:val="0"/>
          <w:kern w:val="2"/>
        </w:rPr>
        <w:tab/>
      </w:r>
      <w:r>
        <w:rPr>
          <w:snapToGrid w:val="0"/>
          <w:kern w:val="2"/>
        </w:rPr>
        <w:t>Test requirement</w:t>
      </w:r>
    </w:p>
    <w:p>
      <w:pPr>
        <w:rPr>
          <w:rFonts w:cs="v5.0.0"/>
        </w:rPr>
      </w:pPr>
      <w:r>
        <w:rPr>
          <w:rFonts w:cs="v5.0.0"/>
        </w:rPr>
        <w:t>For the parameters specified in Tables 8.3.1.2-1 and 8.3.1.2.1.3-1 the average probability of a missed downlink scheduling grant (Pm-dsg) shall be below the specified value in Table 8.3.1.2.1.5-1.</w:t>
      </w:r>
    </w:p>
    <w:p>
      <w:pPr>
        <w:pStyle w:val="113"/>
      </w:pPr>
      <w:r>
        <w:t>Table 8.3.1.2.1.</w:t>
      </w:r>
      <w:r>
        <w:rPr>
          <w:lang w:eastAsia="zh-TW"/>
        </w:rPr>
        <w:t>5</w:t>
      </w:r>
      <w:r>
        <w:t>-</w:t>
      </w:r>
      <w:r>
        <w:rPr>
          <w:lang w:eastAsia="zh-TW"/>
        </w:rPr>
        <w:t>1</w:t>
      </w:r>
      <w:r>
        <w:t>: Test Parameters for NPDCCH performance</w:t>
      </w:r>
    </w:p>
    <w:tbl>
      <w:tblPr>
        <w:tblStyle w:val="89"/>
        <w:tblW w:w="98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1"/>
        <w:gridCol w:w="1283"/>
        <w:gridCol w:w="1096"/>
        <w:gridCol w:w="1170"/>
        <w:gridCol w:w="1170"/>
        <w:gridCol w:w="1280"/>
        <w:gridCol w:w="1134"/>
        <w:gridCol w:w="993"/>
        <w:gridCol w:w="8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921" w:type="dxa"/>
            <w:vMerge w:val="restart"/>
          </w:tcPr>
          <w:p>
            <w:pPr>
              <w:pStyle w:val="104"/>
            </w:pPr>
            <w:r>
              <w:t>Test number</w:t>
            </w:r>
          </w:p>
        </w:tc>
        <w:tc>
          <w:tcPr>
            <w:tcW w:w="1283" w:type="dxa"/>
            <w:vMerge w:val="restart"/>
          </w:tcPr>
          <w:p>
            <w:pPr>
              <w:pStyle w:val="104"/>
            </w:pPr>
            <w:r>
              <w:t xml:space="preserve">Deployment mode </w:t>
            </w:r>
          </w:p>
        </w:tc>
        <w:tc>
          <w:tcPr>
            <w:tcW w:w="1096" w:type="dxa"/>
            <w:vMerge w:val="restart"/>
          </w:tcPr>
          <w:p>
            <w:pPr>
              <w:pStyle w:val="104"/>
            </w:pPr>
            <w:r>
              <w:t>Repetition number</w:t>
            </w:r>
          </w:p>
          <w:p>
            <w:pPr>
              <w:pStyle w:val="104"/>
            </w:pPr>
            <w:r>
              <w:t>(R</w:t>
            </w:r>
            <w:r>
              <w:rPr>
                <w:vertAlign w:val="subscript"/>
              </w:rPr>
              <w:t>max</w:t>
            </w:r>
            <w:r>
              <w:t>)</w:t>
            </w:r>
          </w:p>
        </w:tc>
        <w:tc>
          <w:tcPr>
            <w:tcW w:w="1170" w:type="dxa"/>
            <w:vMerge w:val="restart"/>
          </w:tcPr>
          <w:p>
            <w:pPr>
              <w:pStyle w:val="104"/>
            </w:pPr>
            <w:r>
              <w:t>Operated carrier</w:t>
            </w:r>
          </w:p>
        </w:tc>
        <w:tc>
          <w:tcPr>
            <w:tcW w:w="1170" w:type="dxa"/>
            <w:vMerge w:val="restart"/>
          </w:tcPr>
          <w:p>
            <w:pPr>
              <w:pStyle w:val="104"/>
            </w:pPr>
            <w:r>
              <w:t>Reference Channel</w:t>
            </w:r>
          </w:p>
        </w:tc>
        <w:tc>
          <w:tcPr>
            <w:tcW w:w="1280" w:type="dxa"/>
            <w:vMerge w:val="restart"/>
          </w:tcPr>
          <w:p>
            <w:pPr>
              <w:pStyle w:val="104"/>
            </w:pPr>
            <w:r>
              <w:t>Propagation Condition</w:t>
            </w:r>
          </w:p>
        </w:tc>
        <w:tc>
          <w:tcPr>
            <w:tcW w:w="1134" w:type="dxa"/>
            <w:vMerge w:val="restart"/>
          </w:tcPr>
          <w:p>
            <w:pPr>
              <w:pStyle w:val="104"/>
            </w:pPr>
            <w:r>
              <w:t>Number of NRS ports</w:t>
            </w:r>
          </w:p>
        </w:tc>
        <w:tc>
          <w:tcPr>
            <w:tcW w:w="1816" w:type="dxa"/>
            <w:gridSpan w:val="2"/>
          </w:tcPr>
          <w:p>
            <w:pPr>
              <w:pStyle w:val="104"/>
            </w:pPr>
            <w:r>
              <w:t>Reference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921" w:type="dxa"/>
            <w:vMerge w:val="continue"/>
          </w:tcPr>
          <w:p>
            <w:pPr>
              <w:keepNext/>
              <w:keepLines/>
              <w:spacing w:after="0"/>
              <w:jc w:val="center"/>
              <w:rPr>
                <w:rFonts w:ascii="Arial" w:hAnsi="Arial" w:cs="Arial"/>
                <w:b/>
                <w:sz w:val="18"/>
              </w:rPr>
            </w:pPr>
          </w:p>
        </w:tc>
        <w:tc>
          <w:tcPr>
            <w:tcW w:w="1283" w:type="dxa"/>
            <w:vMerge w:val="continue"/>
          </w:tcPr>
          <w:p>
            <w:pPr>
              <w:keepNext/>
              <w:keepLines/>
              <w:spacing w:after="0"/>
              <w:jc w:val="center"/>
              <w:rPr>
                <w:rFonts w:ascii="Arial" w:hAnsi="Arial" w:cs="Arial"/>
                <w:b/>
                <w:sz w:val="18"/>
              </w:rPr>
            </w:pPr>
          </w:p>
        </w:tc>
        <w:tc>
          <w:tcPr>
            <w:tcW w:w="1096" w:type="dxa"/>
            <w:vMerge w:val="continue"/>
          </w:tcPr>
          <w:p>
            <w:pPr>
              <w:keepNext/>
              <w:keepLines/>
              <w:spacing w:after="0"/>
              <w:jc w:val="center"/>
              <w:rPr>
                <w:rFonts w:ascii="Arial" w:hAnsi="Arial" w:cs="Arial"/>
                <w:b/>
                <w:sz w:val="18"/>
              </w:rPr>
            </w:pPr>
          </w:p>
        </w:tc>
        <w:tc>
          <w:tcPr>
            <w:tcW w:w="1170" w:type="dxa"/>
            <w:vMerge w:val="continue"/>
          </w:tcPr>
          <w:p>
            <w:pPr>
              <w:keepNext/>
              <w:keepLines/>
              <w:spacing w:after="0"/>
              <w:jc w:val="center"/>
              <w:rPr>
                <w:rFonts w:ascii="Arial" w:hAnsi="Arial" w:cs="Arial"/>
                <w:b/>
                <w:sz w:val="18"/>
              </w:rPr>
            </w:pPr>
          </w:p>
        </w:tc>
        <w:tc>
          <w:tcPr>
            <w:tcW w:w="1170" w:type="dxa"/>
            <w:vMerge w:val="continue"/>
          </w:tcPr>
          <w:p>
            <w:pPr>
              <w:keepNext/>
              <w:keepLines/>
              <w:spacing w:after="0"/>
              <w:jc w:val="center"/>
              <w:rPr>
                <w:rFonts w:ascii="Arial" w:hAnsi="Arial" w:cs="Arial"/>
                <w:b/>
                <w:sz w:val="18"/>
              </w:rPr>
            </w:pPr>
          </w:p>
        </w:tc>
        <w:tc>
          <w:tcPr>
            <w:tcW w:w="1280" w:type="dxa"/>
            <w:vMerge w:val="continue"/>
          </w:tcPr>
          <w:p>
            <w:pPr>
              <w:keepNext/>
              <w:keepLines/>
              <w:spacing w:after="0"/>
              <w:jc w:val="center"/>
              <w:rPr>
                <w:rFonts w:ascii="Arial" w:hAnsi="Arial" w:cs="Arial"/>
                <w:b/>
                <w:sz w:val="18"/>
              </w:rPr>
            </w:pPr>
          </w:p>
        </w:tc>
        <w:tc>
          <w:tcPr>
            <w:tcW w:w="1134" w:type="dxa"/>
            <w:vMerge w:val="continue"/>
          </w:tcPr>
          <w:p>
            <w:pPr>
              <w:keepNext/>
              <w:keepLines/>
              <w:spacing w:after="0"/>
              <w:jc w:val="center"/>
              <w:rPr>
                <w:rFonts w:ascii="Arial" w:hAnsi="Arial" w:cs="Arial"/>
                <w:b/>
                <w:sz w:val="18"/>
              </w:rPr>
            </w:pPr>
          </w:p>
        </w:tc>
        <w:tc>
          <w:tcPr>
            <w:tcW w:w="993" w:type="dxa"/>
          </w:tcPr>
          <w:p>
            <w:pPr>
              <w:keepNext/>
              <w:keepLines/>
              <w:spacing w:after="0"/>
              <w:jc w:val="center"/>
              <w:rPr>
                <w:rFonts w:ascii="Arial" w:hAnsi="Arial" w:cs="Arial"/>
                <w:b/>
                <w:sz w:val="18"/>
              </w:rPr>
            </w:pPr>
            <w:r>
              <w:rPr>
                <w:rFonts w:ascii="Arial" w:hAnsi="Arial" w:cs="Arial"/>
                <w:b/>
                <w:sz w:val="18"/>
              </w:rPr>
              <w:t>Pm-dsg (%)</w:t>
            </w:r>
          </w:p>
        </w:tc>
        <w:tc>
          <w:tcPr>
            <w:tcW w:w="823" w:type="dxa"/>
          </w:tcPr>
          <w:p>
            <w:pPr>
              <w:keepNext/>
              <w:keepLines/>
              <w:spacing w:after="0"/>
              <w:jc w:val="center"/>
              <w:rPr>
                <w:rFonts w:ascii="Arial" w:hAnsi="Arial" w:cs="Arial"/>
                <w:b/>
                <w:sz w:val="18"/>
              </w:rPr>
            </w:pPr>
            <w:r>
              <w:rPr>
                <w:rFonts w:ascii="Arial" w:hAnsi="Arial" w:cs="Arial"/>
                <w:b/>
                <w:sz w:val="18"/>
              </w:rPr>
              <w:t>SNR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921" w:type="dxa"/>
            <w:shd w:val="clear" w:color="auto" w:fill="auto"/>
          </w:tcPr>
          <w:p>
            <w:pPr>
              <w:pStyle w:val="105"/>
            </w:pPr>
            <w:r>
              <w:t>1</w:t>
            </w:r>
          </w:p>
        </w:tc>
        <w:tc>
          <w:tcPr>
            <w:tcW w:w="1283" w:type="dxa"/>
            <w:shd w:val="clear" w:color="auto" w:fill="auto"/>
          </w:tcPr>
          <w:p>
            <w:pPr>
              <w:pStyle w:val="105"/>
            </w:pPr>
            <w:r>
              <w:t>Stand-alone</w:t>
            </w:r>
          </w:p>
        </w:tc>
        <w:tc>
          <w:tcPr>
            <w:tcW w:w="1096" w:type="dxa"/>
          </w:tcPr>
          <w:p>
            <w:pPr>
              <w:pStyle w:val="105"/>
            </w:pPr>
            <w:r>
              <w:t>128</w:t>
            </w:r>
          </w:p>
        </w:tc>
        <w:tc>
          <w:tcPr>
            <w:tcW w:w="1170" w:type="dxa"/>
          </w:tcPr>
          <w:p>
            <w:pPr>
              <w:pStyle w:val="105"/>
            </w:pPr>
            <w:r>
              <w:t>Anchor</w:t>
            </w:r>
          </w:p>
        </w:tc>
        <w:tc>
          <w:tcPr>
            <w:tcW w:w="1170" w:type="dxa"/>
            <w:shd w:val="clear" w:color="auto" w:fill="auto"/>
          </w:tcPr>
          <w:p>
            <w:pPr>
              <w:pStyle w:val="105"/>
            </w:pPr>
            <w:r>
              <w:t>R.NB.3 FDD</w:t>
            </w:r>
          </w:p>
        </w:tc>
        <w:tc>
          <w:tcPr>
            <w:tcW w:w="1280" w:type="dxa"/>
            <w:shd w:val="clear" w:color="auto" w:fill="auto"/>
          </w:tcPr>
          <w:p>
            <w:pPr>
              <w:pStyle w:val="105"/>
            </w:pPr>
            <w:r>
              <w:t>EPA5</w:t>
            </w:r>
          </w:p>
        </w:tc>
        <w:tc>
          <w:tcPr>
            <w:tcW w:w="1134" w:type="dxa"/>
            <w:shd w:val="clear" w:color="auto" w:fill="auto"/>
          </w:tcPr>
          <w:p>
            <w:pPr>
              <w:pStyle w:val="105"/>
            </w:pPr>
            <w:r>
              <w:t>1</w:t>
            </w:r>
          </w:p>
        </w:tc>
        <w:tc>
          <w:tcPr>
            <w:tcW w:w="993" w:type="dxa"/>
          </w:tcPr>
          <w:p>
            <w:pPr>
              <w:pStyle w:val="105"/>
            </w:pPr>
            <w:r>
              <w:t>1</w:t>
            </w:r>
          </w:p>
        </w:tc>
        <w:tc>
          <w:tcPr>
            <w:tcW w:w="823" w:type="dxa"/>
          </w:tcPr>
          <w:p>
            <w:pPr>
              <w:pStyle w:val="105"/>
            </w:pPr>
            <w:r>
              <w:t>-4.1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921" w:type="dxa"/>
            <w:shd w:val="clear" w:color="auto" w:fill="auto"/>
          </w:tcPr>
          <w:p>
            <w:pPr>
              <w:pStyle w:val="105"/>
            </w:pPr>
            <w:r>
              <w:t>2 (Note 1)</w:t>
            </w:r>
          </w:p>
        </w:tc>
        <w:tc>
          <w:tcPr>
            <w:tcW w:w="1283" w:type="dxa"/>
            <w:shd w:val="clear" w:color="auto" w:fill="auto"/>
          </w:tcPr>
          <w:p>
            <w:pPr>
              <w:pStyle w:val="105"/>
            </w:pPr>
            <w:r>
              <w:t>Stand-alone</w:t>
            </w:r>
          </w:p>
        </w:tc>
        <w:tc>
          <w:tcPr>
            <w:tcW w:w="1096" w:type="dxa"/>
          </w:tcPr>
          <w:p>
            <w:pPr>
              <w:pStyle w:val="105"/>
            </w:pPr>
            <w:r>
              <w:t>1024</w:t>
            </w:r>
          </w:p>
        </w:tc>
        <w:tc>
          <w:tcPr>
            <w:tcW w:w="1170" w:type="dxa"/>
          </w:tcPr>
          <w:p>
            <w:pPr>
              <w:pStyle w:val="105"/>
            </w:pPr>
            <w:r>
              <w:t>Non-anchor</w:t>
            </w:r>
          </w:p>
        </w:tc>
        <w:tc>
          <w:tcPr>
            <w:tcW w:w="1170" w:type="dxa"/>
            <w:shd w:val="clear" w:color="auto" w:fill="auto"/>
          </w:tcPr>
          <w:p>
            <w:pPr>
              <w:pStyle w:val="105"/>
            </w:pPr>
            <w:r>
              <w:t>R.NB.3 FDD</w:t>
            </w:r>
          </w:p>
        </w:tc>
        <w:tc>
          <w:tcPr>
            <w:tcW w:w="1280" w:type="dxa"/>
            <w:shd w:val="clear" w:color="auto" w:fill="auto"/>
          </w:tcPr>
          <w:p>
            <w:pPr>
              <w:pStyle w:val="105"/>
            </w:pPr>
            <w:r>
              <w:t>ETU1</w:t>
            </w:r>
          </w:p>
        </w:tc>
        <w:tc>
          <w:tcPr>
            <w:tcW w:w="1134" w:type="dxa"/>
            <w:shd w:val="clear" w:color="auto" w:fill="auto"/>
          </w:tcPr>
          <w:p>
            <w:pPr>
              <w:pStyle w:val="105"/>
            </w:pPr>
            <w:r>
              <w:t>1</w:t>
            </w:r>
          </w:p>
        </w:tc>
        <w:tc>
          <w:tcPr>
            <w:tcW w:w="993" w:type="dxa"/>
          </w:tcPr>
          <w:p>
            <w:pPr>
              <w:pStyle w:val="105"/>
            </w:pPr>
            <w:r>
              <w:t>1</w:t>
            </w:r>
          </w:p>
        </w:tc>
        <w:tc>
          <w:tcPr>
            <w:tcW w:w="823" w:type="dxa"/>
          </w:tcPr>
          <w:p>
            <w:pPr>
              <w:pStyle w:val="105"/>
            </w:pPr>
            <w:r>
              <w:t>-10.6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9870" w:type="dxa"/>
            <w:gridSpan w:val="9"/>
            <w:shd w:val="clear" w:color="auto" w:fill="auto"/>
          </w:tcPr>
          <w:p>
            <w:pPr>
              <w:pStyle w:val="105"/>
              <w:jc w:val="left"/>
            </w:pPr>
            <w:r>
              <w:rPr>
                <w:rFonts w:cs="Arial"/>
                <w:kern w:val="2"/>
              </w:rPr>
              <w:t>Note 1:</w:t>
            </w:r>
            <w:r>
              <w:tab/>
            </w:r>
            <w:r>
              <w:rPr>
                <w:rFonts w:cs="Arial"/>
                <w:kern w:val="2"/>
              </w:rPr>
              <w:t>Applicable to UE supporting Non-Anchor mode of operation.</w:t>
            </w:r>
          </w:p>
        </w:tc>
      </w:tr>
    </w:tbl>
    <w:p/>
    <w:p>
      <w:pPr>
        <w:spacing w:after="0"/>
        <w:rPr>
          <w:rFonts w:ascii="Arial" w:hAnsi="Arial"/>
          <w:sz w:val="36"/>
        </w:rPr>
      </w:pPr>
      <w:bookmarkStart w:id="1614" w:name="_Toc111062106"/>
      <w:bookmarkStart w:id="1615" w:name="_Toc120570119"/>
      <w:bookmarkStart w:id="1616" w:name="_Toc121162911"/>
      <w:bookmarkStart w:id="1617" w:name="_Toc29004"/>
      <w:r>
        <w:br w:type="page"/>
      </w:r>
    </w:p>
    <w:p>
      <w:pPr>
        <w:pStyle w:val="11"/>
      </w:pPr>
      <w:bookmarkStart w:id="1618" w:name="_Toc22116"/>
      <w:bookmarkStart w:id="1619" w:name="_Toc28801"/>
      <w:bookmarkStart w:id="1620" w:name="_Toc11367"/>
      <w:bookmarkStart w:id="1621" w:name="_Toc1704"/>
      <w:bookmarkStart w:id="1622" w:name="_Toc25450"/>
      <w:bookmarkStart w:id="1623" w:name="_Toc11161"/>
      <w:r>
        <w:t>Annex A (</w:t>
      </w:r>
      <w:r>
        <w:rPr>
          <w:rFonts w:hint="eastAsia"/>
        </w:rPr>
        <w:t>normative</w:t>
      </w:r>
      <w:r>
        <w:t>):</w:t>
      </w:r>
      <w:bookmarkEnd w:id="1614"/>
      <w:bookmarkEnd w:id="1615"/>
      <w:r>
        <w:br w:type="textWrapping"/>
      </w:r>
      <w:r>
        <w:t>Measurement Channels</w:t>
      </w:r>
      <w:bookmarkEnd w:id="1616"/>
      <w:bookmarkEnd w:id="1617"/>
      <w:bookmarkEnd w:id="1618"/>
      <w:bookmarkEnd w:id="1619"/>
      <w:bookmarkEnd w:id="1620"/>
      <w:bookmarkEnd w:id="1621"/>
      <w:bookmarkEnd w:id="1622"/>
      <w:bookmarkEnd w:id="1623"/>
    </w:p>
    <w:p>
      <w:pPr>
        <w:pStyle w:val="3"/>
      </w:pPr>
      <w:bookmarkStart w:id="1624" w:name="_Toc22351"/>
      <w:bookmarkStart w:id="1625" w:name="_Toc15406"/>
      <w:bookmarkStart w:id="1626" w:name="_Toc3043"/>
      <w:bookmarkStart w:id="1627" w:name="_Toc18767"/>
      <w:bookmarkStart w:id="1628" w:name="_Toc16682"/>
      <w:r>
        <w:t>A.1</w:t>
      </w:r>
      <w:r>
        <w:tab/>
      </w:r>
      <w:r>
        <w:t>General</w:t>
      </w:r>
      <w:bookmarkEnd w:id="1624"/>
      <w:bookmarkEnd w:id="1625"/>
      <w:bookmarkEnd w:id="1626"/>
      <w:bookmarkEnd w:id="1627"/>
      <w:bookmarkEnd w:id="1628"/>
    </w:p>
    <w:p>
      <w:r>
        <w:t>A schematic overview of the encoding process for the reference measurement channels is provided in Figure A-1.</w:t>
      </w:r>
    </w:p>
    <w:p>
      <w:pPr>
        <w:pStyle w:val="113"/>
      </w:pPr>
      <w:bookmarkStart w:id="1629" w:name="_MON_1268742233"/>
      <w:bookmarkEnd w:id="1629"/>
      <w:bookmarkStart w:id="1630" w:name="_MON_1293118082"/>
      <w:bookmarkEnd w:id="1630"/>
      <w:bookmarkStart w:id="1631" w:name="_MON_1268742244"/>
      <w:bookmarkEnd w:id="1631"/>
      <w:bookmarkStart w:id="1632" w:name="_MON_1268742351"/>
      <w:bookmarkEnd w:id="1632"/>
      <w:bookmarkStart w:id="1633" w:name="_MON_1268742315"/>
      <w:bookmarkEnd w:id="1633"/>
      <w:bookmarkStart w:id="1634" w:name="_MON_1293037286"/>
      <w:bookmarkEnd w:id="1634"/>
      <w:r>
        <w:object>
          <v:shape id="_x0000_i1093" o:spt="75" type="#_x0000_t75" style="height:315.6pt;width:459.6pt;" o:ole="t" filled="f" o:preferrelative="t" stroked="f" coordsize="21600,21600">
            <v:path/>
            <v:fill on="f" focussize="0,0"/>
            <v:stroke on="f" joinstyle="miter"/>
            <v:imagedata r:id="rId132" o:title=""/>
            <o:lock v:ext="edit" aspectratio="t"/>
            <w10:wrap type="none"/>
            <w10:anchorlock/>
          </v:shape>
          <o:OLEObject Type="Embed" ProgID="Word.Picture.8" ShapeID="_x0000_i1093" DrawAspect="Content" ObjectID="_1468075793" r:id="rId131">
            <o:LockedField>false</o:LockedField>
          </o:OLEObject>
        </w:object>
      </w:r>
    </w:p>
    <w:p>
      <w:pPr>
        <w:pStyle w:val="113"/>
      </w:pPr>
      <w:r>
        <w:t>Figure A-1: Schematic overview of the encoding process</w:t>
      </w:r>
    </w:p>
    <w:p/>
    <w:p>
      <w:r>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r>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r>
        <w:t>Rate matching process in Figure A-1 is dependent on the parameter “Total number of Soft Channel bits” which has been defined for each UE category in TS 36.306 [15] clause 4.1. The SS shall use the Soft Channel bits size according to the UE category.</w:t>
      </w:r>
    </w:p>
    <w:p>
      <w:pPr>
        <w:pStyle w:val="3"/>
      </w:pPr>
      <w:bookmarkStart w:id="1635" w:name="_Toc15283"/>
      <w:bookmarkStart w:id="1636" w:name="_Toc5122"/>
      <w:bookmarkStart w:id="1637" w:name="_Toc232582091"/>
      <w:bookmarkStart w:id="1638" w:name="_Toc17030"/>
      <w:bookmarkStart w:id="1639" w:name="_Toc28030"/>
      <w:bookmarkStart w:id="1640" w:name="_Toc31377"/>
      <w:r>
        <w:t>A.2</w:t>
      </w:r>
      <w:r>
        <w:tab/>
      </w:r>
      <w:r>
        <w:t>UL reference measurement channels</w:t>
      </w:r>
      <w:bookmarkEnd w:id="1635"/>
      <w:bookmarkEnd w:id="1636"/>
      <w:bookmarkEnd w:id="1637"/>
      <w:bookmarkEnd w:id="1638"/>
      <w:bookmarkEnd w:id="1639"/>
      <w:bookmarkEnd w:id="1640"/>
    </w:p>
    <w:p>
      <w:pPr>
        <w:pStyle w:val="4"/>
      </w:pPr>
      <w:bookmarkStart w:id="1641" w:name="_Toc9864"/>
      <w:bookmarkStart w:id="1642" w:name="_Toc20420"/>
      <w:bookmarkStart w:id="1643" w:name="_Toc232582092"/>
      <w:bookmarkStart w:id="1644" w:name="_Toc20476"/>
      <w:bookmarkStart w:id="1645" w:name="_Toc31965"/>
      <w:bookmarkStart w:id="1646" w:name="_Toc17100"/>
      <w:r>
        <w:t>A.2.1</w:t>
      </w:r>
      <w:r>
        <w:tab/>
      </w:r>
      <w:r>
        <w:t>General</w:t>
      </w:r>
      <w:bookmarkEnd w:id="1641"/>
      <w:bookmarkEnd w:id="1642"/>
      <w:bookmarkEnd w:id="1643"/>
      <w:bookmarkEnd w:id="1644"/>
      <w:bookmarkEnd w:id="1645"/>
      <w:bookmarkEnd w:id="1646"/>
    </w:p>
    <w:p>
      <w:pPr>
        <w:pStyle w:val="5"/>
        <w:rPr>
          <w:snapToGrid w:val="0"/>
        </w:rPr>
      </w:pPr>
      <w:bookmarkStart w:id="1647" w:name="_Toc9352"/>
      <w:bookmarkStart w:id="1648" w:name="_Toc2846"/>
      <w:bookmarkStart w:id="1649" w:name="_Toc4605"/>
      <w:bookmarkStart w:id="1650" w:name="_Toc232582093"/>
      <w:bookmarkStart w:id="1651" w:name="_Toc27426"/>
      <w:bookmarkStart w:id="1652" w:name="_Toc3441"/>
      <w:r>
        <w:rPr>
          <w:snapToGrid w:val="0"/>
        </w:rPr>
        <w:t>A.2.1.1</w:t>
      </w:r>
      <w:r>
        <w:rPr>
          <w:snapToGrid w:val="0"/>
        </w:rPr>
        <w:tab/>
      </w:r>
      <w:r>
        <w:rPr>
          <w:snapToGrid w:val="0"/>
        </w:rPr>
        <w:t>Applicability and common parameters</w:t>
      </w:r>
      <w:bookmarkEnd w:id="1647"/>
      <w:bookmarkEnd w:id="1648"/>
      <w:bookmarkEnd w:id="1649"/>
      <w:bookmarkEnd w:id="1650"/>
      <w:bookmarkEnd w:id="1651"/>
      <w:bookmarkEnd w:id="1652"/>
    </w:p>
    <w:p>
      <w:r>
        <w:t xml:space="preserve">The following sections define the UL signal applicable to the Transmitter Characteristics (clause 6) and for the </w:t>
      </w:r>
      <w:r>
        <w:rPr>
          <w:rFonts w:cs="v5.0.0"/>
        </w:rPr>
        <w:t>Receiver Characteristics (clause 7) where the UL signal is relevant.</w:t>
      </w:r>
    </w:p>
    <w:p>
      <w:r>
        <w:t>The Reference channels in this section assume transmission of PUSCH and Demodulation Reference signal only. The following conditions apply:</w:t>
      </w:r>
    </w:p>
    <w:p>
      <w:pPr>
        <w:pStyle w:val="111"/>
      </w:pPr>
      <w:r>
        <w:t>-</w:t>
      </w:r>
      <w:r>
        <w:tab/>
      </w:r>
      <w:r>
        <w:t>1 HARQ transmission</w:t>
      </w:r>
    </w:p>
    <w:p>
      <w:pPr>
        <w:pStyle w:val="111"/>
      </w:pPr>
      <w:r>
        <w:t>-</w:t>
      </w:r>
      <w:r>
        <w:tab/>
      </w:r>
      <w:r>
        <w:t>Cyclic Prefix normal</w:t>
      </w:r>
    </w:p>
    <w:p>
      <w:pPr>
        <w:pStyle w:val="111"/>
      </w:pPr>
      <w:r>
        <w:t>-</w:t>
      </w:r>
      <w:r>
        <w:tab/>
      </w:r>
      <w:r>
        <w:t>PUSCH hopping off</w:t>
      </w:r>
    </w:p>
    <w:p>
      <w:pPr>
        <w:pStyle w:val="111"/>
      </w:pPr>
      <w:r>
        <w:t>-</w:t>
      </w:r>
      <w:r>
        <w:tab/>
      </w:r>
      <w:r>
        <w:t>Link adaptation off</w:t>
      </w:r>
    </w:p>
    <w:p>
      <w:pPr>
        <w:pStyle w:val="111"/>
      </w:pPr>
      <w:r>
        <w:t>-</w:t>
      </w:r>
      <w:r>
        <w:tab/>
      </w:r>
      <w:r>
        <w:t>Demodulation Reference signal as per TS 36.211 [</w:t>
      </w:r>
      <w:r>
        <w:rPr>
          <w:rFonts w:hint="eastAsia" w:eastAsia="宋体"/>
          <w:lang w:val="en-US" w:eastAsia="zh-CN"/>
        </w:rPr>
        <w:t>3</w:t>
      </w:r>
      <w:r>
        <w:t>] clause 5.5.2.1.2.</w:t>
      </w:r>
    </w:p>
    <w:p>
      <w:r>
        <w:t>Where ACK/NACK is transmitted, it is assumed to be multiplexed on PUSCH as per TS 36.212 [</w:t>
      </w:r>
      <w:r>
        <w:rPr>
          <w:rFonts w:hint="eastAsia" w:eastAsia="宋体"/>
          <w:lang w:val="en-US" w:eastAsia="zh-CN"/>
        </w:rPr>
        <w:t>1</w:t>
      </w:r>
      <w:r>
        <w:t>9] subclause 5.2.2.6.</w:t>
      </w:r>
    </w:p>
    <w:p>
      <w:pPr>
        <w:pStyle w:val="111"/>
      </w:pPr>
      <w:r>
        <w:t>-</w:t>
      </w:r>
      <w:r>
        <w:tab/>
      </w:r>
      <w:r>
        <w:t>ACK/NACK 1 bit</w:t>
      </w:r>
    </w:p>
    <w:p>
      <w:pPr>
        <w:pStyle w:val="111"/>
      </w:pPr>
      <w:r>
        <w:t>-</w:t>
      </w:r>
      <w:r>
        <w:tab/>
      </w:r>
      <w:r>
        <w:t>ACK/NACK mapping adjacent to Demodulation Reference symbol</w:t>
      </w:r>
    </w:p>
    <w:p>
      <w:pPr>
        <w:pStyle w:val="111"/>
      </w:pPr>
      <w:r>
        <w:t>-</w:t>
      </w:r>
      <w:r>
        <w:tab/>
      </w:r>
      <w:r>
        <w:t>ACK/NACK resources punctured into data</w:t>
      </w:r>
    </w:p>
    <w:p>
      <w:pPr>
        <w:pStyle w:val="111"/>
      </w:pPr>
      <w:r>
        <w:t>-</w:t>
      </w:r>
      <w:r>
        <w:tab/>
      </w:r>
      <w:r>
        <w:t>Max number of resources for ACK/NACK: 4 SC-FDMA symbols per subframe</w:t>
      </w:r>
    </w:p>
    <w:p>
      <w:pPr>
        <w:pStyle w:val="111"/>
      </w:pPr>
      <w:r>
        <w:t>-</w:t>
      </w:r>
      <w:r>
        <w:tab/>
      </w:r>
      <w:r>
        <w:t>No CQI transmitted, no RI transmitted</w:t>
      </w:r>
    </w:p>
    <w:p>
      <w:pPr>
        <w:pStyle w:val="5"/>
        <w:rPr>
          <w:snapToGrid w:val="0"/>
        </w:rPr>
      </w:pPr>
      <w:bookmarkStart w:id="1653" w:name="_Toc3134"/>
      <w:bookmarkStart w:id="1654" w:name="_Toc232582094"/>
      <w:bookmarkStart w:id="1655" w:name="_Toc9403"/>
      <w:bookmarkStart w:id="1656" w:name="_Toc9886"/>
      <w:bookmarkStart w:id="1657" w:name="_Toc12258"/>
      <w:bookmarkStart w:id="1658" w:name="_Toc26042"/>
      <w:r>
        <w:rPr>
          <w:snapToGrid w:val="0"/>
        </w:rPr>
        <w:t>A.2.1.2</w:t>
      </w:r>
      <w:r>
        <w:rPr>
          <w:snapToGrid w:val="0"/>
        </w:rPr>
        <w:tab/>
      </w:r>
      <w:r>
        <w:rPr>
          <w:snapToGrid w:val="0"/>
        </w:rPr>
        <w:t>Determination of payload size</w:t>
      </w:r>
      <w:bookmarkEnd w:id="1653"/>
      <w:bookmarkEnd w:id="1654"/>
      <w:bookmarkEnd w:id="1655"/>
      <w:bookmarkEnd w:id="1656"/>
      <w:bookmarkEnd w:id="1657"/>
      <w:bookmarkEnd w:id="1658"/>
    </w:p>
    <w:p>
      <w:r>
        <w:t>The algorithm for determining the payload size A is as follows; given a desired coding rate R and radio block allocation N</w:t>
      </w:r>
      <w:r>
        <w:rPr>
          <w:vertAlign w:val="subscript"/>
        </w:rPr>
        <w:t>RB</w:t>
      </w:r>
      <w:r>
        <w:t>:</w:t>
      </w:r>
    </w:p>
    <w:p>
      <w:pPr>
        <w:pStyle w:val="111"/>
      </w:pPr>
      <w:r>
        <w:t>1.</w:t>
      </w:r>
      <w:r>
        <w:tab/>
      </w:r>
      <w:r>
        <w:t xml:space="preserve">Calculate the number of channel bits </w:t>
      </w:r>
      <w:r>
        <w:rPr>
          <w:i/>
          <w:iCs/>
        </w:rPr>
        <w:t>N</w:t>
      </w:r>
      <w:r>
        <w:rPr>
          <w:vertAlign w:val="subscript"/>
        </w:rPr>
        <w:t>ch</w:t>
      </w:r>
      <w:r>
        <w:t xml:space="preserve"> that can be transmitted during the first transmission of a given sub-frame.</w:t>
      </w:r>
    </w:p>
    <w:p>
      <w:pPr>
        <w:pStyle w:val="111"/>
      </w:pPr>
      <w:r>
        <w:t>2.</w:t>
      </w:r>
      <w:r>
        <w:tab/>
      </w:r>
      <w:r>
        <w:t xml:space="preserve">Find </w:t>
      </w:r>
      <w:r>
        <w:rPr>
          <w:i/>
          <w:iCs/>
        </w:rPr>
        <w:t>A</w:t>
      </w:r>
      <w:r>
        <w:t xml:space="preserve"> such that the resulting coding rate is as close to </w:t>
      </w:r>
      <w:r>
        <w:rPr>
          <w:i/>
          <w:iCs/>
        </w:rPr>
        <w:t>R</w:t>
      </w:r>
      <w:r>
        <w:t xml:space="preserve"> as possible, that is,</w:t>
      </w:r>
    </w:p>
    <w:p>
      <w:pPr>
        <w:pStyle w:val="122"/>
      </w:pPr>
      <w:r>
        <w:rPr>
          <w:position w:val="-30"/>
        </w:rPr>
        <w:object>
          <v:shape id="_x0000_i1094" o:spt="75" type="#_x0000_t75" style="height:31.8pt;width:262.8pt;" o:ole="t" filled="f" o:preferrelative="t" stroked="f" coordsize="21600,21600">
            <v:path/>
            <v:fill on="f" focussize="0,0"/>
            <v:stroke on="f" joinstyle="miter"/>
            <v:imagedata r:id="rId134" o:title=""/>
            <o:lock v:ext="edit" aspectratio="t"/>
            <w10:wrap type="none"/>
            <w10:anchorlock/>
          </v:shape>
          <o:OLEObject Type="Embed" ProgID="Equation.3" ShapeID="_x0000_i1094" DrawAspect="Content" ObjectID="_1468075794" r:id="rId133">
            <o:LockedField>false</o:LockedField>
          </o:OLEObject>
        </w:object>
      </w:r>
      <w:r>
        <w:t>,</w:t>
      </w:r>
    </w:p>
    <w:p>
      <w:pPr>
        <w:pStyle w:val="111"/>
      </w:pPr>
      <w:r>
        <w:t>subject to</w:t>
      </w:r>
    </w:p>
    <w:p>
      <w:pPr>
        <w:pStyle w:val="123"/>
      </w:pPr>
      <w:r>
        <w:t>a)</w:t>
      </w:r>
      <w:r>
        <w:tab/>
      </w:r>
      <w:r>
        <w:t>A is a valid TB size according to clause 7.1.7 of TS 36.213 [10] assuming an allocation of N</w:t>
      </w:r>
      <w:r>
        <w:rPr>
          <w:vertAlign w:val="subscript"/>
        </w:rPr>
        <w:t>RB</w:t>
      </w:r>
      <w:r>
        <w:t xml:space="preserve"> resource blocks.</w:t>
      </w:r>
    </w:p>
    <w:p>
      <w:pPr>
        <w:pStyle w:val="123"/>
      </w:pPr>
      <w:r>
        <w:t>b)</w:t>
      </w:r>
      <w:r>
        <w:tab/>
      </w:r>
      <w:r>
        <w:rPr>
          <w:i/>
        </w:rPr>
        <w:t>C</w:t>
      </w:r>
      <w:r>
        <w:t xml:space="preserve"> is the number of Code Blocks calculated according to section 5.1.2 of TS 36.212 [9].</w:t>
      </w:r>
    </w:p>
    <w:p>
      <w:pPr>
        <w:pStyle w:val="123"/>
      </w:pPr>
      <w:r>
        <w:t>c)</w:t>
      </w:r>
      <w:r>
        <w:tab/>
      </w:r>
      <w:r>
        <w:t>For RMC-s, which at the nominal target coding rate do not cover all the possible UE categories for the given modulation, reduce the target coding rate gradually (within the same modulation), until the maximal possible number of UE categories is covered.</w:t>
      </w:r>
    </w:p>
    <w:p>
      <w:pPr>
        <w:pStyle w:val="111"/>
        <w:rPr>
          <w:snapToGrid w:val="0"/>
        </w:rPr>
      </w:pPr>
      <w:r>
        <w:t>3.</w:t>
      </w:r>
      <w:r>
        <w:tab/>
      </w:r>
      <w:r>
        <w:t xml:space="preserve">If there is more than one </w:t>
      </w:r>
      <w:r>
        <w:rPr>
          <w:i/>
          <w:iCs/>
        </w:rPr>
        <w:t>A</w:t>
      </w:r>
      <w:r>
        <w:t xml:space="preserve"> that minimises the equation above, then the larger value is chosen per default and the chosen code rate should not exceed 0.93.</w:t>
      </w:r>
    </w:p>
    <w:p>
      <w:pPr>
        <w:pStyle w:val="5"/>
        <w:rPr>
          <w:snapToGrid w:val="0"/>
        </w:rPr>
      </w:pPr>
      <w:bookmarkStart w:id="1659" w:name="_Toc30172"/>
      <w:bookmarkStart w:id="1660" w:name="_Toc20112"/>
      <w:bookmarkStart w:id="1661" w:name="_Toc8767"/>
      <w:bookmarkStart w:id="1662" w:name="_Toc15491"/>
      <w:bookmarkStart w:id="1663" w:name="_Toc347"/>
      <w:r>
        <w:rPr>
          <w:snapToGrid w:val="0"/>
        </w:rPr>
        <w:t>A.2.1.3</w:t>
      </w:r>
      <w:r>
        <w:rPr>
          <w:snapToGrid w:val="0"/>
        </w:rPr>
        <w:tab/>
      </w:r>
      <w:r>
        <w:rPr>
          <w:snapToGrid w:val="0"/>
        </w:rPr>
        <w:t>Overview of UL reference measurement channels</w:t>
      </w:r>
      <w:bookmarkEnd w:id="1659"/>
      <w:bookmarkEnd w:id="1660"/>
      <w:bookmarkEnd w:id="1661"/>
      <w:bookmarkEnd w:id="1662"/>
      <w:bookmarkEnd w:id="1663"/>
    </w:p>
    <w:p>
      <w:r>
        <w:t xml:space="preserve">In Table A.2.1.3-1 are listed the UL reference measurement channels specified in </w:t>
      </w:r>
      <w:r>
        <w:rPr>
          <w:rFonts w:hint="eastAsia" w:eastAsia="宋体"/>
          <w:lang w:val="en-US" w:eastAsia="zh-CN"/>
        </w:rPr>
        <w:t>A</w:t>
      </w:r>
      <w:r>
        <w:t>nnexes A.2.2 and A.2.3 of this release of TS 36.521-</w:t>
      </w:r>
      <w:r>
        <w:rPr>
          <w:rFonts w:hint="eastAsia" w:eastAsia="宋体"/>
          <w:lang w:val="en-US" w:eastAsia="zh-CN"/>
        </w:rPr>
        <w:t>4</w:t>
      </w:r>
      <w:r>
        <w:t>. This table is informative and serves only to a better overview. The reference for the concrete reference measurement channels and corresponding implementation’s parameters as to be used for testing are annexes A.2.2 and A.2.3 as appropriate.</w:t>
      </w:r>
    </w:p>
    <w:p>
      <w:pPr>
        <w:pStyle w:val="113"/>
      </w:pPr>
      <w:r>
        <w:t>Table A.2.1.3-1: Overview of UL reference measurement channels</w:t>
      </w:r>
    </w:p>
    <w:tbl>
      <w:tblPr>
        <w:tblStyle w:val="89"/>
        <w:tblW w:w="88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
        <w:gridCol w:w="840"/>
        <w:gridCol w:w="1560"/>
        <w:gridCol w:w="1102"/>
        <w:gridCol w:w="18"/>
        <w:gridCol w:w="441"/>
        <w:gridCol w:w="848"/>
        <w:gridCol w:w="592"/>
        <w:gridCol w:w="540"/>
        <w:gridCol w:w="540"/>
        <w:gridCol w:w="54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40" w:type="dxa"/>
            <w:vAlign w:val="center"/>
          </w:tcPr>
          <w:p>
            <w:pPr>
              <w:pStyle w:val="104"/>
              <w:rPr>
                <w:rFonts w:cs="Arial"/>
                <w:i/>
                <w:kern w:val="2"/>
                <w:sz w:val="16"/>
                <w:szCs w:val="16"/>
                <w:lang w:eastAsia="zh-CN"/>
              </w:rPr>
            </w:pPr>
            <w:r>
              <w:rPr>
                <w:lang w:eastAsia="zh-CN"/>
              </w:rPr>
              <w:t>Duplex</w:t>
            </w:r>
          </w:p>
        </w:tc>
        <w:tc>
          <w:tcPr>
            <w:tcW w:w="1560" w:type="dxa"/>
            <w:vAlign w:val="center"/>
          </w:tcPr>
          <w:p>
            <w:pPr>
              <w:pStyle w:val="104"/>
              <w:rPr>
                <w:rFonts w:cs="Arial"/>
                <w:i/>
                <w:kern w:val="2"/>
                <w:sz w:val="16"/>
                <w:szCs w:val="16"/>
                <w:lang w:eastAsia="zh-CN"/>
              </w:rPr>
            </w:pPr>
            <w:r>
              <w:rPr>
                <w:lang w:eastAsia="zh-CN"/>
              </w:rPr>
              <w:t>Table</w:t>
            </w:r>
          </w:p>
        </w:tc>
        <w:tc>
          <w:tcPr>
            <w:tcW w:w="1120" w:type="dxa"/>
            <w:gridSpan w:val="2"/>
            <w:vAlign w:val="center"/>
          </w:tcPr>
          <w:p>
            <w:pPr>
              <w:pStyle w:val="104"/>
              <w:rPr>
                <w:rFonts w:cs="Arial"/>
                <w:i/>
                <w:kern w:val="2"/>
                <w:sz w:val="16"/>
                <w:szCs w:val="16"/>
                <w:lang w:eastAsia="zh-CN"/>
              </w:rPr>
            </w:pPr>
            <w:r>
              <w:rPr>
                <w:lang w:eastAsia="zh-CN"/>
              </w:rPr>
              <w:t>Name</w:t>
            </w:r>
          </w:p>
        </w:tc>
        <w:tc>
          <w:tcPr>
            <w:tcW w:w="441" w:type="dxa"/>
            <w:vAlign w:val="center"/>
          </w:tcPr>
          <w:p>
            <w:pPr>
              <w:pStyle w:val="104"/>
              <w:rPr>
                <w:rFonts w:cs="Arial"/>
                <w:i/>
                <w:kern w:val="2"/>
                <w:sz w:val="16"/>
                <w:szCs w:val="16"/>
                <w:lang w:eastAsia="zh-CN"/>
              </w:rPr>
            </w:pPr>
            <w:r>
              <w:rPr>
                <w:lang w:eastAsia="zh-CN"/>
              </w:rPr>
              <w:t>BW</w:t>
            </w:r>
          </w:p>
        </w:tc>
        <w:tc>
          <w:tcPr>
            <w:tcW w:w="848" w:type="dxa"/>
            <w:vAlign w:val="center"/>
          </w:tcPr>
          <w:p>
            <w:pPr>
              <w:pStyle w:val="104"/>
              <w:rPr>
                <w:rFonts w:cs="Arial"/>
                <w:i/>
                <w:kern w:val="2"/>
                <w:sz w:val="16"/>
                <w:szCs w:val="16"/>
                <w:lang w:eastAsia="zh-CN"/>
              </w:rPr>
            </w:pPr>
            <w:r>
              <w:rPr>
                <w:lang w:eastAsia="zh-CN"/>
              </w:rPr>
              <w:t>Mod</w:t>
            </w:r>
          </w:p>
        </w:tc>
        <w:tc>
          <w:tcPr>
            <w:tcW w:w="592" w:type="dxa"/>
            <w:vAlign w:val="center"/>
          </w:tcPr>
          <w:p>
            <w:pPr>
              <w:pStyle w:val="104"/>
              <w:rPr>
                <w:rFonts w:cs="Arial"/>
                <w:i/>
                <w:kern w:val="2"/>
                <w:sz w:val="16"/>
                <w:szCs w:val="16"/>
                <w:lang w:eastAsia="zh-CN"/>
              </w:rPr>
            </w:pPr>
            <w:r>
              <w:rPr>
                <w:lang w:eastAsia="zh-CN"/>
              </w:rPr>
              <w:t>TCR</w:t>
            </w:r>
          </w:p>
        </w:tc>
        <w:tc>
          <w:tcPr>
            <w:tcW w:w="540" w:type="dxa"/>
            <w:vAlign w:val="center"/>
          </w:tcPr>
          <w:p>
            <w:pPr>
              <w:pStyle w:val="104"/>
              <w:rPr>
                <w:rFonts w:cs="Arial"/>
                <w:i/>
                <w:kern w:val="2"/>
                <w:sz w:val="16"/>
                <w:szCs w:val="16"/>
                <w:lang w:eastAsia="zh-CN"/>
              </w:rPr>
            </w:pPr>
            <w:r>
              <w:rPr>
                <w:lang w:eastAsia="zh-CN"/>
              </w:rPr>
              <w:t>RB</w:t>
            </w:r>
          </w:p>
        </w:tc>
        <w:tc>
          <w:tcPr>
            <w:tcW w:w="540" w:type="dxa"/>
            <w:vAlign w:val="center"/>
          </w:tcPr>
          <w:p>
            <w:pPr>
              <w:pStyle w:val="104"/>
              <w:rPr>
                <w:rFonts w:cs="Arial"/>
                <w:i/>
                <w:kern w:val="2"/>
                <w:sz w:val="16"/>
                <w:szCs w:val="16"/>
                <w:lang w:eastAsia="zh-CN"/>
              </w:rPr>
            </w:pPr>
            <w:r>
              <w:rPr>
                <w:lang w:eastAsia="zh-CN"/>
              </w:rPr>
              <w:t>RB</w:t>
            </w:r>
            <w:r>
              <w:rPr>
                <w:lang w:eastAsia="zh-CN"/>
              </w:rPr>
              <w:br w:type="textWrapping"/>
            </w:r>
            <w:r>
              <w:rPr>
                <w:lang w:eastAsia="zh-CN"/>
              </w:rPr>
              <w:t>Offset</w:t>
            </w:r>
          </w:p>
        </w:tc>
        <w:tc>
          <w:tcPr>
            <w:tcW w:w="540" w:type="dxa"/>
            <w:vAlign w:val="center"/>
          </w:tcPr>
          <w:p>
            <w:pPr>
              <w:pStyle w:val="104"/>
              <w:rPr>
                <w:rFonts w:cs="Arial"/>
                <w:i/>
                <w:kern w:val="2"/>
                <w:sz w:val="16"/>
                <w:szCs w:val="16"/>
                <w:lang w:eastAsia="zh-CN"/>
              </w:rPr>
            </w:pPr>
            <w:r>
              <w:rPr>
                <w:lang w:eastAsia="zh-CN"/>
              </w:rPr>
              <w:t>UE Categ</w:t>
            </w:r>
          </w:p>
        </w:tc>
        <w:tc>
          <w:tcPr>
            <w:tcW w:w="1800" w:type="dxa"/>
            <w:vAlign w:val="center"/>
          </w:tcPr>
          <w:p>
            <w:pPr>
              <w:pStyle w:val="104"/>
              <w:rPr>
                <w:rFonts w:cs="Arial"/>
                <w:i/>
                <w:kern w:val="2"/>
                <w:sz w:val="16"/>
                <w:szCs w:val="16"/>
                <w:lang w:eastAsia="zh-CN"/>
              </w:rPr>
            </w:pPr>
            <w:r>
              <w:rPr>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821" w:type="dxa"/>
            <w:gridSpan w:val="11"/>
            <w:shd w:val="clear" w:color="auto" w:fill="C0C0C0"/>
            <w:vAlign w:val="center"/>
          </w:tcPr>
          <w:p>
            <w:pPr>
              <w:pStyle w:val="104"/>
              <w:jc w:val="left"/>
              <w:rPr>
                <w:kern w:val="2"/>
                <w:lang w:eastAsia="zh-CN"/>
              </w:rPr>
            </w:pPr>
            <w:r>
              <w:rPr>
                <w:kern w:val="2"/>
                <w:lang w:eastAsia="zh-CN"/>
              </w:rPr>
              <w:t>FDD, Full RB allocation, 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FDD / HD-FDD</w:t>
            </w:r>
          </w:p>
        </w:tc>
        <w:tc>
          <w:tcPr>
            <w:tcW w:w="1560" w:type="dxa"/>
            <w:tcBorders>
              <w:top w:val="single" w:color="auto" w:sz="4" w:space="0"/>
              <w:left w:val="single" w:color="auto" w:sz="4" w:space="0"/>
              <w:bottom w:val="single" w:color="auto" w:sz="4" w:space="0"/>
              <w:right w:val="single" w:color="auto" w:sz="4" w:space="0"/>
            </w:tcBorders>
            <w:vAlign w:val="center"/>
          </w:tcPr>
          <w:p>
            <w:pPr>
              <w:pStyle w:val="103"/>
              <w:rPr>
                <w:sz w:val="16"/>
                <w:szCs w:val="16"/>
              </w:rPr>
            </w:pPr>
            <w:r>
              <w:rPr>
                <w:sz w:val="16"/>
                <w:szCs w:val="16"/>
              </w:rPr>
              <w:t>Table A.2.2.1.1-1b</w:t>
            </w:r>
          </w:p>
        </w:tc>
        <w:tc>
          <w:tcPr>
            <w:tcW w:w="1120" w:type="dxa"/>
            <w:gridSpan w:val="2"/>
            <w:tcBorders>
              <w:top w:val="single" w:color="auto" w:sz="4" w:space="0"/>
              <w:left w:val="single" w:color="auto" w:sz="4" w:space="0"/>
              <w:bottom w:val="single" w:color="auto" w:sz="4" w:space="0"/>
              <w:right w:val="single" w:color="auto" w:sz="4" w:space="0"/>
            </w:tcBorders>
            <w:vAlign w:val="center"/>
          </w:tcPr>
          <w:p>
            <w:pPr>
              <w:pStyle w:val="103"/>
            </w:pPr>
          </w:p>
        </w:tc>
        <w:tc>
          <w:tcPr>
            <w:tcW w:w="441"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1.4</w:t>
            </w:r>
          </w:p>
        </w:tc>
        <w:tc>
          <w:tcPr>
            <w:tcW w:w="848"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QPSK</w:t>
            </w:r>
          </w:p>
        </w:tc>
        <w:tc>
          <w:tcPr>
            <w:tcW w:w="592"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6</w:t>
            </w: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M1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821" w:type="dxa"/>
            <w:gridSpan w:val="11"/>
            <w:shd w:val="clear" w:color="auto" w:fill="C0C0C0"/>
            <w:vAlign w:val="center"/>
          </w:tcPr>
          <w:p>
            <w:pPr>
              <w:pStyle w:val="104"/>
              <w:jc w:val="left"/>
              <w:rPr>
                <w:kern w:val="2"/>
                <w:lang w:eastAsia="zh-CN"/>
              </w:rPr>
            </w:pPr>
            <w:r>
              <w:rPr>
                <w:kern w:val="2"/>
                <w:lang w:eastAsia="zh-CN"/>
              </w:rPr>
              <w:t>FDD, Full RB allocation, 16-QAM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FDD / HD-FDD</w:t>
            </w:r>
          </w:p>
        </w:tc>
        <w:tc>
          <w:tcPr>
            <w:tcW w:w="1560" w:type="dxa"/>
            <w:tcBorders>
              <w:top w:val="single" w:color="auto" w:sz="4" w:space="0"/>
              <w:left w:val="single" w:color="auto" w:sz="4" w:space="0"/>
              <w:bottom w:val="single" w:color="auto" w:sz="4" w:space="0"/>
              <w:right w:val="single" w:color="auto" w:sz="4" w:space="0"/>
            </w:tcBorders>
            <w:vAlign w:val="center"/>
          </w:tcPr>
          <w:p>
            <w:pPr>
              <w:pStyle w:val="103"/>
              <w:rPr>
                <w:sz w:val="16"/>
                <w:szCs w:val="16"/>
              </w:rPr>
            </w:pPr>
            <w:r>
              <w:rPr>
                <w:sz w:val="16"/>
                <w:szCs w:val="16"/>
              </w:rPr>
              <w:t>Table A.2.2.1.2-1b</w:t>
            </w:r>
          </w:p>
        </w:tc>
        <w:tc>
          <w:tcPr>
            <w:tcW w:w="1120" w:type="dxa"/>
            <w:gridSpan w:val="2"/>
            <w:tcBorders>
              <w:top w:val="single" w:color="auto" w:sz="4" w:space="0"/>
              <w:left w:val="single" w:color="auto" w:sz="4" w:space="0"/>
              <w:bottom w:val="single" w:color="auto" w:sz="4" w:space="0"/>
              <w:right w:val="single" w:color="auto" w:sz="4" w:space="0"/>
            </w:tcBorders>
            <w:vAlign w:val="center"/>
          </w:tcPr>
          <w:p>
            <w:pPr>
              <w:pStyle w:val="103"/>
            </w:pPr>
          </w:p>
        </w:tc>
        <w:tc>
          <w:tcPr>
            <w:tcW w:w="441"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1.4</w:t>
            </w:r>
          </w:p>
        </w:tc>
        <w:tc>
          <w:tcPr>
            <w:tcW w:w="848"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宋体"/>
                <w:sz w:val="16"/>
                <w:lang w:eastAsia="zh-CN"/>
              </w:rPr>
            </w:pPr>
            <w:r>
              <w:rPr>
                <w:rFonts w:eastAsia="宋体"/>
                <w:sz w:val="16"/>
                <w:lang w:val="en-US" w:eastAsia="zh-CN"/>
              </w:rPr>
              <w:t>6</w:t>
            </w: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821" w:type="dxa"/>
            <w:gridSpan w:val="11"/>
            <w:shd w:val="clear" w:color="auto" w:fill="C0C0C0"/>
            <w:vAlign w:val="center"/>
          </w:tcPr>
          <w:p>
            <w:pPr>
              <w:pStyle w:val="18"/>
              <w:rPr>
                <w:bCs/>
                <w:kern w:val="2"/>
              </w:rPr>
            </w:pPr>
            <w:r>
              <w:rPr>
                <w:rFonts w:ascii="Arial" w:hAnsi="Arial" w:cs="Arial"/>
                <w:b/>
                <w:bCs/>
                <w:kern w:val="2"/>
                <w:sz w:val="18"/>
                <w:szCs w:val="18"/>
              </w:rPr>
              <w:t>FDD, Partial RB allocation, 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4</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5</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821" w:type="dxa"/>
            <w:gridSpan w:val="11"/>
            <w:shd w:val="clear" w:color="auto" w:fill="C0C0C0"/>
            <w:vAlign w:val="center"/>
          </w:tcPr>
          <w:p>
            <w:pPr>
              <w:pStyle w:val="103"/>
              <w:rPr>
                <w:bCs/>
                <w:kern w:val="2"/>
              </w:rPr>
            </w:pPr>
            <w:r>
              <w:rPr>
                <w:b/>
                <w:bCs/>
                <w:kern w:val="2"/>
                <w:szCs w:val="18"/>
              </w:rPr>
              <w:t>FDD, Partial RB allocation, 16-QAM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A.2.2.2.2-1b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A.2.2.2.2-1b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A.2.2.2.2-1b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A.2.2.2.2-1b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2/5</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4</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bl>
    <w:p>
      <w:bookmarkStart w:id="1664" w:name="_Toc232582095"/>
    </w:p>
    <w:p>
      <w:pPr>
        <w:pStyle w:val="4"/>
      </w:pPr>
      <w:bookmarkStart w:id="1665" w:name="_Toc15181"/>
      <w:bookmarkStart w:id="1666" w:name="_Toc24617"/>
      <w:bookmarkStart w:id="1667" w:name="_Toc1919"/>
      <w:bookmarkStart w:id="1668" w:name="_Toc26531"/>
      <w:bookmarkStart w:id="1669" w:name="_Toc1019"/>
      <w:r>
        <w:t>A.2.2</w:t>
      </w:r>
      <w:r>
        <w:tab/>
      </w:r>
      <w:r>
        <w:t>Reference measurement channels for FDD</w:t>
      </w:r>
      <w:bookmarkEnd w:id="1664"/>
      <w:bookmarkEnd w:id="1665"/>
      <w:bookmarkEnd w:id="1666"/>
      <w:bookmarkEnd w:id="1667"/>
      <w:bookmarkEnd w:id="1668"/>
      <w:bookmarkEnd w:id="1669"/>
    </w:p>
    <w:p>
      <w:pPr>
        <w:pStyle w:val="5"/>
        <w:rPr>
          <w:snapToGrid w:val="0"/>
        </w:rPr>
      </w:pPr>
      <w:bookmarkStart w:id="1670" w:name="_Toc20512"/>
      <w:bookmarkStart w:id="1671" w:name="_Toc26274"/>
      <w:bookmarkStart w:id="1672" w:name="_Toc5365"/>
      <w:bookmarkStart w:id="1673" w:name="_Toc26724"/>
      <w:bookmarkStart w:id="1674" w:name="_Toc232582096"/>
      <w:bookmarkStart w:id="1675" w:name="_Toc10594"/>
      <w:r>
        <w:rPr>
          <w:snapToGrid w:val="0"/>
        </w:rPr>
        <w:t>A.2.2.1</w:t>
      </w:r>
      <w:r>
        <w:rPr>
          <w:snapToGrid w:val="0"/>
        </w:rPr>
        <w:tab/>
      </w:r>
      <w:r>
        <w:rPr>
          <w:snapToGrid w:val="0"/>
        </w:rPr>
        <w:t>Full RB allocation</w:t>
      </w:r>
      <w:bookmarkEnd w:id="1670"/>
      <w:bookmarkEnd w:id="1671"/>
      <w:bookmarkEnd w:id="1672"/>
      <w:bookmarkEnd w:id="1673"/>
      <w:bookmarkEnd w:id="1674"/>
      <w:bookmarkEnd w:id="1675"/>
    </w:p>
    <w:p>
      <w:pPr>
        <w:pStyle w:val="6"/>
      </w:pPr>
      <w:bookmarkStart w:id="1676" w:name="_Toc21991"/>
      <w:bookmarkStart w:id="1677" w:name="_Toc29852"/>
      <w:bookmarkStart w:id="1678" w:name="_Toc232582097"/>
      <w:bookmarkStart w:id="1679" w:name="_Toc28964"/>
      <w:bookmarkStart w:id="1680" w:name="_Toc606"/>
      <w:bookmarkStart w:id="1681" w:name="_Toc5139"/>
      <w:r>
        <w:t>A.2.2.1.1</w:t>
      </w:r>
      <w:r>
        <w:tab/>
      </w:r>
      <w:r>
        <w:t>QPSK</w:t>
      </w:r>
      <w:bookmarkEnd w:id="1676"/>
      <w:bookmarkEnd w:id="1677"/>
      <w:bookmarkEnd w:id="1678"/>
      <w:bookmarkEnd w:id="1679"/>
      <w:bookmarkEnd w:id="1680"/>
      <w:bookmarkEnd w:id="1681"/>
    </w:p>
    <w:p>
      <w:pPr>
        <w:pStyle w:val="113"/>
        <w:rPr>
          <w:snapToGrid w:val="0"/>
        </w:rPr>
      </w:pPr>
      <w:r>
        <w:t xml:space="preserve">Table A.2.2.1.1-1: </w:t>
      </w:r>
      <w:r>
        <w:rPr>
          <w:lang w:eastAsia="zh-CN"/>
        </w:rPr>
        <w:t>R</w:t>
      </w:r>
      <w:r>
        <w:t>eference Channels for QPSK with full</w:t>
      </w:r>
      <w:r>
        <w:rPr>
          <w:lang w:eastAsia="zh-CN"/>
        </w:rPr>
        <w:t>/maximum</w:t>
      </w:r>
      <w:r>
        <w:t xml:space="preserve"> RB allocation</w:t>
      </w:r>
      <w:r>
        <w:rPr>
          <w:lang w:eastAsia="zh-CN"/>
        </w:rPr>
        <w:t xml:space="preserve"> for </w:t>
      </w:r>
      <w:r>
        <w:rPr>
          <w:snapToGrid w:val="0"/>
        </w:rPr>
        <w:t>UE category M1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34"/>
        <w:gridCol w:w="2070"/>
        <w:gridCol w:w="15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shd w:val="clear" w:color="auto" w:fill="auto"/>
          </w:tcPr>
          <w:p>
            <w:pPr>
              <w:pStyle w:val="103"/>
              <w:jc w:val="center"/>
              <w:rPr>
                <w:rFonts w:cs="Arial"/>
              </w:rPr>
            </w:pPr>
            <w:r>
              <w:rPr>
                <w:rFonts w:cs="Arial"/>
              </w:rPr>
              <w:t>Parameter</w:t>
            </w:r>
          </w:p>
        </w:tc>
        <w:tc>
          <w:tcPr>
            <w:tcW w:w="2070" w:type="dxa"/>
          </w:tcPr>
          <w:p>
            <w:pPr>
              <w:pStyle w:val="105"/>
              <w:rPr>
                <w:rFonts w:cs="Arial"/>
              </w:rPr>
            </w:pPr>
            <w:r>
              <w:rPr>
                <w:rFonts w:cs="Arial"/>
                <w:b/>
                <w:bCs/>
              </w:rPr>
              <w:t>Unit</w:t>
            </w:r>
          </w:p>
        </w:tc>
        <w:tc>
          <w:tcPr>
            <w:tcW w:w="1554" w:type="dxa"/>
          </w:tcPr>
          <w:p>
            <w:pPr>
              <w:pStyle w:val="105"/>
              <w:rPr>
                <w:rFonts w:cs="Arial"/>
              </w:rPr>
            </w:pPr>
            <w:r>
              <w:rPr>
                <w:rFonts w:cs="Arial"/>
                <w:b/>
                <w:bCs/>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shd w:val="clear" w:color="auto" w:fill="auto"/>
          </w:tcPr>
          <w:p>
            <w:pPr>
              <w:pStyle w:val="103"/>
              <w:rPr>
                <w:rFonts w:cs="Arial"/>
                <w:b/>
              </w:rPr>
            </w:pPr>
            <w:r>
              <w:rPr>
                <w:rFonts w:cs="Arial"/>
              </w:rPr>
              <w:t>Channel bandwidth</w:t>
            </w:r>
          </w:p>
        </w:tc>
        <w:tc>
          <w:tcPr>
            <w:tcW w:w="2070" w:type="dxa"/>
          </w:tcPr>
          <w:p>
            <w:pPr>
              <w:pStyle w:val="105"/>
              <w:rPr>
                <w:rFonts w:cs="Arial"/>
              </w:rPr>
            </w:pPr>
            <w:r>
              <w:rPr>
                <w:rFonts w:cs="Arial"/>
              </w:rPr>
              <w:t>MHz</w:t>
            </w:r>
          </w:p>
        </w:tc>
        <w:tc>
          <w:tcPr>
            <w:tcW w:w="1554" w:type="dxa"/>
          </w:tcPr>
          <w:p>
            <w:pPr>
              <w:pStyle w:val="105"/>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Allocated resource blocks</w:t>
            </w:r>
          </w:p>
        </w:tc>
        <w:tc>
          <w:tcPr>
            <w:tcW w:w="2070" w:type="dxa"/>
          </w:tcPr>
          <w:p>
            <w:pPr>
              <w:pStyle w:val="105"/>
              <w:rPr>
                <w:rFonts w:cs="Arial"/>
              </w:rPr>
            </w:pPr>
          </w:p>
        </w:tc>
        <w:tc>
          <w:tcPr>
            <w:tcW w:w="1554" w:type="dxa"/>
          </w:tcPr>
          <w:p>
            <w:pPr>
              <w:pStyle w:val="105"/>
              <w:rPr>
                <w:rFonts w:cs="Arial"/>
              </w:rPr>
            </w:pPr>
            <w:r>
              <w:rPr>
                <w:rFonts w:cs="Aria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DFT-OFDM Symbols per Sub-Frame</w:t>
            </w:r>
          </w:p>
        </w:tc>
        <w:tc>
          <w:tcPr>
            <w:tcW w:w="2070" w:type="dxa"/>
          </w:tcPr>
          <w:p>
            <w:pPr>
              <w:pStyle w:val="105"/>
              <w:rPr>
                <w:rFonts w:cs="Arial"/>
              </w:rPr>
            </w:pPr>
          </w:p>
        </w:tc>
        <w:tc>
          <w:tcPr>
            <w:tcW w:w="1554" w:type="dxa"/>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Modulation</w:t>
            </w:r>
          </w:p>
        </w:tc>
        <w:tc>
          <w:tcPr>
            <w:tcW w:w="2070" w:type="dxa"/>
          </w:tcPr>
          <w:p>
            <w:pPr>
              <w:pStyle w:val="105"/>
              <w:rPr>
                <w:rFonts w:cs="Arial"/>
              </w:rPr>
            </w:pPr>
          </w:p>
        </w:tc>
        <w:tc>
          <w:tcPr>
            <w:tcW w:w="1554" w:type="dxa"/>
          </w:tcPr>
          <w:p>
            <w:pPr>
              <w:pStyle w:val="105"/>
              <w:rPr>
                <w:rFonts w:cs="Arial"/>
              </w:rPr>
            </w:pPr>
            <w:r>
              <w:rPr>
                <w:rFonts w:cs="Arial"/>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Target Coding rate</w:t>
            </w:r>
          </w:p>
        </w:tc>
        <w:tc>
          <w:tcPr>
            <w:tcW w:w="2070" w:type="dxa"/>
          </w:tcPr>
          <w:p>
            <w:pPr>
              <w:pStyle w:val="105"/>
              <w:rPr>
                <w:rFonts w:cs="Arial"/>
              </w:rPr>
            </w:pPr>
          </w:p>
        </w:tc>
        <w:tc>
          <w:tcPr>
            <w:tcW w:w="1554" w:type="dxa"/>
          </w:tcPr>
          <w:p>
            <w:pPr>
              <w:pStyle w:val="105"/>
              <w:rPr>
                <w:rFonts w:cs="Arial"/>
              </w:rPr>
            </w:pPr>
            <w:r>
              <w:rPr>
                <w:rFonts w:cs="Arial"/>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Payload size</w:t>
            </w:r>
          </w:p>
        </w:tc>
        <w:tc>
          <w:tcPr>
            <w:tcW w:w="2070" w:type="dxa"/>
          </w:tcPr>
          <w:p>
            <w:pPr>
              <w:pStyle w:val="105"/>
              <w:rPr>
                <w:rFonts w:cs="Arial"/>
              </w:rPr>
            </w:pPr>
            <w:r>
              <w:rPr>
                <w:rFonts w:cs="Arial"/>
              </w:rPr>
              <w:t>Bits</w:t>
            </w:r>
          </w:p>
        </w:tc>
        <w:tc>
          <w:tcPr>
            <w:tcW w:w="1554" w:type="dxa"/>
          </w:tcPr>
          <w:p>
            <w:pPr>
              <w:pStyle w:val="105"/>
              <w:rPr>
                <w:rFonts w:cs="Arial"/>
              </w:rPr>
            </w:pPr>
            <w:r>
              <w:rPr>
                <w:rFonts w:cs="Arial"/>
              </w:rPr>
              <w:t>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szCs w:val="22"/>
              </w:rPr>
            </w:pPr>
            <w:r>
              <w:rPr>
                <w:rFonts w:cs="Arial"/>
                <w:szCs w:val="22"/>
              </w:rPr>
              <w:t>Transport block CRC</w:t>
            </w:r>
          </w:p>
        </w:tc>
        <w:tc>
          <w:tcPr>
            <w:tcW w:w="2070" w:type="dxa"/>
          </w:tcPr>
          <w:p>
            <w:pPr>
              <w:pStyle w:val="105"/>
              <w:rPr>
                <w:rFonts w:cs="Arial"/>
              </w:rPr>
            </w:pPr>
            <w:r>
              <w:rPr>
                <w:rFonts w:cs="Arial"/>
              </w:rPr>
              <w:t>Bits</w:t>
            </w:r>
          </w:p>
        </w:tc>
        <w:tc>
          <w:tcPr>
            <w:tcW w:w="1554" w:type="dxa"/>
          </w:tcPr>
          <w:p>
            <w:pPr>
              <w:pStyle w:val="105"/>
              <w:rPr>
                <w:rFonts w:cs="Arial"/>
              </w:rPr>
            </w:pPr>
            <w:r>
              <w:rPr>
                <w:rFonts w:cs="Arial"/>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lang w:eastAsia="zh-CN"/>
              </w:rPr>
            </w:pPr>
            <w:r>
              <w:rPr>
                <w:rFonts w:cs="Arial"/>
              </w:rPr>
              <w:t xml:space="preserve">Number of code blocks </w:t>
            </w:r>
            <w:r>
              <w:rPr>
                <w:rFonts w:cs="Arial"/>
                <w:szCs w:val="22"/>
              </w:rPr>
              <w:t>per Sub-Frame</w:t>
            </w:r>
          </w:p>
        </w:tc>
        <w:tc>
          <w:tcPr>
            <w:tcW w:w="2070" w:type="dxa"/>
          </w:tcPr>
          <w:p>
            <w:pPr>
              <w:pStyle w:val="105"/>
              <w:rPr>
                <w:rFonts w:cs="Arial"/>
              </w:rPr>
            </w:pPr>
          </w:p>
        </w:tc>
        <w:tc>
          <w:tcPr>
            <w:tcW w:w="1554" w:type="dxa"/>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Total number of bits per Sub-Frame</w:t>
            </w:r>
          </w:p>
        </w:tc>
        <w:tc>
          <w:tcPr>
            <w:tcW w:w="2070" w:type="dxa"/>
          </w:tcPr>
          <w:p>
            <w:pPr>
              <w:pStyle w:val="105"/>
              <w:rPr>
                <w:rFonts w:cs="Arial"/>
              </w:rPr>
            </w:pPr>
            <w:r>
              <w:rPr>
                <w:rFonts w:cs="Arial"/>
              </w:rPr>
              <w:t>Bits</w:t>
            </w:r>
          </w:p>
        </w:tc>
        <w:tc>
          <w:tcPr>
            <w:tcW w:w="1554" w:type="dxa"/>
          </w:tcPr>
          <w:p>
            <w:pPr>
              <w:pStyle w:val="105"/>
              <w:rPr>
                <w:rFonts w:cs="Arial"/>
              </w:rPr>
            </w:pPr>
            <w:r>
              <w:rPr>
                <w:rFonts w:cs="Arial"/>
              </w:rPr>
              <w:t>1728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Total symbols per Sub-Frame</w:t>
            </w:r>
          </w:p>
        </w:tc>
        <w:tc>
          <w:tcPr>
            <w:tcW w:w="2070" w:type="dxa"/>
          </w:tcPr>
          <w:p>
            <w:pPr>
              <w:pStyle w:val="105"/>
              <w:rPr>
                <w:rFonts w:cs="Arial"/>
              </w:rPr>
            </w:pPr>
          </w:p>
        </w:tc>
        <w:tc>
          <w:tcPr>
            <w:tcW w:w="1554" w:type="dxa"/>
          </w:tcPr>
          <w:p>
            <w:pPr>
              <w:pStyle w:val="105"/>
              <w:rPr>
                <w:rFonts w:cs="Arial"/>
              </w:rPr>
            </w:pPr>
            <w:r>
              <w:rPr>
                <w:rFonts w:cs="Arial"/>
              </w:rPr>
              <w:t>864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UE Category</w:t>
            </w:r>
          </w:p>
        </w:tc>
        <w:tc>
          <w:tcPr>
            <w:tcW w:w="2070" w:type="dxa"/>
          </w:tcPr>
          <w:p>
            <w:pPr>
              <w:pStyle w:val="105"/>
              <w:rPr>
                <w:rFonts w:cs="Arial"/>
              </w:rPr>
            </w:pPr>
          </w:p>
        </w:tc>
        <w:tc>
          <w:tcPr>
            <w:tcW w:w="1554" w:type="dxa"/>
          </w:tcPr>
          <w:p>
            <w:pPr>
              <w:pStyle w:val="105"/>
              <w:rPr>
                <w:rFonts w:cs="Arial"/>
              </w:rPr>
            </w:pPr>
            <w:r>
              <w:rPr>
                <w:rFonts w:cs="Arial"/>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58" w:type="dxa"/>
            <w:gridSpan w:val="3"/>
          </w:tcPr>
          <w:p>
            <w:pPr>
              <w:pStyle w:val="118"/>
              <w:rPr>
                <w:lang w:eastAsia="ko-KR"/>
              </w:rPr>
            </w:pPr>
            <w:r>
              <w:rPr>
                <w:lang w:eastAsia="ko-KR"/>
              </w:rPr>
              <w:t>NOTE 1:</w:t>
            </w:r>
            <w:r>
              <w:rPr>
                <w:lang w:eastAsia="ko-KR"/>
              </w:rPr>
              <w:tab/>
            </w:r>
            <w:r>
              <w:rPr>
                <w:lang w:eastAsia="ko-KR"/>
              </w:rPr>
              <w:t>If more than one Code Block is present, an additional CRC sequence of L = 24 Bits is attached to each Code Block (otherwise L = 0 Bit)</w:t>
            </w:r>
          </w:p>
          <w:p>
            <w:pPr>
              <w:pStyle w:val="118"/>
              <w:rPr>
                <w:lang w:eastAsia="ko-KR"/>
              </w:rPr>
            </w:pPr>
            <w:r>
              <w:rPr>
                <w:lang w:eastAsia="ko-KR"/>
              </w:rPr>
              <w:t>NOTE 2:</w:t>
            </w:r>
            <w:r>
              <w:rPr>
                <w:lang w:eastAsia="ko-KR"/>
              </w:rPr>
              <w:tab/>
            </w:r>
            <w:r>
              <w:rPr>
                <w:lang w:eastAsia="ko-KR"/>
              </w:rPr>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Pr>
                <w:lang w:eastAsia="ko-KR"/>
              </w:rPr>
              <w:object>
                <v:shape id="_x0000_i1095" o:spt="75" type="#_x0000_t75" style="height:19.2pt;width:39pt;" o:ole="t" filled="f" o:preferrelative="t" stroked="f" coordsize="21600,21600">
                  <v:path/>
                  <v:fill on="f" focussize="0,0"/>
                  <v:stroke on="f" joinstyle="miter"/>
                  <v:imagedata r:id="rId136" o:title=""/>
                  <o:lock v:ext="edit" aspectratio="t"/>
                  <w10:wrap type="none"/>
                  <w10:anchorlock/>
                </v:shape>
                <o:OLEObject Type="Embed" ProgID="Equation.3" ShapeID="_x0000_i1095" DrawAspect="Content" ObjectID="_1468075795" r:id="rId135">
                  <o:LockedField>false</o:LockedField>
                </o:OLEObject>
              </w:object>
            </w:r>
            <w:r>
              <w:rPr>
                <w:lang w:eastAsia="ko-KR"/>
              </w:rPr>
              <w:t xml:space="preserve"> is total number of absolute subframes a PUSCH with repetition spans [4].</w:t>
            </w:r>
          </w:p>
          <w:p>
            <w:pPr>
              <w:pStyle w:val="118"/>
              <w:rPr>
                <w:rFonts w:cs="Arial"/>
              </w:rPr>
            </w:pPr>
            <w:r>
              <w:rPr>
                <w:lang w:eastAsia="ko-KR"/>
              </w:rPr>
              <w:t>NOTE 3:</w:t>
            </w:r>
            <w:r>
              <w:rPr>
                <w:lang w:eastAsia="ko-KR"/>
              </w:rPr>
              <w:tab/>
            </w:r>
            <w:r>
              <w:rPr>
                <w:lang w:eastAsia="ko-KR"/>
              </w:rPr>
              <w:t xml:space="preserve">For HD-FDD UE with </w:t>
            </w:r>
            <w:r>
              <w:rPr>
                <w:lang w:eastAsia="ko-KR"/>
              </w:rPr>
              <w:object>
                <v:shape id="_x0000_i1096" o:spt="75" type="#_x0000_t75" style="height:19.2pt;width:55.2pt;" o:ole="t" filled="f" o:preferrelative="t" stroked="f" coordsize="21600,21600">
                  <v:path/>
                  <v:fill on="f" focussize="0,0"/>
                  <v:stroke on="f" joinstyle="miter"/>
                  <v:imagedata r:id="rId138" o:title=""/>
                  <o:lock v:ext="edit" aspectratio="t"/>
                  <w10:wrap type="none"/>
                  <w10:anchorlock/>
                </v:shape>
                <o:OLEObject Type="Embed" ProgID="Equation.3" ShapeID="_x0000_i1096" DrawAspect="Content" ObjectID="_1468075796" r:id="rId137">
                  <o:LockedField>false</o:LockedField>
                </o:OLEObject>
              </w:object>
            </w:r>
            <w:r>
              <w:rPr>
                <w:lang w:eastAsia="ko-KR"/>
              </w:rPr>
              <w:t xml:space="preserve">, MPDCCH are scheduled at 0th DL subframe every </w:t>
            </w:r>
            <w:r>
              <w:rPr>
                <w:lang w:eastAsia="ko-KR"/>
              </w:rPr>
              <w:object>
                <v:shape id="_x0000_i1097" o:spt="75" type="#_x0000_t75" style="height:19.2pt;width:39pt;" o:ole="t" filled="f" o:preferrelative="t" stroked="f" coordsize="21600,21600">
                  <v:path/>
                  <v:fill on="f" focussize="0,0"/>
                  <v:stroke on="f" joinstyle="miter"/>
                  <v:imagedata r:id="rId140" o:title=""/>
                  <o:lock v:ext="edit" aspectratio="t"/>
                  <w10:wrap type="none"/>
                  <w10:anchorlock/>
                </v:shape>
                <o:OLEObject Type="Embed" ProgID="Equation.3" ShapeID="_x0000_i1097" DrawAspect="Content" ObjectID="_1468075797" r:id="rId139">
                  <o:LockedField>false</o:LockedField>
                </o:OLEObject>
              </w:object>
            </w:r>
            <w:r>
              <w:rPr>
                <w:lang w:eastAsia="ko-KR"/>
              </w:rPr>
              <w:t>+5 subframes (starting from the 0th subframe). The associated PUSCH is scheduled at the 4th to (</w:t>
            </w:r>
            <w:r>
              <w:rPr>
                <w:lang w:eastAsia="ko-KR"/>
              </w:rPr>
              <w:object>
                <v:shape id="_x0000_i1098" o:spt="75" type="#_x0000_t75" style="height:19.2pt;width:39pt;" o:ole="t" filled="f" o:preferrelative="t" stroked="f" coordsize="21600,21600">
                  <v:path/>
                  <v:fill on="f" focussize="0,0"/>
                  <v:stroke on="f" joinstyle="miter"/>
                  <v:imagedata r:id="rId140" o:title=""/>
                  <o:lock v:ext="edit" aspectratio="t"/>
                  <w10:wrap type="none"/>
                  <w10:anchorlock/>
                </v:shape>
                <o:OLEObject Type="Embed" ProgID="Equation.3" ShapeID="_x0000_i1098" DrawAspect="Content" ObjectID="_1468075798" r:id="rId141">
                  <o:LockedField>false</o:LockedField>
                </o:OLEObject>
              </w:object>
            </w:r>
            <w:r>
              <w:rPr>
                <w:lang w:eastAsia="ko-KR"/>
              </w:rPr>
              <w:t xml:space="preserve">+3)-th UL subframes every </w:t>
            </w:r>
            <w:r>
              <w:rPr>
                <w:lang w:eastAsia="ko-KR"/>
              </w:rPr>
              <w:object>
                <v:shape id="_x0000_i1099" o:spt="75" type="#_x0000_t75" style="height:19.2pt;width:39pt;" o:ole="t" filled="f" o:preferrelative="t" stroked="f" coordsize="21600,21600">
                  <v:path/>
                  <v:fill on="f" focussize="0,0"/>
                  <v:stroke on="f" joinstyle="miter"/>
                  <v:imagedata r:id="rId140" o:title=""/>
                  <o:lock v:ext="edit" aspectratio="t"/>
                  <w10:wrap type="none"/>
                  <w10:anchorlock/>
                </v:shape>
                <o:OLEObject Type="Embed" ProgID="Equation.3" ShapeID="_x0000_i1099" DrawAspect="Content" ObjectID="_1468075799" r:id="rId142">
                  <o:LockedField>false</o:LockedField>
                </o:OLEObject>
              </w:object>
            </w:r>
            <w:r>
              <w:rPr>
                <w:lang w:eastAsia="ko-KR"/>
              </w:rPr>
              <w:t>+5 subframes. Information bit payload is available if uplink subframe is scheduled.</w:t>
            </w:r>
          </w:p>
        </w:tc>
      </w:tr>
    </w:tbl>
    <w:p/>
    <w:p>
      <w:pPr>
        <w:pStyle w:val="6"/>
      </w:pPr>
      <w:bookmarkStart w:id="1682" w:name="_Toc232582098"/>
      <w:bookmarkStart w:id="1683" w:name="_Toc12149"/>
      <w:bookmarkStart w:id="1684" w:name="_Toc11217"/>
      <w:bookmarkStart w:id="1685" w:name="_Toc8857"/>
      <w:bookmarkStart w:id="1686" w:name="_Toc9706"/>
      <w:bookmarkStart w:id="1687" w:name="_Toc21284"/>
      <w:r>
        <w:t>A.2.2.1.2</w:t>
      </w:r>
      <w:r>
        <w:tab/>
      </w:r>
      <w:r>
        <w:t>16-QAM</w:t>
      </w:r>
      <w:bookmarkEnd w:id="1682"/>
      <w:bookmarkEnd w:id="1683"/>
      <w:bookmarkEnd w:id="1684"/>
      <w:bookmarkEnd w:id="1685"/>
      <w:bookmarkEnd w:id="1686"/>
      <w:bookmarkEnd w:id="1687"/>
    </w:p>
    <w:p>
      <w:pPr>
        <w:pStyle w:val="113"/>
        <w:rPr>
          <w:snapToGrid w:val="0"/>
        </w:rPr>
      </w:pPr>
      <w:r>
        <w:t>Table A.2.2.1.2-1:</w:t>
      </w:r>
      <w:r>
        <w:rPr>
          <w:rFonts w:hint="eastAsia" w:eastAsia="宋体"/>
          <w:lang w:val="en-US" w:eastAsia="zh-CN"/>
        </w:rPr>
        <w:t xml:space="preserve"> </w:t>
      </w:r>
      <w:r>
        <w:t xml:space="preserve">Reference Channels for 16-QAM with </w:t>
      </w:r>
      <w:r>
        <w:rPr>
          <w:lang w:eastAsia="zh-CN"/>
        </w:rPr>
        <w:t>maximum</w:t>
      </w:r>
      <w:r>
        <w:t xml:space="preserve"> RB allocation</w:t>
      </w:r>
      <w:r>
        <w:rPr>
          <w:lang w:eastAsia="zh-CN"/>
        </w:rPr>
        <w:t xml:space="preserve"> for </w:t>
      </w:r>
      <w:r>
        <w:rPr>
          <w:snapToGrid w:val="0"/>
        </w:rPr>
        <w:t>UE category M1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25"/>
        <w:gridCol w:w="931"/>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shd w:val="clear" w:color="auto" w:fill="auto"/>
          </w:tcPr>
          <w:p>
            <w:pPr>
              <w:pStyle w:val="104"/>
              <w:rPr>
                <w:rFonts w:cs="Arial"/>
                <w:lang w:eastAsia="zh-CN"/>
              </w:rPr>
            </w:pPr>
            <w:r>
              <w:rPr>
                <w:rFonts w:cs="Arial"/>
                <w:lang w:eastAsia="zh-CN"/>
              </w:rPr>
              <w:t>Parameter</w:t>
            </w:r>
          </w:p>
        </w:tc>
        <w:tc>
          <w:tcPr>
            <w:tcW w:w="931" w:type="dxa"/>
          </w:tcPr>
          <w:p>
            <w:pPr>
              <w:pStyle w:val="104"/>
              <w:rPr>
                <w:rFonts w:cs="Arial"/>
                <w:lang w:eastAsia="zh-CN"/>
              </w:rPr>
            </w:pPr>
            <w:r>
              <w:rPr>
                <w:rFonts w:cs="Arial"/>
                <w:lang w:eastAsia="zh-CN"/>
              </w:rPr>
              <w:t>Unit</w:t>
            </w:r>
          </w:p>
        </w:tc>
        <w:tc>
          <w:tcPr>
            <w:tcW w:w="5106" w:type="dxa"/>
          </w:tcPr>
          <w:p>
            <w:pPr>
              <w:pStyle w:val="104"/>
              <w:rPr>
                <w:rFonts w:cs="Arial"/>
                <w:lang w:eastAsia="zh-CN"/>
              </w:rPr>
            </w:pPr>
            <w:r>
              <w:rPr>
                <w:rFonts w:cs="Arial"/>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shd w:val="clear" w:color="auto" w:fill="auto"/>
          </w:tcPr>
          <w:p>
            <w:pPr>
              <w:pStyle w:val="103"/>
              <w:rPr>
                <w:rFonts w:cs="Arial"/>
                <w:b/>
              </w:rPr>
            </w:pPr>
            <w:r>
              <w:rPr>
                <w:rFonts w:cs="Arial"/>
              </w:rPr>
              <w:t>Channel bandwidth</w:t>
            </w:r>
          </w:p>
        </w:tc>
        <w:tc>
          <w:tcPr>
            <w:tcW w:w="931" w:type="dxa"/>
          </w:tcPr>
          <w:p>
            <w:pPr>
              <w:pStyle w:val="105"/>
              <w:rPr>
                <w:rFonts w:cs="Arial"/>
              </w:rPr>
            </w:pPr>
            <w:r>
              <w:rPr>
                <w:rFonts w:cs="Arial"/>
              </w:rPr>
              <w:t>MHz</w:t>
            </w:r>
          </w:p>
        </w:tc>
        <w:tc>
          <w:tcPr>
            <w:tcW w:w="5106" w:type="dxa"/>
          </w:tcPr>
          <w:p>
            <w:pPr>
              <w:pStyle w:val="105"/>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Allocated resource blocks</w:t>
            </w:r>
          </w:p>
        </w:tc>
        <w:tc>
          <w:tcPr>
            <w:tcW w:w="931" w:type="dxa"/>
          </w:tcPr>
          <w:p>
            <w:pPr>
              <w:pStyle w:val="105"/>
              <w:rPr>
                <w:rFonts w:cs="Arial"/>
              </w:rPr>
            </w:pPr>
          </w:p>
        </w:tc>
        <w:tc>
          <w:tcPr>
            <w:tcW w:w="5106" w:type="dxa"/>
          </w:tcPr>
          <w:p>
            <w:pPr>
              <w:pStyle w:val="105"/>
              <w:rPr>
                <w:rFonts w:eastAsia="宋体" w:cs="Arial"/>
                <w:lang w:eastAsia="zh-CN"/>
              </w:rPr>
            </w:pPr>
            <w:r>
              <w:rPr>
                <w:rFonts w:eastAsia="宋体" w:cs="Arial"/>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DFT-OFDM Symbols per Sub-Frame</w:t>
            </w:r>
          </w:p>
        </w:tc>
        <w:tc>
          <w:tcPr>
            <w:tcW w:w="931" w:type="dxa"/>
          </w:tcPr>
          <w:p>
            <w:pPr>
              <w:pStyle w:val="105"/>
              <w:rPr>
                <w:rFonts w:cs="Arial"/>
              </w:rPr>
            </w:pPr>
          </w:p>
        </w:tc>
        <w:tc>
          <w:tcPr>
            <w:tcW w:w="5106" w:type="dxa"/>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Modulation</w:t>
            </w:r>
          </w:p>
        </w:tc>
        <w:tc>
          <w:tcPr>
            <w:tcW w:w="931" w:type="dxa"/>
          </w:tcPr>
          <w:p>
            <w:pPr>
              <w:pStyle w:val="105"/>
              <w:rPr>
                <w:rFonts w:cs="Arial"/>
              </w:rPr>
            </w:pPr>
          </w:p>
        </w:tc>
        <w:tc>
          <w:tcPr>
            <w:tcW w:w="5106" w:type="dxa"/>
          </w:tcPr>
          <w:p>
            <w:pPr>
              <w:pStyle w:val="105"/>
              <w:rPr>
                <w:rFonts w:cs="Arial"/>
              </w:rPr>
            </w:pPr>
            <w:r>
              <w:rPr>
                <w:rFonts w:cs="Arial"/>
              </w:rPr>
              <w:t>16QAM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Target Coding rate</w:t>
            </w:r>
          </w:p>
        </w:tc>
        <w:tc>
          <w:tcPr>
            <w:tcW w:w="931" w:type="dxa"/>
          </w:tcPr>
          <w:p>
            <w:pPr>
              <w:pStyle w:val="105"/>
              <w:rPr>
                <w:rFonts w:cs="Arial"/>
              </w:rPr>
            </w:pPr>
          </w:p>
        </w:tc>
        <w:tc>
          <w:tcPr>
            <w:tcW w:w="5106" w:type="dxa"/>
          </w:tcPr>
          <w:p>
            <w:pPr>
              <w:pStyle w:val="105"/>
              <w:rPr>
                <w:rFonts w:cs="Arial"/>
              </w:rPr>
            </w:pPr>
            <w:r>
              <w:rPr>
                <w:rFonts w:cs="Arial"/>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Payload size</w:t>
            </w:r>
          </w:p>
        </w:tc>
        <w:tc>
          <w:tcPr>
            <w:tcW w:w="931" w:type="dxa"/>
          </w:tcPr>
          <w:p>
            <w:pPr>
              <w:pStyle w:val="105"/>
              <w:rPr>
                <w:rFonts w:cs="Arial"/>
              </w:rPr>
            </w:pPr>
            <w:r>
              <w:rPr>
                <w:rFonts w:cs="Arial"/>
              </w:rPr>
              <w:t>Bits</w:t>
            </w:r>
          </w:p>
        </w:tc>
        <w:tc>
          <w:tcPr>
            <w:tcW w:w="5106" w:type="dxa"/>
          </w:tcPr>
          <w:p>
            <w:pPr>
              <w:pStyle w:val="105"/>
              <w:rPr>
                <w:rFonts w:cs="Arial"/>
              </w:rPr>
            </w:pPr>
            <w:r>
              <w:rPr>
                <w:rFonts w:cs="Arial"/>
              </w:rPr>
              <w:t>872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szCs w:val="22"/>
              </w:rPr>
            </w:pPr>
            <w:r>
              <w:rPr>
                <w:rFonts w:cs="Arial"/>
                <w:szCs w:val="22"/>
              </w:rPr>
              <w:t>Transport block CRC</w:t>
            </w:r>
          </w:p>
        </w:tc>
        <w:tc>
          <w:tcPr>
            <w:tcW w:w="931" w:type="dxa"/>
          </w:tcPr>
          <w:p>
            <w:pPr>
              <w:pStyle w:val="105"/>
              <w:rPr>
                <w:rFonts w:cs="Arial"/>
              </w:rPr>
            </w:pPr>
            <w:r>
              <w:rPr>
                <w:rFonts w:cs="Arial"/>
              </w:rPr>
              <w:t>Bits</w:t>
            </w:r>
          </w:p>
        </w:tc>
        <w:tc>
          <w:tcPr>
            <w:tcW w:w="5106" w:type="dxa"/>
          </w:tcPr>
          <w:p>
            <w:pPr>
              <w:pStyle w:val="105"/>
              <w:rPr>
                <w:rFonts w:cs="Arial"/>
              </w:rPr>
            </w:pPr>
            <w:r>
              <w:rPr>
                <w:rFonts w:cs="Arial"/>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lang w:eastAsia="zh-CN"/>
              </w:rPr>
            </w:pPr>
            <w:r>
              <w:rPr>
                <w:rFonts w:cs="Arial"/>
              </w:rPr>
              <w:t xml:space="preserve">Number of code blocks </w:t>
            </w:r>
            <w:r>
              <w:rPr>
                <w:rFonts w:cs="Arial"/>
                <w:szCs w:val="22"/>
              </w:rPr>
              <w:t>per Sub-Frame</w:t>
            </w:r>
          </w:p>
        </w:tc>
        <w:tc>
          <w:tcPr>
            <w:tcW w:w="931" w:type="dxa"/>
          </w:tcPr>
          <w:p>
            <w:pPr>
              <w:pStyle w:val="105"/>
              <w:rPr>
                <w:rFonts w:cs="Arial"/>
              </w:rPr>
            </w:pPr>
          </w:p>
        </w:tc>
        <w:tc>
          <w:tcPr>
            <w:tcW w:w="5106" w:type="dxa"/>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Total number of bits per Sub-Frame</w:t>
            </w:r>
          </w:p>
        </w:tc>
        <w:tc>
          <w:tcPr>
            <w:tcW w:w="931" w:type="dxa"/>
          </w:tcPr>
          <w:p>
            <w:pPr>
              <w:pStyle w:val="105"/>
              <w:rPr>
                <w:rFonts w:cs="Arial"/>
              </w:rPr>
            </w:pPr>
            <w:r>
              <w:rPr>
                <w:rFonts w:cs="Arial"/>
              </w:rPr>
              <w:t>Bits</w:t>
            </w:r>
          </w:p>
        </w:tc>
        <w:tc>
          <w:tcPr>
            <w:tcW w:w="5106" w:type="dxa"/>
          </w:tcPr>
          <w:p>
            <w:pPr>
              <w:pStyle w:val="105"/>
              <w:rPr>
                <w:rFonts w:cs="Arial"/>
              </w:rPr>
            </w:pPr>
            <w:r>
              <w:rPr>
                <w:rFonts w:cs="Arial"/>
              </w:rPr>
              <w:t>2880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Total symbols per Sub-Frame</w:t>
            </w:r>
          </w:p>
        </w:tc>
        <w:tc>
          <w:tcPr>
            <w:tcW w:w="931" w:type="dxa"/>
          </w:tcPr>
          <w:p>
            <w:pPr>
              <w:pStyle w:val="105"/>
              <w:rPr>
                <w:rFonts w:cs="Arial"/>
              </w:rPr>
            </w:pPr>
          </w:p>
        </w:tc>
        <w:tc>
          <w:tcPr>
            <w:tcW w:w="5106" w:type="dxa"/>
          </w:tcPr>
          <w:p>
            <w:pPr>
              <w:pStyle w:val="105"/>
              <w:rPr>
                <w:rFonts w:cs="Arial"/>
              </w:rPr>
            </w:pPr>
            <w:r>
              <w:rPr>
                <w:rFonts w:cs="Arial"/>
              </w:rPr>
              <w:t>720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UE Category</w:t>
            </w:r>
          </w:p>
        </w:tc>
        <w:tc>
          <w:tcPr>
            <w:tcW w:w="931" w:type="dxa"/>
          </w:tcPr>
          <w:p>
            <w:pPr>
              <w:pStyle w:val="105"/>
              <w:rPr>
                <w:rFonts w:cs="Arial"/>
              </w:rPr>
            </w:pPr>
          </w:p>
        </w:tc>
        <w:tc>
          <w:tcPr>
            <w:tcW w:w="5106" w:type="dxa"/>
          </w:tcPr>
          <w:p>
            <w:pPr>
              <w:pStyle w:val="105"/>
              <w:rPr>
                <w:rFonts w:cs="Arial"/>
              </w:rPr>
            </w:pPr>
            <w:r>
              <w:rPr>
                <w:rFonts w:cs="Arial"/>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62" w:type="dxa"/>
            <w:gridSpan w:val="3"/>
          </w:tcPr>
          <w:p>
            <w:pPr>
              <w:pStyle w:val="118"/>
              <w:rPr>
                <w:rFonts w:cs="Arial"/>
              </w:rPr>
            </w:pPr>
            <w:r>
              <w:rPr>
                <w:rFonts w:cs="Arial"/>
              </w:rPr>
              <w:t>NOTE 1:</w:t>
            </w:r>
            <w:r>
              <w:rPr>
                <w:rFonts w:cs="Arial"/>
              </w:rPr>
              <w:tab/>
            </w:r>
            <w:r>
              <w:rPr>
                <w:rFonts w:cs="Arial"/>
              </w:rPr>
              <w:t>If more than one Code Block is present, an additional CRC sequence of L = 24 Bits is attached to each Code Block (otherwise L = 0 Bit)</w:t>
            </w:r>
          </w:p>
          <w:p>
            <w:pPr>
              <w:pStyle w:val="118"/>
              <w:rPr>
                <w:rFonts w:cs="Arial"/>
                <w:lang w:eastAsia="zh-CN"/>
              </w:rPr>
            </w:pPr>
            <w:r>
              <w:rPr>
                <w:rFonts w:cs="Arial"/>
              </w:rPr>
              <w:t>NOTE 2:</w:t>
            </w:r>
            <w:r>
              <w:rPr>
                <w:rFonts w:cs="Arial"/>
              </w:rPr>
              <w:tab/>
            </w:r>
            <w:r>
              <w:rPr>
                <w:rFonts w:cs="Arial"/>
              </w:rPr>
              <w:t>For HD-FDD UE, the uplink subframes are scheduled at the 5th, 6th, and 7th subframes every 10ms for the channel bandwidth 1.4MHz. Information bit payload is available if uplink subframe is scheduled.</w:t>
            </w:r>
          </w:p>
        </w:tc>
      </w:tr>
    </w:tbl>
    <w:p>
      <w:pPr>
        <w:rPr>
          <w:lang w:eastAsia="zh-TW"/>
        </w:rPr>
      </w:pPr>
    </w:p>
    <w:p>
      <w:pPr>
        <w:pStyle w:val="5"/>
        <w:rPr>
          <w:snapToGrid w:val="0"/>
        </w:rPr>
      </w:pPr>
      <w:bookmarkStart w:id="1688" w:name="_Toc232582100"/>
      <w:bookmarkStart w:id="1689" w:name="_Toc3184"/>
      <w:bookmarkStart w:id="1690" w:name="_Toc14160"/>
      <w:bookmarkStart w:id="1691" w:name="_Toc32438"/>
      <w:bookmarkStart w:id="1692" w:name="_Toc2027"/>
      <w:bookmarkStart w:id="1693" w:name="_Toc531"/>
      <w:r>
        <w:rPr>
          <w:snapToGrid w:val="0"/>
        </w:rPr>
        <w:t>A.2.2.2</w:t>
      </w:r>
      <w:r>
        <w:rPr>
          <w:snapToGrid w:val="0"/>
        </w:rPr>
        <w:tab/>
      </w:r>
      <w:r>
        <w:rPr>
          <w:snapToGrid w:val="0"/>
        </w:rPr>
        <w:t>Partial RB allocation</w:t>
      </w:r>
      <w:bookmarkEnd w:id="1688"/>
      <w:bookmarkEnd w:id="1689"/>
      <w:bookmarkEnd w:id="1690"/>
      <w:bookmarkEnd w:id="1691"/>
      <w:bookmarkEnd w:id="1692"/>
      <w:bookmarkEnd w:id="1693"/>
    </w:p>
    <w:p>
      <w:r>
        <w:t>For each channel bandwidth, various partial RB allocations are specified. The number of allocated RBs is chosen according to values specified in the Tx and Rx requirements. The single allocated RB case is included.</w:t>
      </w:r>
    </w:p>
    <w:p>
      <w:r>
        <w:t>The allocated RBs are contiguous and start from one end of the channel bandwidth. A single allocated RB is at one end of the channel bandwidth.</w:t>
      </w:r>
    </w:p>
    <w:p>
      <w:pPr>
        <w:pStyle w:val="6"/>
      </w:pPr>
      <w:bookmarkStart w:id="1694" w:name="_Toc9904"/>
      <w:bookmarkStart w:id="1695" w:name="_Toc16597"/>
      <w:bookmarkStart w:id="1696" w:name="_Toc20258"/>
      <w:bookmarkStart w:id="1697" w:name="_Toc232582101"/>
      <w:bookmarkStart w:id="1698" w:name="_Toc7619"/>
      <w:bookmarkStart w:id="1699" w:name="_Toc1929"/>
      <w:r>
        <w:t>A.2.2.2.1</w:t>
      </w:r>
      <w:r>
        <w:tab/>
      </w:r>
      <w:r>
        <w:t>QPSK</w:t>
      </w:r>
      <w:bookmarkEnd w:id="1694"/>
      <w:bookmarkEnd w:id="1695"/>
      <w:bookmarkEnd w:id="1696"/>
      <w:bookmarkEnd w:id="1697"/>
      <w:bookmarkEnd w:id="1698"/>
      <w:bookmarkEnd w:id="1699"/>
    </w:p>
    <w:p>
      <w:pPr>
        <w:pStyle w:val="113"/>
        <w:rPr>
          <w:snapToGrid w:val="0"/>
        </w:rPr>
      </w:pPr>
      <w:r>
        <w:t>Table A.2.2.2.1-1: Reference Channels for QK with partial RB allocation</w:t>
      </w:r>
      <w:r>
        <w:rPr>
          <w:lang w:eastAsia="zh-CN"/>
        </w:rPr>
        <w:t xml:space="preserve"> for </w:t>
      </w:r>
      <w:r>
        <w:rPr>
          <w:snapToGrid w:val="0"/>
        </w:rPr>
        <w:t>UE category M1</w:t>
      </w:r>
    </w:p>
    <w:tbl>
      <w:tblPr>
        <w:tblStyle w:val="89"/>
        <w:tblW w:w="103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
        <w:gridCol w:w="810"/>
        <w:gridCol w:w="810"/>
        <w:gridCol w:w="932"/>
        <w:gridCol w:w="810"/>
        <w:gridCol w:w="810"/>
        <w:gridCol w:w="951"/>
        <w:gridCol w:w="810"/>
        <w:gridCol w:w="932"/>
        <w:gridCol w:w="810"/>
        <w:gridCol w:w="891"/>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Pr>
          <w:p>
            <w:pPr>
              <w:pStyle w:val="104"/>
              <w:rPr>
                <w:rFonts w:cs="Arial"/>
                <w:sz w:val="16"/>
                <w:szCs w:val="16"/>
                <w:lang w:eastAsia="zh-CN"/>
              </w:rPr>
            </w:pPr>
            <w:r>
              <w:rPr>
                <w:rFonts w:cs="Arial"/>
                <w:sz w:val="16"/>
                <w:szCs w:val="16"/>
                <w:lang w:eastAsia="zh-CN"/>
              </w:rPr>
              <w:t>Parameter</w:t>
            </w:r>
          </w:p>
        </w:tc>
        <w:tc>
          <w:tcPr>
            <w:tcW w:w="810" w:type="dxa"/>
          </w:tcPr>
          <w:p>
            <w:pPr>
              <w:pStyle w:val="104"/>
              <w:rPr>
                <w:rFonts w:cs="Arial"/>
                <w:sz w:val="16"/>
                <w:szCs w:val="16"/>
                <w:lang w:eastAsia="zh-CN"/>
              </w:rPr>
            </w:pPr>
            <w:r>
              <w:rPr>
                <w:rFonts w:cs="Arial"/>
                <w:sz w:val="16"/>
                <w:szCs w:val="16"/>
                <w:lang w:eastAsia="zh-CN"/>
              </w:rPr>
              <w:t>Ch BW</w:t>
            </w:r>
          </w:p>
        </w:tc>
        <w:tc>
          <w:tcPr>
            <w:tcW w:w="810" w:type="dxa"/>
          </w:tcPr>
          <w:p>
            <w:pPr>
              <w:pStyle w:val="104"/>
              <w:rPr>
                <w:rFonts w:cs="Arial"/>
                <w:sz w:val="16"/>
                <w:szCs w:val="16"/>
                <w:lang w:eastAsia="zh-CN"/>
              </w:rPr>
            </w:pPr>
            <w:r>
              <w:rPr>
                <w:rFonts w:cs="Arial"/>
                <w:sz w:val="16"/>
                <w:szCs w:val="16"/>
                <w:lang w:eastAsia="zh-CN"/>
              </w:rPr>
              <w:t>Allocated RBs</w:t>
            </w:r>
          </w:p>
        </w:tc>
        <w:tc>
          <w:tcPr>
            <w:tcW w:w="932" w:type="dxa"/>
          </w:tcPr>
          <w:p>
            <w:pPr>
              <w:pStyle w:val="104"/>
              <w:rPr>
                <w:rFonts w:cs="Arial"/>
                <w:sz w:val="16"/>
                <w:szCs w:val="16"/>
                <w:lang w:eastAsia="zh-CN"/>
              </w:rPr>
            </w:pPr>
            <w:r>
              <w:rPr>
                <w:rFonts w:cs="Arial"/>
                <w:sz w:val="16"/>
                <w:szCs w:val="16"/>
                <w:lang w:eastAsia="zh-CN"/>
              </w:rPr>
              <w:t>DFT-OFDM Symbols per Sub-Frame</w:t>
            </w:r>
          </w:p>
        </w:tc>
        <w:tc>
          <w:tcPr>
            <w:tcW w:w="810" w:type="dxa"/>
          </w:tcPr>
          <w:p>
            <w:pPr>
              <w:pStyle w:val="104"/>
              <w:rPr>
                <w:rFonts w:cs="Arial"/>
                <w:sz w:val="16"/>
                <w:szCs w:val="16"/>
                <w:lang w:eastAsia="zh-CN"/>
              </w:rPr>
            </w:pPr>
            <w:r>
              <w:rPr>
                <w:rFonts w:cs="Arial"/>
                <w:sz w:val="16"/>
                <w:szCs w:val="16"/>
                <w:lang w:eastAsia="zh-CN"/>
              </w:rPr>
              <w:t>Mod’n</w:t>
            </w:r>
          </w:p>
        </w:tc>
        <w:tc>
          <w:tcPr>
            <w:tcW w:w="810" w:type="dxa"/>
          </w:tcPr>
          <w:p>
            <w:pPr>
              <w:pStyle w:val="104"/>
              <w:rPr>
                <w:rFonts w:cs="Arial"/>
                <w:sz w:val="16"/>
                <w:szCs w:val="16"/>
                <w:lang w:eastAsia="zh-CN"/>
              </w:rPr>
            </w:pPr>
            <w:r>
              <w:rPr>
                <w:rFonts w:cs="Arial"/>
                <w:sz w:val="16"/>
                <w:szCs w:val="16"/>
                <w:lang w:eastAsia="zh-CN"/>
              </w:rPr>
              <w:t>Target Coding rate</w:t>
            </w:r>
          </w:p>
        </w:tc>
        <w:tc>
          <w:tcPr>
            <w:tcW w:w="951" w:type="dxa"/>
          </w:tcPr>
          <w:p>
            <w:pPr>
              <w:pStyle w:val="104"/>
              <w:rPr>
                <w:rFonts w:cs="Arial"/>
                <w:sz w:val="16"/>
                <w:szCs w:val="16"/>
                <w:lang w:eastAsia="zh-CN"/>
              </w:rPr>
            </w:pPr>
            <w:r>
              <w:rPr>
                <w:rFonts w:cs="Arial"/>
                <w:sz w:val="16"/>
                <w:szCs w:val="16"/>
                <w:lang w:eastAsia="zh-CN"/>
              </w:rPr>
              <w:t>Payload size</w:t>
            </w:r>
          </w:p>
        </w:tc>
        <w:tc>
          <w:tcPr>
            <w:tcW w:w="810" w:type="dxa"/>
          </w:tcPr>
          <w:p>
            <w:pPr>
              <w:pStyle w:val="104"/>
              <w:rPr>
                <w:rFonts w:cs="Arial"/>
                <w:sz w:val="16"/>
                <w:szCs w:val="16"/>
                <w:lang w:eastAsia="zh-CN"/>
              </w:rPr>
            </w:pPr>
            <w:r>
              <w:rPr>
                <w:rFonts w:cs="Arial"/>
                <w:sz w:val="16"/>
                <w:szCs w:val="16"/>
                <w:lang w:eastAsia="zh-CN"/>
              </w:rPr>
              <w:t>Trans-port block CRC</w:t>
            </w:r>
          </w:p>
        </w:tc>
        <w:tc>
          <w:tcPr>
            <w:tcW w:w="932" w:type="dxa"/>
          </w:tcPr>
          <w:p>
            <w:pPr>
              <w:pStyle w:val="104"/>
              <w:rPr>
                <w:rFonts w:cs="Arial"/>
                <w:sz w:val="16"/>
                <w:szCs w:val="16"/>
                <w:lang w:eastAsia="zh-CN"/>
              </w:rPr>
            </w:pPr>
            <w:r>
              <w:rPr>
                <w:rFonts w:cs="Arial"/>
                <w:sz w:val="16"/>
                <w:szCs w:val="16"/>
                <w:lang w:eastAsia="zh-CN"/>
              </w:rPr>
              <w:t>Number of code blocks per Sub-Frame (Note 1)</w:t>
            </w:r>
          </w:p>
        </w:tc>
        <w:tc>
          <w:tcPr>
            <w:tcW w:w="810" w:type="dxa"/>
          </w:tcPr>
          <w:p>
            <w:pPr>
              <w:pStyle w:val="104"/>
              <w:rPr>
                <w:rFonts w:cs="Arial"/>
                <w:sz w:val="16"/>
                <w:szCs w:val="16"/>
                <w:lang w:eastAsia="zh-CN"/>
              </w:rPr>
            </w:pPr>
            <w:r>
              <w:rPr>
                <w:rFonts w:cs="Arial"/>
                <w:sz w:val="16"/>
                <w:szCs w:val="16"/>
                <w:lang w:eastAsia="zh-CN"/>
              </w:rPr>
              <w:t>Total number of bits per Sub-Frame</w:t>
            </w:r>
          </w:p>
        </w:tc>
        <w:tc>
          <w:tcPr>
            <w:tcW w:w="891" w:type="dxa"/>
          </w:tcPr>
          <w:p>
            <w:pPr>
              <w:pStyle w:val="104"/>
              <w:rPr>
                <w:rFonts w:cs="Arial"/>
                <w:sz w:val="16"/>
                <w:szCs w:val="16"/>
                <w:lang w:eastAsia="zh-CN"/>
              </w:rPr>
            </w:pPr>
            <w:r>
              <w:rPr>
                <w:rFonts w:cs="Arial"/>
                <w:sz w:val="16"/>
                <w:szCs w:val="16"/>
                <w:lang w:eastAsia="zh-CN"/>
              </w:rPr>
              <w:t>Total symbols per Sub-Frame</w:t>
            </w:r>
          </w:p>
        </w:tc>
        <w:tc>
          <w:tcPr>
            <w:tcW w:w="932" w:type="dxa"/>
          </w:tcPr>
          <w:p>
            <w:pPr>
              <w:pStyle w:val="104"/>
              <w:rPr>
                <w:rFonts w:cs="Arial"/>
                <w:sz w:val="16"/>
                <w:szCs w:val="16"/>
                <w:lang w:eastAsia="zh-CN"/>
              </w:rPr>
            </w:pPr>
            <w:r>
              <w:rPr>
                <w:rFonts w:cs="Arial"/>
                <w:sz w:val="16"/>
                <w:szCs w:val="16"/>
                <w:lang w:eastAsia="zh-CN"/>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Pr>
          <w:p>
            <w:pPr>
              <w:pStyle w:val="104"/>
              <w:rPr>
                <w:rFonts w:cs="Arial"/>
                <w:sz w:val="16"/>
                <w:szCs w:val="16"/>
                <w:lang w:eastAsia="zh-CN"/>
              </w:rPr>
            </w:pPr>
            <w:r>
              <w:rPr>
                <w:rFonts w:cs="Arial"/>
                <w:sz w:val="16"/>
                <w:szCs w:val="16"/>
                <w:lang w:eastAsia="zh-CN"/>
              </w:rPr>
              <w:t>Unit</w:t>
            </w:r>
          </w:p>
        </w:tc>
        <w:tc>
          <w:tcPr>
            <w:tcW w:w="810" w:type="dxa"/>
          </w:tcPr>
          <w:p>
            <w:pPr>
              <w:pStyle w:val="104"/>
              <w:rPr>
                <w:rFonts w:cs="Arial"/>
                <w:sz w:val="16"/>
                <w:szCs w:val="16"/>
                <w:lang w:eastAsia="zh-CN"/>
              </w:rPr>
            </w:pPr>
            <w:r>
              <w:rPr>
                <w:rFonts w:cs="Arial"/>
                <w:sz w:val="16"/>
                <w:szCs w:val="16"/>
                <w:lang w:eastAsia="zh-CN"/>
              </w:rPr>
              <w:t>MHz</w:t>
            </w:r>
          </w:p>
        </w:tc>
        <w:tc>
          <w:tcPr>
            <w:tcW w:w="810" w:type="dxa"/>
          </w:tcPr>
          <w:p>
            <w:pPr>
              <w:pStyle w:val="104"/>
              <w:rPr>
                <w:rFonts w:cs="Arial"/>
                <w:sz w:val="16"/>
                <w:szCs w:val="16"/>
                <w:lang w:eastAsia="zh-CN"/>
              </w:rPr>
            </w:pPr>
          </w:p>
        </w:tc>
        <w:tc>
          <w:tcPr>
            <w:tcW w:w="932" w:type="dxa"/>
          </w:tcPr>
          <w:p>
            <w:pPr>
              <w:pStyle w:val="104"/>
              <w:rPr>
                <w:rFonts w:cs="Arial"/>
                <w:sz w:val="16"/>
                <w:szCs w:val="16"/>
                <w:lang w:eastAsia="zh-CN"/>
              </w:rPr>
            </w:pPr>
          </w:p>
        </w:tc>
        <w:tc>
          <w:tcPr>
            <w:tcW w:w="810" w:type="dxa"/>
          </w:tcPr>
          <w:p>
            <w:pPr>
              <w:pStyle w:val="104"/>
              <w:rPr>
                <w:rFonts w:cs="Arial"/>
                <w:sz w:val="16"/>
                <w:szCs w:val="16"/>
                <w:lang w:eastAsia="zh-CN"/>
              </w:rPr>
            </w:pPr>
          </w:p>
        </w:tc>
        <w:tc>
          <w:tcPr>
            <w:tcW w:w="810" w:type="dxa"/>
          </w:tcPr>
          <w:p>
            <w:pPr>
              <w:pStyle w:val="104"/>
              <w:rPr>
                <w:rFonts w:cs="Arial"/>
                <w:sz w:val="16"/>
                <w:szCs w:val="16"/>
                <w:lang w:eastAsia="zh-CN"/>
              </w:rPr>
            </w:pPr>
          </w:p>
        </w:tc>
        <w:tc>
          <w:tcPr>
            <w:tcW w:w="951" w:type="dxa"/>
          </w:tcPr>
          <w:p>
            <w:pPr>
              <w:pStyle w:val="104"/>
              <w:rPr>
                <w:rFonts w:cs="Arial"/>
                <w:sz w:val="16"/>
                <w:szCs w:val="16"/>
                <w:lang w:eastAsia="zh-CN"/>
              </w:rPr>
            </w:pPr>
            <w:r>
              <w:rPr>
                <w:rFonts w:cs="Arial"/>
                <w:sz w:val="16"/>
                <w:szCs w:val="16"/>
                <w:lang w:eastAsia="zh-CN"/>
              </w:rPr>
              <w:t>Bits</w:t>
            </w:r>
          </w:p>
        </w:tc>
        <w:tc>
          <w:tcPr>
            <w:tcW w:w="810" w:type="dxa"/>
          </w:tcPr>
          <w:p>
            <w:pPr>
              <w:pStyle w:val="104"/>
              <w:rPr>
                <w:rFonts w:cs="Arial"/>
                <w:sz w:val="16"/>
                <w:szCs w:val="16"/>
                <w:lang w:eastAsia="zh-CN"/>
              </w:rPr>
            </w:pPr>
            <w:r>
              <w:rPr>
                <w:rFonts w:cs="Arial"/>
                <w:sz w:val="16"/>
                <w:szCs w:val="16"/>
                <w:lang w:eastAsia="zh-CN"/>
              </w:rPr>
              <w:t>Bits</w:t>
            </w:r>
          </w:p>
        </w:tc>
        <w:tc>
          <w:tcPr>
            <w:tcW w:w="932" w:type="dxa"/>
          </w:tcPr>
          <w:p>
            <w:pPr>
              <w:pStyle w:val="104"/>
              <w:rPr>
                <w:rFonts w:cs="Arial"/>
                <w:sz w:val="16"/>
                <w:szCs w:val="16"/>
                <w:lang w:eastAsia="zh-CN"/>
              </w:rPr>
            </w:pPr>
          </w:p>
        </w:tc>
        <w:tc>
          <w:tcPr>
            <w:tcW w:w="810" w:type="dxa"/>
          </w:tcPr>
          <w:p>
            <w:pPr>
              <w:pStyle w:val="104"/>
              <w:rPr>
                <w:rFonts w:cs="Arial"/>
                <w:sz w:val="16"/>
                <w:szCs w:val="16"/>
                <w:lang w:eastAsia="zh-CN"/>
              </w:rPr>
            </w:pPr>
            <w:r>
              <w:rPr>
                <w:rFonts w:cs="Arial"/>
                <w:sz w:val="16"/>
                <w:szCs w:val="16"/>
                <w:lang w:eastAsia="zh-CN"/>
              </w:rPr>
              <w:t>Bits</w:t>
            </w:r>
          </w:p>
        </w:tc>
        <w:tc>
          <w:tcPr>
            <w:tcW w:w="891" w:type="dxa"/>
          </w:tcPr>
          <w:p>
            <w:pPr>
              <w:pStyle w:val="104"/>
              <w:rPr>
                <w:rFonts w:cs="Arial"/>
                <w:sz w:val="16"/>
                <w:szCs w:val="16"/>
                <w:lang w:eastAsia="zh-CN"/>
              </w:rPr>
            </w:pPr>
          </w:p>
        </w:tc>
        <w:tc>
          <w:tcPr>
            <w:tcW w:w="932" w:type="dxa"/>
          </w:tcPr>
          <w:p>
            <w:pPr>
              <w:pStyle w:val="104"/>
              <w:rPr>
                <w:rFonts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op w:val="single" w:color="auto" w:sz="4" w:space="0"/>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72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288</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176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576</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288</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3</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256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864</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432</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392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1152</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576</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1440</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720</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3-20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6</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600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1728</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864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7" w:type="dxa"/>
            <w:gridSpan w:val="12"/>
            <w:tcBorders>
              <w:left w:val="single" w:color="auto" w:sz="4" w:space="0"/>
              <w:right w:val="single" w:color="auto" w:sz="4" w:space="0"/>
            </w:tcBorders>
          </w:tcPr>
          <w:p>
            <w:pPr>
              <w:pStyle w:val="118"/>
              <w:rPr>
                <w:rFonts w:cs="Arial"/>
              </w:rPr>
            </w:pPr>
            <w:r>
              <w:rPr>
                <w:rFonts w:cs="Arial"/>
              </w:rPr>
              <w:t>Note 1:</w:t>
            </w:r>
            <w:r>
              <w:rPr>
                <w:rFonts w:cs="Arial"/>
              </w:rPr>
              <w:tab/>
            </w:r>
            <w:r>
              <w:rPr>
                <w:rFonts w:cs="Arial"/>
              </w:rPr>
              <w:t>If more than one Code Block is present, an additional CRC sequence of L = 24 Bits is attached to each Code Block (otherwise L = 0 Bit)</w:t>
            </w:r>
          </w:p>
          <w:p>
            <w:pPr>
              <w:pStyle w:val="118"/>
              <w:rPr>
                <w:rFonts w:cs="Arial"/>
                <w:sz w:val="14"/>
                <w:szCs w:val="14"/>
                <w:lang w:eastAsia="zh-CN"/>
              </w:rPr>
            </w:pPr>
            <w:r>
              <w:rPr>
                <w:rFonts w:cs="Arial"/>
              </w:rPr>
              <w:t>Note 2:</w:t>
            </w:r>
            <w:r>
              <w:rPr>
                <w:rFonts w:cs="Arial"/>
              </w:rPr>
              <w:tab/>
            </w:r>
            <w:r>
              <w:rPr>
                <w:rFonts w:cs="Arial"/>
              </w:rPr>
              <w:t>For HD-FDD UE, the uplink subframes are scheduled at the 4th, 5th and 6thsubframes every 10ms for the channel bandwidth 5MHz/10MHz/15MHz/20MHz. For HD-FDD UE, the uplink subframes are scheduled at the 5th, 6th, and 7th subframes every 10ms for the channel bandwidth 1.4MHz/3MHz. Information bit payload is available if uplink subframe is scheduled.</w:t>
            </w:r>
          </w:p>
        </w:tc>
      </w:tr>
    </w:tbl>
    <w:p/>
    <w:p>
      <w:pPr>
        <w:pStyle w:val="6"/>
      </w:pPr>
      <w:bookmarkStart w:id="1700" w:name="_Toc26841"/>
      <w:bookmarkStart w:id="1701" w:name="_Toc10947"/>
      <w:bookmarkStart w:id="1702" w:name="_Toc31784"/>
      <w:bookmarkStart w:id="1703" w:name="_Toc831"/>
      <w:bookmarkStart w:id="1704" w:name="_Toc5546"/>
      <w:bookmarkStart w:id="1705" w:name="_Toc232582102"/>
      <w:r>
        <w:t>A.2.2.2.2</w:t>
      </w:r>
      <w:r>
        <w:tab/>
      </w:r>
      <w:r>
        <w:t>16-QAM</w:t>
      </w:r>
      <w:bookmarkEnd w:id="1700"/>
      <w:bookmarkEnd w:id="1701"/>
      <w:bookmarkEnd w:id="1702"/>
      <w:bookmarkEnd w:id="1703"/>
      <w:bookmarkEnd w:id="1704"/>
      <w:bookmarkEnd w:id="1705"/>
    </w:p>
    <w:p>
      <w:pPr>
        <w:pStyle w:val="113"/>
        <w:rPr>
          <w:snapToGrid w:val="0"/>
        </w:rPr>
      </w:pPr>
      <w:r>
        <w:t>Table A.2.2.2.2-1: Reference Channels for 16-QAM with partial RB allocation</w:t>
      </w:r>
      <w:r>
        <w:rPr>
          <w:lang w:eastAsia="zh-CN"/>
        </w:rPr>
        <w:t xml:space="preserve"> for </w:t>
      </w:r>
      <w:r>
        <w:rPr>
          <w:snapToGrid w:val="0"/>
        </w:rPr>
        <w:t>UE category M1</w:t>
      </w:r>
    </w:p>
    <w:tbl>
      <w:tblPr>
        <w:tblStyle w:val="89"/>
        <w:tblW w:w="97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
        <w:gridCol w:w="810"/>
        <w:gridCol w:w="810"/>
        <w:gridCol w:w="810"/>
        <w:gridCol w:w="810"/>
        <w:gridCol w:w="810"/>
        <w:gridCol w:w="850"/>
        <w:gridCol w:w="810"/>
        <w:gridCol w:w="810"/>
        <w:gridCol w:w="810"/>
        <w:gridCol w:w="810"/>
        <w:gridCol w:w="8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Pr>
          <w:p>
            <w:pPr>
              <w:pStyle w:val="104"/>
              <w:rPr>
                <w:lang w:eastAsia="zh-CN"/>
              </w:rPr>
            </w:pPr>
            <w:r>
              <w:rPr>
                <w:lang w:eastAsia="zh-CN"/>
              </w:rPr>
              <w:t>Parameter</w:t>
            </w:r>
          </w:p>
        </w:tc>
        <w:tc>
          <w:tcPr>
            <w:tcW w:w="810" w:type="dxa"/>
          </w:tcPr>
          <w:p>
            <w:pPr>
              <w:pStyle w:val="104"/>
              <w:rPr>
                <w:lang w:eastAsia="zh-CN"/>
              </w:rPr>
            </w:pPr>
            <w:r>
              <w:rPr>
                <w:lang w:eastAsia="zh-CN"/>
              </w:rPr>
              <w:t>Ch BW</w:t>
            </w:r>
          </w:p>
        </w:tc>
        <w:tc>
          <w:tcPr>
            <w:tcW w:w="810" w:type="dxa"/>
          </w:tcPr>
          <w:p>
            <w:pPr>
              <w:pStyle w:val="104"/>
              <w:rPr>
                <w:lang w:eastAsia="zh-CN"/>
              </w:rPr>
            </w:pPr>
            <w:r>
              <w:rPr>
                <w:lang w:eastAsia="zh-CN"/>
              </w:rPr>
              <w:t>Allocated RBs</w:t>
            </w:r>
          </w:p>
        </w:tc>
        <w:tc>
          <w:tcPr>
            <w:tcW w:w="810" w:type="dxa"/>
          </w:tcPr>
          <w:p>
            <w:pPr>
              <w:pStyle w:val="104"/>
              <w:rPr>
                <w:lang w:eastAsia="zh-CN"/>
              </w:rPr>
            </w:pPr>
            <w:r>
              <w:rPr>
                <w:lang w:eastAsia="zh-CN"/>
              </w:rPr>
              <w:t>DFT-OFDM Symbols per Sub-Frame</w:t>
            </w:r>
          </w:p>
        </w:tc>
        <w:tc>
          <w:tcPr>
            <w:tcW w:w="810" w:type="dxa"/>
          </w:tcPr>
          <w:p>
            <w:pPr>
              <w:pStyle w:val="104"/>
              <w:rPr>
                <w:lang w:eastAsia="zh-CN"/>
              </w:rPr>
            </w:pPr>
            <w:r>
              <w:rPr>
                <w:lang w:eastAsia="zh-CN"/>
              </w:rPr>
              <w:t>Mod’n</w:t>
            </w:r>
          </w:p>
        </w:tc>
        <w:tc>
          <w:tcPr>
            <w:tcW w:w="810" w:type="dxa"/>
          </w:tcPr>
          <w:p>
            <w:pPr>
              <w:pStyle w:val="104"/>
              <w:rPr>
                <w:lang w:eastAsia="zh-CN"/>
              </w:rPr>
            </w:pPr>
            <w:r>
              <w:rPr>
                <w:lang w:eastAsia="zh-CN"/>
              </w:rPr>
              <w:t>Target Coding rate</w:t>
            </w:r>
          </w:p>
        </w:tc>
        <w:tc>
          <w:tcPr>
            <w:tcW w:w="850" w:type="dxa"/>
          </w:tcPr>
          <w:p>
            <w:pPr>
              <w:pStyle w:val="104"/>
              <w:rPr>
                <w:lang w:eastAsia="zh-CN"/>
              </w:rPr>
            </w:pPr>
            <w:r>
              <w:rPr>
                <w:lang w:eastAsia="zh-CN"/>
              </w:rPr>
              <w:t>Payload size</w:t>
            </w:r>
          </w:p>
        </w:tc>
        <w:tc>
          <w:tcPr>
            <w:tcW w:w="810" w:type="dxa"/>
          </w:tcPr>
          <w:p>
            <w:pPr>
              <w:pStyle w:val="104"/>
              <w:rPr>
                <w:lang w:eastAsia="zh-CN"/>
              </w:rPr>
            </w:pPr>
            <w:r>
              <w:rPr>
                <w:lang w:eastAsia="zh-CN"/>
              </w:rPr>
              <w:t>Transport block CRC</w:t>
            </w:r>
          </w:p>
        </w:tc>
        <w:tc>
          <w:tcPr>
            <w:tcW w:w="810" w:type="dxa"/>
          </w:tcPr>
          <w:p>
            <w:pPr>
              <w:pStyle w:val="104"/>
              <w:rPr>
                <w:lang w:eastAsia="zh-CN"/>
              </w:rPr>
            </w:pPr>
            <w:r>
              <w:rPr>
                <w:lang w:eastAsia="zh-CN"/>
              </w:rPr>
              <w:t>Number of code blocks per Sub-Frame (Note 1)</w:t>
            </w:r>
          </w:p>
        </w:tc>
        <w:tc>
          <w:tcPr>
            <w:tcW w:w="810" w:type="dxa"/>
          </w:tcPr>
          <w:p>
            <w:pPr>
              <w:pStyle w:val="104"/>
              <w:rPr>
                <w:lang w:eastAsia="zh-CN"/>
              </w:rPr>
            </w:pPr>
            <w:r>
              <w:rPr>
                <w:lang w:eastAsia="zh-CN"/>
              </w:rPr>
              <w:t>Total number of bits per Sub-Frame</w:t>
            </w:r>
          </w:p>
        </w:tc>
        <w:tc>
          <w:tcPr>
            <w:tcW w:w="810" w:type="dxa"/>
          </w:tcPr>
          <w:p>
            <w:pPr>
              <w:pStyle w:val="104"/>
              <w:rPr>
                <w:lang w:eastAsia="zh-CN"/>
              </w:rPr>
            </w:pPr>
            <w:r>
              <w:rPr>
                <w:lang w:eastAsia="zh-CN"/>
              </w:rPr>
              <w:t>Total symbols per Sub-Frame</w:t>
            </w:r>
          </w:p>
        </w:tc>
        <w:tc>
          <w:tcPr>
            <w:tcW w:w="810" w:type="dxa"/>
          </w:tcPr>
          <w:p>
            <w:pPr>
              <w:pStyle w:val="104"/>
              <w:rPr>
                <w:lang w:eastAsia="zh-CN"/>
              </w:rPr>
            </w:pPr>
            <w:r>
              <w:rPr>
                <w:lang w:eastAsia="zh-CN"/>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Pr>
          <w:p>
            <w:pPr>
              <w:pStyle w:val="104"/>
              <w:rPr>
                <w:lang w:eastAsia="zh-CN"/>
              </w:rPr>
            </w:pPr>
            <w:r>
              <w:rPr>
                <w:lang w:eastAsia="zh-CN"/>
              </w:rPr>
              <w:t>Unit</w:t>
            </w:r>
          </w:p>
        </w:tc>
        <w:tc>
          <w:tcPr>
            <w:tcW w:w="810" w:type="dxa"/>
          </w:tcPr>
          <w:p>
            <w:pPr>
              <w:pStyle w:val="104"/>
              <w:rPr>
                <w:lang w:eastAsia="zh-CN"/>
              </w:rPr>
            </w:pPr>
            <w:r>
              <w:rPr>
                <w:lang w:eastAsia="zh-CN"/>
              </w:rPr>
              <w:t>MHz</w:t>
            </w:r>
          </w:p>
        </w:tc>
        <w:tc>
          <w:tcPr>
            <w:tcW w:w="810" w:type="dxa"/>
          </w:tcPr>
          <w:p>
            <w:pPr>
              <w:pStyle w:val="104"/>
              <w:rPr>
                <w:lang w:eastAsia="zh-CN"/>
              </w:rPr>
            </w:pPr>
          </w:p>
        </w:tc>
        <w:tc>
          <w:tcPr>
            <w:tcW w:w="810" w:type="dxa"/>
          </w:tcPr>
          <w:p>
            <w:pPr>
              <w:pStyle w:val="104"/>
              <w:rPr>
                <w:lang w:eastAsia="zh-CN"/>
              </w:rPr>
            </w:pPr>
          </w:p>
        </w:tc>
        <w:tc>
          <w:tcPr>
            <w:tcW w:w="810" w:type="dxa"/>
          </w:tcPr>
          <w:p>
            <w:pPr>
              <w:pStyle w:val="104"/>
              <w:rPr>
                <w:lang w:eastAsia="zh-CN"/>
              </w:rPr>
            </w:pPr>
          </w:p>
        </w:tc>
        <w:tc>
          <w:tcPr>
            <w:tcW w:w="810" w:type="dxa"/>
          </w:tcPr>
          <w:p>
            <w:pPr>
              <w:pStyle w:val="104"/>
              <w:rPr>
                <w:lang w:eastAsia="zh-CN"/>
              </w:rPr>
            </w:pPr>
          </w:p>
        </w:tc>
        <w:tc>
          <w:tcPr>
            <w:tcW w:w="850" w:type="dxa"/>
          </w:tcPr>
          <w:p>
            <w:pPr>
              <w:pStyle w:val="104"/>
              <w:rPr>
                <w:lang w:eastAsia="zh-CN"/>
              </w:rPr>
            </w:pPr>
            <w:r>
              <w:rPr>
                <w:lang w:eastAsia="zh-CN"/>
              </w:rPr>
              <w:t>Bits</w:t>
            </w:r>
          </w:p>
        </w:tc>
        <w:tc>
          <w:tcPr>
            <w:tcW w:w="810" w:type="dxa"/>
          </w:tcPr>
          <w:p>
            <w:pPr>
              <w:pStyle w:val="104"/>
              <w:rPr>
                <w:lang w:eastAsia="zh-CN"/>
              </w:rPr>
            </w:pPr>
            <w:r>
              <w:rPr>
                <w:lang w:eastAsia="zh-CN"/>
              </w:rPr>
              <w:t>Bits</w:t>
            </w:r>
          </w:p>
        </w:tc>
        <w:tc>
          <w:tcPr>
            <w:tcW w:w="810" w:type="dxa"/>
          </w:tcPr>
          <w:p>
            <w:pPr>
              <w:pStyle w:val="104"/>
              <w:rPr>
                <w:lang w:eastAsia="zh-CN"/>
              </w:rPr>
            </w:pPr>
          </w:p>
        </w:tc>
        <w:tc>
          <w:tcPr>
            <w:tcW w:w="810" w:type="dxa"/>
          </w:tcPr>
          <w:p>
            <w:pPr>
              <w:pStyle w:val="104"/>
              <w:rPr>
                <w:lang w:eastAsia="zh-CN"/>
              </w:rPr>
            </w:pPr>
            <w:r>
              <w:rPr>
                <w:lang w:eastAsia="zh-CN"/>
              </w:rPr>
              <w:t>Bits</w:t>
            </w:r>
          </w:p>
        </w:tc>
        <w:tc>
          <w:tcPr>
            <w:tcW w:w="810" w:type="dxa"/>
          </w:tcPr>
          <w:p>
            <w:pPr>
              <w:pStyle w:val="104"/>
              <w:rPr>
                <w:lang w:eastAsia="zh-CN"/>
              </w:rPr>
            </w:pPr>
          </w:p>
        </w:tc>
        <w:tc>
          <w:tcPr>
            <w:tcW w:w="810" w:type="dxa"/>
          </w:tcPr>
          <w:p>
            <w:pPr>
              <w:pStyle w:val="104"/>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op w:val="single" w:color="auto" w:sz="4" w:space="0"/>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16QAM</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1/2</w:t>
            </w:r>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256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576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16QAM</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1/2</w:t>
            </w:r>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552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1152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288</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3</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16QAM</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1/2</w:t>
            </w:r>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840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1728</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432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16QAM</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2/5</w:t>
            </w:r>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904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2304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576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9" w:type="dxa"/>
            <w:gridSpan w:val="12"/>
            <w:tcBorders>
              <w:left w:val="single" w:color="auto" w:sz="4" w:space="0"/>
              <w:right w:val="single" w:color="auto" w:sz="4" w:space="0"/>
            </w:tcBorders>
          </w:tcPr>
          <w:p>
            <w:pPr>
              <w:pStyle w:val="118"/>
            </w:pPr>
            <w:r>
              <w:t>Note 1:</w:t>
            </w:r>
            <w:r>
              <w:tab/>
            </w:r>
            <w:r>
              <w:t>If more than one Code Block is present, an additional CRC sequence of L = 24 Bits is attached to each Code Block (otherwise L = 0 Bit).</w:t>
            </w:r>
          </w:p>
          <w:p>
            <w:pPr>
              <w:pStyle w:val="118"/>
            </w:pPr>
            <w:r>
              <w:t>Note 2:</w:t>
            </w:r>
            <w:r>
              <w:tab/>
            </w:r>
            <w:r>
              <w:t>For HD-FDD UE, the uplink subframes are scheduled at the 4th, 5th and 6thsubframes every 10ms for the channel bandwidth 5MHz/10MHz/15MHz/20MHz. For HD-FDD UE, the uplink subframes are scheduled at the 5th, 6th, and 7th subframes every 10ms for the channel bandwidth 1.4MHz/3MHz. Information bit payload is available if uplink subframe is scheduled.</w:t>
            </w:r>
          </w:p>
        </w:tc>
      </w:tr>
    </w:tbl>
    <w:p/>
    <w:p>
      <w:pPr>
        <w:pStyle w:val="5"/>
        <w:rPr>
          <w:rFonts w:eastAsia="宋体"/>
          <w:snapToGrid w:val="0"/>
          <w:lang w:val="en-US" w:eastAsia="zh-CN"/>
        </w:rPr>
      </w:pPr>
      <w:bookmarkStart w:id="1706" w:name="_Toc25077"/>
      <w:bookmarkStart w:id="1707" w:name="_Toc4199"/>
      <w:bookmarkStart w:id="1708" w:name="_Toc4017"/>
      <w:bookmarkStart w:id="1709" w:name="_Toc4904"/>
      <w:bookmarkStart w:id="1710" w:name="_Toc31071"/>
      <w:r>
        <w:rPr>
          <w:snapToGrid w:val="0"/>
        </w:rPr>
        <w:t>A.2.2.3</w:t>
      </w:r>
      <w:r>
        <w:rPr>
          <w:snapToGrid w:val="0"/>
        </w:rPr>
        <w:tab/>
      </w:r>
      <w:r>
        <w:rPr>
          <w:rFonts w:hint="eastAsia" w:eastAsia="宋体"/>
          <w:snapToGrid w:val="0"/>
          <w:lang w:val="en-US" w:eastAsia="zh-CN"/>
        </w:rPr>
        <w:t>FFS</w:t>
      </w:r>
      <w:bookmarkEnd w:id="1706"/>
      <w:bookmarkEnd w:id="1707"/>
      <w:bookmarkEnd w:id="1708"/>
      <w:bookmarkEnd w:id="1709"/>
      <w:bookmarkEnd w:id="1710"/>
    </w:p>
    <w:p>
      <w:pPr>
        <w:rPr>
          <w:snapToGrid w:val="0"/>
          <w:lang w:eastAsia="en-GB"/>
        </w:rPr>
      </w:pPr>
      <w:bookmarkStart w:id="1711" w:name="_Toc368026644"/>
    </w:p>
    <w:p>
      <w:pPr>
        <w:pStyle w:val="5"/>
        <w:rPr>
          <w:snapToGrid w:val="0"/>
        </w:rPr>
      </w:pPr>
      <w:bookmarkStart w:id="1712" w:name="_Toc11616"/>
      <w:bookmarkStart w:id="1713" w:name="_Toc26290"/>
      <w:bookmarkStart w:id="1714" w:name="_Toc18717"/>
      <w:bookmarkStart w:id="1715" w:name="_Toc17539"/>
      <w:bookmarkStart w:id="1716" w:name="_Toc24028"/>
      <w:r>
        <w:rPr>
          <w:snapToGrid w:val="0"/>
        </w:rPr>
        <w:t>A.2.2.4</w:t>
      </w:r>
      <w:r>
        <w:rPr>
          <w:snapToGrid w:val="0"/>
        </w:rPr>
        <w:tab/>
      </w:r>
      <w:bookmarkEnd w:id="1711"/>
      <w:r>
        <w:rPr>
          <w:snapToGrid w:val="0"/>
        </w:rPr>
        <w:t>subPRB allocation</w:t>
      </w:r>
      <w:bookmarkEnd w:id="1712"/>
      <w:bookmarkEnd w:id="1713"/>
      <w:bookmarkEnd w:id="1714"/>
      <w:bookmarkEnd w:id="1715"/>
      <w:bookmarkEnd w:id="1716"/>
    </w:p>
    <w:p>
      <w:r>
        <w:t>The location of allocated RB for subPRB allocation is chosen according to values specified in the Tx requirements.</w:t>
      </w:r>
    </w:p>
    <w:p>
      <w:pPr>
        <w:pStyle w:val="113"/>
        <w:rPr>
          <w:lang w:eastAsia="en-GB"/>
        </w:rPr>
      </w:pPr>
      <w:r>
        <w:rPr>
          <w:lang w:eastAsia="en-GB"/>
        </w:rPr>
        <w:t>Table A.2.2.4-1: Reference Channels for SubPRB allocation</w:t>
      </w:r>
    </w:p>
    <w:tbl>
      <w:tblPr>
        <w:tblStyle w:val="89"/>
        <w:tblW w:w="0" w:type="auto"/>
        <w:jc w:val="center"/>
        <w:tblLayout w:type="autofit"/>
        <w:tblCellMar>
          <w:top w:w="0" w:type="dxa"/>
          <w:left w:w="0" w:type="dxa"/>
          <w:bottom w:w="0" w:type="dxa"/>
          <w:right w:w="0" w:type="dxa"/>
        </w:tblCellMar>
      </w:tblPr>
      <w:tblGrid>
        <w:gridCol w:w="3970"/>
        <w:gridCol w:w="931"/>
        <w:gridCol w:w="1105"/>
        <w:gridCol w:w="1105"/>
        <w:gridCol w:w="1106"/>
      </w:tblGrid>
      <w:tr>
        <w:tblPrEx>
          <w:tblCellMar>
            <w:top w:w="0" w:type="dxa"/>
            <w:left w:w="0" w:type="dxa"/>
            <w:bottom w:w="0" w:type="dxa"/>
            <w:right w:w="0" w:type="dxa"/>
          </w:tblCellMar>
        </w:tblPrEx>
        <w:trPr>
          <w:jc w:val="center"/>
        </w:trPr>
        <w:tc>
          <w:tcPr>
            <w:tcW w:w="397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rPr>
                <w:lang w:val="sv-SE"/>
              </w:rPr>
            </w:pPr>
            <w:r>
              <w:rPr>
                <w:lang w:val="fr-FR"/>
              </w:rPr>
              <w:t>Parameter</w:t>
            </w:r>
          </w:p>
        </w:tc>
        <w:tc>
          <w:tcPr>
            <w:tcW w:w="931" w:type="dxa"/>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104"/>
              <w:rPr>
                <w:lang w:val="fr-FR"/>
              </w:rPr>
            </w:pPr>
            <w:r>
              <w:rPr>
                <w:lang w:val="fr-FR"/>
              </w:rPr>
              <w:t>Unit</w:t>
            </w:r>
          </w:p>
        </w:tc>
        <w:tc>
          <w:tcPr>
            <w:tcW w:w="3316" w:type="dxa"/>
            <w:gridSpan w:val="3"/>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104"/>
              <w:rPr>
                <w:lang w:val="fr-FR"/>
              </w:rPr>
            </w:pPr>
            <w:r>
              <w:rPr>
                <w:lang w:val="fr-FR"/>
              </w:rPr>
              <w:t>Value</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b/>
                <w:bCs/>
                <w:lang w:val="fr-FR"/>
              </w:rPr>
            </w:pPr>
            <w:r>
              <w:rPr>
                <w:lang w:val="fr-FR"/>
              </w:rPr>
              <w:t>Channel bandwidth</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MHz</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Allocated resource blocks</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Number of subcarriers</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 out of 3</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3</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6</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DFT-OFDM Symbols per Sub-Frame</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12</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12</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12</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Modulation</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π/2 BPSK</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QPSK</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QPSK</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Target Coding rate</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1/3</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1/3</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1/3</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Payload size</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Bits</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32</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72</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72</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Transport block CRC</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Bits</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24</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24</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24</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Number of code blocks</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Total number of bits per resource unit</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Bits</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192</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288</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288</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Total symbols per resource unit</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192</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144</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144</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Tx time</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ms</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8</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4</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UE UL Category</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M1</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M1</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M1</w:t>
            </w:r>
          </w:p>
        </w:tc>
      </w:tr>
      <w:tr>
        <w:tblPrEx>
          <w:tblCellMar>
            <w:top w:w="0" w:type="dxa"/>
            <w:left w:w="0" w:type="dxa"/>
            <w:bottom w:w="0" w:type="dxa"/>
            <w:right w:w="0" w:type="dxa"/>
          </w:tblCellMar>
        </w:tblPrEx>
        <w:trPr>
          <w:jc w:val="center"/>
        </w:trPr>
        <w:tc>
          <w:tcPr>
            <w:tcW w:w="8217" w:type="dxa"/>
            <w:gridSpan w:val="5"/>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lang w:val="fr-FR"/>
              </w:rPr>
            </w:pPr>
            <w:r>
              <w:rPr>
                <w:lang w:val="fr-FR"/>
              </w:rPr>
              <w:t> NOTE 1:  If more than one Code Block is present, an additional CRC sequence of L = 24 Bits is attached to each Code Block (otherwise L = 0 Bit)</w:t>
            </w:r>
          </w:p>
        </w:tc>
      </w:tr>
    </w:tbl>
    <w:p/>
    <w:p>
      <w:pPr>
        <w:pStyle w:val="4"/>
        <w:rPr>
          <w:rFonts w:eastAsia="宋体"/>
          <w:lang w:val="en-US" w:eastAsia="zh-CN"/>
        </w:rPr>
      </w:pPr>
      <w:bookmarkStart w:id="1717" w:name="_Toc232582104"/>
      <w:bookmarkStart w:id="1718" w:name="_Toc29358"/>
      <w:bookmarkStart w:id="1719" w:name="_Toc30414"/>
      <w:bookmarkStart w:id="1720" w:name="_Toc1085"/>
      <w:bookmarkStart w:id="1721" w:name="_Toc10174"/>
      <w:bookmarkStart w:id="1722" w:name="_Toc23111"/>
      <w:r>
        <w:t>A.2.3</w:t>
      </w:r>
      <w:r>
        <w:tab/>
      </w:r>
      <w:bookmarkEnd w:id="1717"/>
      <w:r>
        <w:t>FFS</w:t>
      </w:r>
      <w:bookmarkEnd w:id="1718"/>
      <w:bookmarkEnd w:id="1719"/>
      <w:bookmarkEnd w:id="1720"/>
      <w:bookmarkEnd w:id="1721"/>
      <w:bookmarkEnd w:id="1722"/>
    </w:p>
    <w:p/>
    <w:p>
      <w:pPr>
        <w:pStyle w:val="4"/>
        <w:rPr>
          <w:lang w:eastAsia="zh-CN"/>
        </w:rPr>
      </w:pPr>
      <w:bookmarkStart w:id="1723" w:name="_Toc368026645"/>
      <w:bookmarkStart w:id="1724" w:name="_Toc31176"/>
      <w:bookmarkStart w:id="1725" w:name="_Toc32187"/>
      <w:bookmarkStart w:id="1726" w:name="_Toc31802"/>
      <w:bookmarkStart w:id="1727" w:name="_Toc29843"/>
      <w:bookmarkStart w:id="1728" w:name="_Toc11251"/>
      <w:bookmarkStart w:id="1729" w:name="_Toc368026635"/>
      <w:r>
        <w:t>A.2.</w:t>
      </w:r>
      <w:r>
        <w:rPr>
          <w:lang w:eastAsia="zh-CN"/>
        </w:rPr>
        <w:t>4</w:t>
      </w:r>
      <w:r>
        <w:tab/>
      </w:r>
      <w:bookmarkEnd w:id="1723"/>
      <w:r>
        <w:t>Reference measurement channels for category NB1</w:t>
      </w:r>
      <w:bookmarkEnd w:id="1724"/>
      <w:bookmarkEnd w:id="1725"/>
      <w:bookmarkEnd w:id="1726"/>
      <w:bookmarkEnd w:id="1727"/>
      <w:bookmarkEnd w:id="1728"/>
    </w:p>
    <w:bookmarkEnd w:id="1729"/>
    <w:p>
      <w:pPr>
        <w:pStyle w:val="113"/>
        <w:rPr>
          <w:lang w:eastAsia="zh-CN"/>
        </w:rPr>
      </w:pPr>
      <w:r>
        <w:t>Table A.</w:t>
      </w:r>
      <w:r>
        <w:rPr>
          <w:lang w:eastAsia="zh-CN"/>
        </w:rPr>
        <w:t>2</w:t>
      </w:r>
      <w:r>
        <w:t>.</w:t>
      </w:r>
      <w:r>
        <w:rPr>
          <w:lang w:eastAsia="zh-CN"/>
        </w:rPr>
        <w:t>4</w:t>
      </w:r>
      <w:r>
        <w:t>-1 Reference Channel</w:t>
      </w:r>
      <w:r>
        <w:rPr>
          <w:lang w:eastAsia="zh-CN"/>
        </w:rPr>
        <w:t>s</w:t>
      </w:r>
      <w:r>
        <w:t xml:space="preserve"> for</w:t>
      </w:r>
      <w:r>
        <w:rPr>
          <w:lang w:eastAsia="zh-CN"/>
        </w:rPr>
        <w:t xml:space="preserve"> category </w:t>
      </w:r>
      <w:r>
        <w:t>NB1</w:t>
      </w:r>
    </w:p>
    <w:tbl>
      <w:tblPr>
        <w:tblStyle w:val="89"/>
        <w:tblW w:w="9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0"/>
        <w:gridCol w:w="1134"/>
        <w:gridCol w:w="1134"/>
        <w:gridCol w:w="1134"/>
        <w:gridCol w:w="1134"/>
        <w:gridCol w:w="993"/>
        <w:gridCol w:w="992"/>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jc w:val="center"/>
              <w:rPr>
                <w:rFonts w:ascii="Arial" w:hAnsi="Arial" w:cs="Arial"/>
                <w:b/>
                <w:sz w:val="18"/>
              </w:rPr>
            </w:pPr>
            <w:r>
              <w:rPr>
                <w:rFonts w:ascii="Arial" w:hAnsi="Arial" w:cs="Arial"/>
                <w:b/>
                <w:sz w:val="18"/>
                <w:lang w:eastAsia="ja-JP"/>
              </w:rPr>
              <w:t>Parameter</w:t>
            </w:r>
          </w:p>
        </w:tc>
        <w:tc>
          <w:tcPr>
            <w:tcW w:w="7513" w:type="dxa"/>
            <w:gridSpan w:val="7"/>
          </w:tcPr>
          <w:p>
            <w:pPr>
              <w:keepNext/>
              <w:spacing w:after="0"/>
              <w:jc w:val="center"/>
              <w:rPr>
                <w:rFonts w:ascii="Arial" w:hAnsi="Arial" w:cs="Arial"/>
                <w:b/>
                <w:sz w:val="18"/>
                <w:lang w:eastAsia="zh-CN"/>
              </w:rPr>
            </w:pPr>
            <w:r>
              <w:rPr>
                <w:rFonts w:ascii="Arial" w:hAnsi="Arial" w:cs="Arial"/>
                <w:b/>
                <w:sz w:val="18"/>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Sub-carrier spacing (kHz)</w:t>
            </w:r>
          </w:p>
        </w:tc>
        <w:tc>
          <w:tcPr>
            <w:tcW w:w="1134" w:type="dxa"/>
          </w:tcPr>
          <w:p>
            <w:pPr>
              <w:keepNext/>
              <w:spacing w:after="0"/>
              <w:jc w:val="center"/>
              <w:rPr>
                <w:rFonts w:ascii="Arial" w:hAnsi="Arial" w:cs="Arial"/>
                <w:sz w:val="18"/>
              </w:rPr>
            </w:pPr>
            <w:r>
              <w:rPr>
                <w:rFonts w:ascii="Arial" w:hAnsi="Arial" w:cs="Arial"/>
                <w:sz w:val="18"/>
              </w:rPr>
              <w:t>3.75</w:t>
            </w:r>
          </w:p>
        </w:tc>
        <w:tc>
          <w:tcPr>
            <w:tcW w:w="1134" w:type="dxa"/>
          </w:tcPr>
          <w:p>
            <w:pPr>
              <w:keepNext/>
              <w:spacing w:after="0"/>
              <w:jc w:val="center"/>
              <w:rPr>
                <w:rFonts w:ascii="Arial" w:hAnsi="Arial" w:cs="Arial"/>
                <w:sz w:val="18"/>
              </w:rPr>
            </w:pPr>
            <w:r>
              <w:rPr>
                <w:rFonts w:ascii="Arial" w:hAnsi="Arial" w:cs="Arial"/>
                <w:sz w:val="18"/>
              </w:rPr>
              <w:t>3.75</w:t>
            </w:r>
          </w:p>
        </w:tc>
        <w:tc>
          <w:tcPr>
            <w:tcW w:w="1134" w:type="dxa"/>
          </w:tcPr>
          <w:p>
            <w:pPr>
              <w:keepNext/>
              <w:spacing w:after="0"/>
              <w:jc w:val="center"/>
              <w:rPr>
                <w:rFonts w:ascii="Arial" w:hAnsi="Arial" w:cs="Arial"/>
                <w:sz w:val="18"/>
                <w:lang w:eastAsia="zh-CN"/>
              </w:rPr>
            </w:pPr>
            <w:r>
              <w:rPr>
                <w:rFonts w:ascii="Arial" w:hAnsi="Arial" w:cs="Arial"/>
                <w:sz w:val="18"/>
              </w:rPr>
              <w:t>15</w:t>
            </w:r>
          </w:p>
        </w:tc>
        <w:tc>
          <w:tcPr>
            <w:tcW w:w="1134" w:type="dxa"/>
          </w:tcPr>
          <w:p>
            <w:pPr>
              <w:keepNext/>
              <w:spacing w:after="0"/>
              <w:jc w:val="center"/>
              <w:rPr>
                <w:rFonts w:ascii="Arial" w:hAnsi="Arial" w:cs="Arial"/>
                <w:sz w:val="18"/>
                <w:lang w:eastAsia="zh-CN"/>
              </w:rPr>
            </w:pPr>
            <w:r>
              <w:rPr>
                <w:rFonts w:ascii="Arial" w:hAnsi="Arial" w:cs="Arial"/>
                <w:sz w:val="18"/>
              </w:rPr>
              <w:t>15</w:t>
            </w:r>
          </w:p>
        </w:tc>
        <w:tc>
          <w:tcPr>
            <w:tcW w:w="993" w:type="dxa"/>
          </w:tcPr>
          <w:p>
            <w:pPr>
              <w:keepNext/>
              <w:spacing w:after="0"/>
              <w:jc w:val="center"/>
              <w:rPr>
                <w:rFonts w:ascii="Arial" w:hAnsi="Arial" w:cs="Arial"/>
                <w:sz w:val="18"/>
                <w:lang w:eastAsia="zh-CN"/>
              </w:rPr>
            </w:pPr>
            <w:r>
              <w:rPr>
                <w:rFonts w:ascii="Arial" w:hAnsi="Arial" w:cs="Arial"/>
                <w:sz w:val="18"/>
              </w:rPr>
              <w:t>15</w:t>
            </w:r>
          </w:p>
        </w:tc>
        <w:tc>
          <w:tcPr>
            <w:tcW w:w="992" w:type="dxa"/>
          </w:tcPr>
          <w:p>
            <w:pPr>
              <w:keepNext/>
              <w:spacing w:after="0"/>
              <w:jc w:val="center"/>
              <w:rPr>
                <w:rFonts w:ascii="Arial" w:hAnsi="Arial" w:cs="Arial"/>
                <w:sz w:val="18"/>
                <w:lang w:eastAsia="zh-CN"/>
              </w:rPr>
            </w:pPr>
            <w:r>
              <w:rPr>
                <w:rFonts w:ascii="Arial" w:hAnsi="Arial" w:cs="Arial"/>
                <w:sz w:val="18"/>
              </w:rPr>
              <w:t>15</w:t>
            </w:r>
          </w:p>
        </w:tc>
        <w:tc>
          <w:tcPr>
            <w:tcW w:w="992" w:type="dxa"/>
          </w:tcPr>
          <w:p>
            <w:pPr>
              <w:keepNext/>
              <w:spacing w:after="0"/>
              <w:jc w:val="center"/>
              <w:rPr>
                <w:rFonts w:ascii="Arial" w:hAnsi="Arial" w:cs="Arial"/>
                <w:sz w:val="18"/>
                <w:lang w:eastAsia="zh-CN"/>
              </w:rPr>
            </w:pPr>
            <w:r>
              <w:rPr>
                <w:rFonts w:ascii="Arial" w:hAnsi="Arial" w:cs="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Number of tone</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993" w:type="dxa"/>
          </w:tcPr>
          <w:p>
            <w:pPr>
              <w:keepNext/>
              <w:spacing w:after="0"/>
              <w:jc w:val="center"/>
              <w:rPr>
                <w:rFonts w:ascii="Arial" w:hAnsi="Arial" w:cs="Arial"/>
                <w:sz w:val="18"/>
                <w:lang w:eastAsia="zh-CN"/>
              </w:rPr>
            </w:pPr>
            <w:r>
              <w:rPr>
                <w:rFonts w:ascii="Arial" w:hAnsi="Arial" w:cs="Arial"/>
                <w:sz w:val="18"/>
                <w:lang w:eastAsia="zh-CN"/>
              </w:rPr>
              <w:t>3</w:t>
            </w:r>
          </w:p>
        </w:tc>
        <w:tc>
          <w:tcPr>
            <w:tcW w:w="992" w:type="dxa"/>
          </w:tcPr>
          <w:p>
            <w:pPr>
              <w:keepNext/>
              <w:spacing w:after="0"/>
              <w:jc w:val="center"/>
              <w:rPr>
                <w:rFonts w:ascii="Arial" w:hAnsi="Arial" w:cs="Arial"/>
                <w:sz w:val="18"/>
                <w:lang w:eastAsia="zh-CN"/>
              </w:rPr>
            </w:pPr>
            <w:r>
              <w:rPr>
                <w:rFonts w:ascii="Arial" w:hAnsi="Arial" w:cs="Arial"/>
                <w:sz w:val="18"/>
                <w:lang w:eastAsia="zh-CN"/>
              </w:rPr>
              <w:t>6</w:t>
            </w:r>
          </w:p>
        </w:tc>
        <w:tc>
          <w:tcPr>
            <w:tcW w:w="992" w:type="dxa"/>
          </w:tcPr>
          <w:p>
            <w:pPr>
              <w:keepNext/>
              <w:spacing w:after="0"/>
              <w:jc w:val="center"/>
              <w:rPr>
                <w:rFonts w:ascii="Arial" w:hAnsi="Arial" w:cs="Arial"/>
                <w:sz w:val="18"/>
                <w:lang w:eastAsia="zh-CN"/>
              </w:rPr>
            </w:pPr>
            <w:r>
              <w:rPr>
                <w:rFonts w:ascii="Arial" w:hAnsi="Arial" w:cs="Arial"/>
                <w:sz w:val="18"/>
                <w:lang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Modulation</w:t>
            </w:r>
          </w:p>
        </w:tc>
        <w:tc>
          <w:tcPr>
            <w:tcW w:w="1134" w:type="dxa"/>
          </w:tcPr>
          <w:p>
            <w:pPr>
              <w:keepNext/>
              <w:spacing w:after="0"/>
              <w:jc w:val="center"/>
              <w:rPr>
                <w:rFonts w:ascii="Arial" w:hAnsi="Arial" w:cs="Arial"/>
                <w:sz w:val="18"/>
              </w:rPr>
            </w:pPr>
            <w:r>
              <w:rPr>
                <w:rFonts w:ascii="Arial" w:hAnsi="Arial" w:cs="Arial"/>
                <w:color w:val="000000"/>
                <w:sz w:val="18"/>
                <w:szCs w:val="32"/>
              </w:rPr>
              <w:t>π/2 BPSK</w:t>
            </w:r>
          </w:p>
        </w:tc>
        <w:tc>
          <w:tcPr>
            <w:tcW w:w="1134" w:type="dxa"/>
          </w:tcPr>
          <w:p>
            <w:pPr>
              <w:keepNext/>
              <w:spacing w:after="0"/>
              <w:jc w:val="center"/>
              <w:rPr>
                <w:rFonts w:ascii="Arial" w:hAnsi="Arial" w:cs="Arial"/>
                <w:sz w:val="18"/>
              </w:rPr>
            </w:pPr>
            <w:r>
              <w:rPr>
                <w:rFonts w:ascii="Arial" w:hAnsi="Arial" w:cs="Arial"/>
                <w:color w:val="000000"/>
                <w:sz w:val="18"/>
                <w:szCs w:val="32"/>
              </w:rPr>
              <w:t>π/</w:t>
            </w:r>
            <w:r>
              <w:rPr>
                <w:rFonts w:ascii="Arial" w:hAnsi="Arial" w:cs="Arial"/>
                <w:color w:val="000000"/>
                <w:sz w:val="18"/>
                <w:szCs w:val="32"/>
                <w:lang w:eastAsia="zh-CN"/>
              </w:rPr>
              <w:t>4</w:t>
            </w:r>
            <w:r>
              <w:rPr>
                <w:rFonts w:ascii="Arial" w:hAnsi="Arial" w:cs="Arial"/>
                <w:color w:val="000000"/>
                <w:sz w:val="18"/>
                <w:szCs w:val="32"/>
              </w:rPr>
              <w:t xml:space="preserve"> </w:t>
            </w:r>
            <w:r>
              <w:rPr>
                <w:rFonts w:ascii="Arial" w:hAnsi="Arial" w:cs="Arial"/>
                <w:color w:val="000000"/>
                <w:sz w:val="18"/>
                <w:szCs w:val="32"/>
                <w:lang w:eastAsia="zh-CN"/>
              </w:rPr>
              <w:t>Q</w:t>
            </w:r>
            <w:r>
              <w:rPr>
                <w:rFonts w:ascii="Arial" w:hAnsi="Arial" w:cs="Arial"/>
                <w:color w:val="000000"/>
                <w:sz w:val="18"/>
                <w:szCs w:val="32"/>
              </w:rPr>
              <w:t>PSK</w:t>
            </w:r>
          </w:p>
        </w:tc>
        <w:tc>
          <w:tcPr>
            <w:tcW w:w="1134" w:type="dxa"/>
          </w:tcPr>
          <w:p>
            <w:pPr>
              <w:keepNext/>
              <w:spacing w:after="0"/>
              <w:jc w:val="center"/>
              <w:rPr>
                <w:rFonts w:ascii="Arial" w:hAnsi="Arial" w:cs="Arial"/>
                <w:sz w:val="18"/>
              </w:rPr>
            </w:pPr>
            <w:r>
              <w:rPr>
                <w:rFonts w:ascii="Arial" w:hAnsi="Arial" w:cs="Arial"/>
                <w:color w:val="000000"/>
                <w:sz w:val="18"/>
                <w:szCs w:val="32"/>
              </w:rPr>
              <w:t>π/2 BPSK</w:t>
            </w:r>
          </w:p>
        </w:tc>
        <w:tc>
          <w:tcPr>
            <w:tcW w:w="1134" w:type="dxa"/>
          </w:tcPr>
          <w:p>
            <w:pPr>
              <w:keepNext/>
              <w:spacing w:after="0"/>
              <w:jc w:val="center"/>
              <w:rPr>
                <w:rFonts w:ascii="Arial" w:hAnsi="Arial" w:cs="Arial"/>
                <w:sz w:val="18"/>
              </w:rPr>
            </w:pPr>
            <w:r>
              <w:rPr>
                <w:rFonts w:ascii="Arial" w:hAnsi="Arial" w:cs="Arial"/>
                <w:color w:val="000000"/>
                <w:sz w:val="18"/>
                <w:szCs w:val="32"/>
              </w:rPr>
              <w:t>π/</w:t>
            </w:r>
            <w:r>
              <w:rPr>
                <w:rFonts w:ascii="Arial" w:hAnsi="Arial" w:cs="Arial"/>
                <w:color w:val="000000"/>
                <w:sz w:val="18"/>
                <w:szCs w:val="32"/>
                <w:lang w:eastAsia="zh-CN"/>
              </w:rPr>
              <w:t>4</w:t>
            </w:r>
            <w:r>
              <w:rPr>
                <w:rFonts w:ascii="Arial" w:hAnsi="Arial" w:cs="Arial"/>
                <w:color w:val="000000"/>
                <w:sz w:val="18"/>
                <w:szCs w:val="32"/>
              </w:rPr>
              <w:t xml:space="preserve"> </w:t>
            </w:r>
            <w:r>
              <w:rPr>
                <w:rFonts w:ascii="Arial" w:hAnsi="Arial" w:cs="Arial"/>
                <w:color w:val="000000"/>
                <w:sz w:val="18"/>
                <w:szCs w:val="32"/>
                <w:lang w:eastAsia="zh-CN"/>
              </w:rPr>
              <w:t>Q</w:t>
            </w:r>
            <w:r>
              <w:rPr>
                <w:rFonts w:ascii="Arial" w:hAnsi="Arial" w:cs="Arial"/>
                <w:color w:val="000000"/>
                <w:sz w:val="18"/>
                <w:szCs w:val="32"/>
              </w:rPr>
              <w:t>PSK</w:t>
            </w:r>
          </w:p>
        </w:tc>
        <w:tc>
          <w:tcPr>
            <w:tcW w:w="993" w:type="dxa"/>
          </w:tcPr>
          <w:p>
            <w:pPr>
              <w:keepNext/>
              <w:spacing w:after="0"/>
              <w:jc w:val="center"/>
              <w:rPr>
                <w:rFonts w:ascii="Arial" w:hAnsi="Arial" w:cs="Arial"/>
                <w:sz w:val="18"/>
              </w:rPr>
            </w:pPr>
            <w:r>
              <w:rPr>
                <w:rFonts w:ascii="Arial" w:hAnsi="Arial" w:cs="Arial"/>
                <w:color w:val="000000"/>
                <w:sz w:val="18"/>
                <w:szCs w:val="32"/>
                <w:lang w:eastAsia="zh-CN"/>
              </w:rPr>
              <w:t>Q</w:t>
            </w:r>
            <w:r>
              <w:rPr>
                <w:rFonts w:ascii="Arial" w:hAnsi="Arial" w:cs="Arial"/>
                <w:color w:val="000000"/>
                <w:sz w:val="18"/>
                <w:szCs w:val="32"/>
              </w:rPr>
              <w:t>PSK</w:t>
            </w:r>
          </w:p>
        </w:tc>
        <w:tc>
          <w:tcPr>
            <w:tcW w:w="992" w:type="dxa"/>
          </w:tcPr>
          <w:p>
            <w:pPr>
              <w:keepNext/>
              <w:spacing w:after="0"/>
              <w:jc w:val="center"/>
              <w:rPr>
                <w:rFonts w:ascii="Arial" w:hAnsi="Arial" w:cs="Arial"/>
                <w:sz w:val="18"/>
              </w:rPr>
            </w:pPr>
            <w:r>
              <w:rPr>
                <w:rFonts w:ascii="Arial" w:hAnsi="Arial" w:cs="Arial"/>
                <w:color w:val="000000"/>
                <w:sz w:val="18"/>
                <w:szCs w:val="32"/>
                <w:lang w:eastAsia="zh-CN"/>
              </w:rPr>
              <w:t>Q</w:t>
            </w:r>
            <w:r>
              <w:rPr>
                <w:rFonts w:ascii="Arial" w:hAnsi="Arial" w:cs="Arial"/>
                <w:color w:val="000000"/>
                <w:sz w:val="18"/>
                <w:szCs w:val="32"/>
              </w:rPr>
              <w:t>PSK</w:t>
            </w:r>
          </w:p>
        </w:tc>
        <w:tc>
          <w:tcPr>
            <w:tcW w:w="992" w:type="dxa"/>
          </w:tcPr>
          <w:p>
            <w:pPr>
              <w:keepNext/>
              <w:spacing w:after="0"/>
              <w:jc w:val="center"/>
              <w:rPr>
                <w:rFonts w:ascii="Arial" w:hAnsi="Arial" w:cs="Arial"/>
                <w:sz w:val="18"/>
              </w:rPr>
            </w:pPr>
            <w:r>
              <w:rPr>
                <w:rFonts w:ascii="Arial" w:hAnsi="Arial" w:cs="Arial"/>
                <w:color w:val="000000"/>
                <w:sz w:val="18"/>
                <w:szCs w:val="32"/>
                <w:lang w:eastAsia="zh-CN"/>
              </w:rPr>
              <w:t>Q</w:t>
            </w:r>
            <w:r>
              <w:rPr>
                <w:rFonts w:ascii="Arial" w:hAnsi="Arial" w:cs="Arial"/>
                <w:color w:val="000000"/>
                <w:sz w:val="18"/>
                <w:szCs w:val="32"/>
              </w:rPr>
              <w:t>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Number of NPUSCH repetition (NOTE 5)</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993" w:type="dxa"/>
          </w:tcPr>
          <w:p>
            <w:pPr>
              <w:keepNext/>
              <w:spacing w:after="0"/>
              <w:jc w:val="center"/>
              <w:rPr>
                <w:rFonts w:ascii="Arial" w:hAnsi="Arial" w:cs="Arial"/>
                <w:sz w:val="18"/>
              </w:rPr>
            </w:pPr>
            <w:r>
              <w:rPr>
                <w:rFonts w:ascii="Arial" w:hAnsi="Arial" w:cs="Arial"/>
                <w:sz w:val="18"/>
              </w:rPr>
              <w:t>1</w:t>
            </w:r>
          </w:p>
        </w:tc>
        <w:tc>
          <w:tcPr>
            <w:tcW w:w="992" w:type="dxa"/>
          </w:tcPr>
          <w:p>
            <w:pPr>
              <w:keepNext/>
              <w:spacing w:after="0"/>
              <w:jc w:val="center"/>
              <w:rPr>
                <w:rFonts w:ascii="Arial" w:hAnsi="Arial" w:cs="Arial"/>
                <w:sz w:val="18"/>
              </w:rPr>
            </w:pPr>
            <w:r>
              <w:rPr>
                <w:rFonts w:ascii="Arial" w:hAnsi="Arial" w:cs="Arial"/>
                <w:sz w:val="18"/>
              </w:rPr>
              <w:t>1</w:t>
            </w:r>
          </w:p>
        </w:tc>
        <w:tc>
          <w:tcPr>
            <w:tcW w:w="992" w:type="dxa"/>
          </w:tcPr>
          <w:p>
            <w:pPr>
              <w:keepNext/>
              <w:spacing w:after="0"/>
              <w:jc w:val="center"/>
              <w:rPr>
                <w:rFonts w:ascii="Arial" w:hAnsi="Arial" w:cs="Arial"/>
                <w:sz w:val="18"/>
              </w:rPr>
            </w:pPr>
            <w:r>
              <w:rPr>
                <w:rFonts w:ascii="Arial" w:hAnsi="Arial" w:cs="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 xml:space="preserve">IMCS / </w:t>
            </w:r>
            <w:r>
              <w:rPr>
                <w:rFonts w:ascii="Arial" w:hAnsi="Arial" w:cs="Arial"/>
                <w:sz w:val="18"/>
                <w:lang w:eastAsia="zh-CN"/>
              </w:rPr>
              <w:t>I</w:t>
            </w:r>
            <w:r>
              <w:rPr>
                <w:rFonts w:ascii="Arial" w:hAnsi="Arial" w:cs="Arial"/>
                <w:sz w:val="18"/>
              </w:rPr>
              <w:t>TBS</w:t>
            </w:r>
          </w:p>
        </w:tc>
        <w:tc>
          <w:tcPr>
            <w:tcW w:w="1134" w:type="dxa"/>
          </w:tcPr>
          <w:p>
            <w:pPr>
              <w:keepNext/>
              <w:spacing w:after="0"/>
              <w:jc w:val="center"/>
              <w:rPr>
                <w:rFonts w:ascii="Arial" w:hAnsi="Arial" w:cs="Arial"/>
                <w:sz w:val="18"/>
              </w:rPr>
            </w:pPr>
            <w:r>
              <w:rPr>
                <w:rFonts w:ascii="Arial" w:hAnsi="Arial" w:cs="Arial"/>
                <w:sz w:val="18"/>
              </w:rPr>
              <w:t>0 / 0</w:t>
            </w:r>
          </w:p>
        </w:tc>
        <w:tc>
          <w:tcPr>
            <w:tcW w:w="1134" w:type="dxa"/>
          </w:tcPr>
          <w:p>
            <w:pPr>
              <w:keepNext/>
              <w:spacing w:after="0"/>
              <w:jc w:val="center"/>
              <w:rPr>
                <w:rFonts w:ascii="Arial" w:hAnsi="Arial" w:cs="Arial"/>
                <w:sz w:val="18"/>
                <w:lang w:eastAsia="zh-CN"/>
              </w:rPr>
            </w:pPr>
            <w:r>
              <w:rPr>
                <w:rFonts w:ascii="Arial" w:hAnsi="Arial" w:cs="Arial"/>
                <w:sz w:val="18"/>
                <w:lang w:eastAsia="zh-CN"/>
              </w:rPr>
              <w:t>3</w:t>
            </w:r>
            <w:r>
              <w:rPr>
                <w:rFonts w:ascii="Arial" w:hAnsi="Arial" w:cs="Arial"/>
                <w:sz w:val="18"/>
              </w:rPr>
              <w:t xml:space="preserve"> / </w:t>
            </w:r>
            <w:r>
              <w:rPr>
                <w:rFonts w:ascii="Arial" w:hAnsi="Arial" w:cs="Arial"/>
                <w:sz w:val="18"/>
                <w:lang w:eastAsia="zh-CN"/>
              </w:rPr>
              <w:t>3</w:t>
            </w:r>
          </w:p>
        </w:tc>
        <w:tc>
          <w:tcPr>
            <w:tcW w:w="1134" w:type="dxa"/>
          </w:tcPr>
          <w:p>
            <w:pPr>
              <w:keepNext/>
              <w:spacing w:after="0"/>
              <w:jc w:val="center"/>
              <w:rPr>
                <w:rFonts w:ascii="Arial" w:hAnsi="Arial" w:cs="Arial"/>
                <w:sz w:val="18"/>
              </w:rPr>
            </w:pPr>
            <w:r>
              <w:rPr>
                <w:rFonts w:ascii="Arial" w:hAnsi="Arial" w:cs="Arial"/>
                <w:sz w:val="18"/>
              </w:rPr>
              <w:t>0 / 0</w:t>
            </w:r>
          </w:p>
        </w:tc>
        <w:tc>
          <w:tcPr>
            <w:tcW w:w="1134" w:type="dxa"/>
          </w:tcPr>
          <w:p>
            <w:pPr>
              <w:keepNext/>
              <w:spacing w:after="0"/>
              <w:jc w:val="center"/>
              <w:rPr>
                <w:rFonts w:ascii="Arial" w:hAnsi="Arial" w:cs="Arial"/>
                <w:sz w:val="18"/>
                <w:lang w:eastAsia="zh-CN"/>
              </w:rPr>
            </w:pPr>
            <w:r>
              <w:rPr>
                <w:rFonts w:ascii="Arial" w:hAnsi="Arial" w:cs="Arial"/>
                <w:sz w:val="18"/>
                <w:lang w:eastAsia="zh-CN"/>
              </w:rPr>
              <w:t>3</w:t>
            </w:r>
            <w:r>
              <w:rPr>
                <w:rFonts w:ascii="Arial" w:hAnsi="Arial" w:cs="Arial"/>
                <w:sz w:val="18"/>
              </w:rPr>
              <w:t xml:space="preserve"> / </w:t>
            </w:r>
            <w:r>
              <w:rPr>
                <w:rFonts w:ascii="Arial" w:hAnsi="Arial" w:cs="Arial"/>
                <w:sz w:val="18"/>
                <w:lang w:eastAsia="zh-CN"/>
              </w:rPr>
              <w:t>3</w:t>
            </w:r>
          </w:p>
        </w:tc>
        <w:tc>
          <w:tcPr>
            <w:tcW w:w="993" w:type="dxa"/>
          </w:tcPr>
          <w:p>
            <w:pPr>
              <w:keepNext/>
              <w:spacing w:after="0"/>
              <w:jc w:val="center"/>
              <w:rPr>
                <w:rFonts w:ascii="Arial" w:hAnsi="Arial" w:cs="Arial"/>
                <w:sz w:val="18"/>
                <w:lang w:eastAsia="zh-CN"/>
              </w:rPr>
            </w:pPr>
            <w:r>
              <w:rPr>
                <w:rFonts w:ascii="Arial" w:hAnsi="Arial" w:cs="Arial"/>
                <w:sz w:val="18"/>
                <w:lang w:eastAsia="zh-CN"/>
              </w:rPr>
              <w:t>5</w:t>
            </w:r>
            <w:r>
              <w:rPr>
                <w:rFonts w:ascii="Arial" w:hAnsi="Arial" w:cs="Arial"/>
                <w:sz w:val="18"/>
              </w:rPr>
              <w:t xml:space="preserve"> / </w:t>
            </w:r>
            <w:r>
              <w:rPr>
                <w:rFonts w:ascii="Arial" w:hAnsi="Arial" w:cs="Arial"/>
                <w:sz w:val="18"/>
                <w:lang w:eastAsia="zh-CN"/>
              </w:rPr>
              <w:t>5</w:t>
            </w:r>
          </w:p>
        </w:tc>
        <w:tc>
          <w:tcPr>
            <w:tcW w:w="992" w:type="dxa"/>
          </w:tcPr>
          <w:p>
            <w:pPr>
              <w:keepNext/>
              <w:spacing w:after="0"/>
              <w:jc w:val="center"/>
              <w:rPr>
                <w:rFonts w:ascii="Arial" w:hAnsi="Arial" w:cs="Arial"/>
                <w:sz w:val="18"/>
                <w:lang w:eastAsia="zh-CN"/>
              </w:rPr>
            </w:pPr>
            <w:r>
              <w:rPr>
                <w:rFonts w:ascii="Arial" w:hAnsi="Arial" w:cs="Arial"/>
                <w:sz w:val="18"/>
                <w:lang w:eastAsia="zh-CN"/>
              </w:rPr>
              <w:t>5</w:t>
            </w:r>
            <w:r>
              <w:rPr>
                <w:rFonts w:ascii="Arial" w:hAnsi="Arial" w:cs="Arial"/>
                <w:sz w:val="18"/>
              </w:rPr>
              <w:t xml:space="preserve"> / </w:t>
            </w:r>
            <w:r>
              <w:rPr>
                <w:rFonts w:ascii="Arial" w:hAnsi="Arial" w:cs="Arial"/>
                <w:sz w:val="18"/>
                <w:lang w:eastAsia="zh-CN"/>
              </w:rPr>
              <w:t>5</w:t>
            </w:r>
          </w:p>
        </w:tc>
        <w:tc>
          <w:tcPr>
            <w:tcW w:w="992" w:type="dxa"/>
          </w:tcPr>
          <w:p>
            <w:pPr>
              <w:keepNext/>
              <w:spacing w:after="0"/>
              <w:jc w:val="center"/>
              <w:rPr>
                <w:rFonts w:ascii="Arial" w:hAnsi="Arial" w:cs="Arial"/>
                <w:sz w:val="18"/>
                <w:lang w:eastAsia="zh-CN"/>
              </w:rPr>
            </w:pPr>
            <w:r>
              <w:rPr>
                <w:rFonts w:ascii="Arial" w:hAnsi="Arial" w:cs="Arial"/>
                <w:sz w:val="18"/>
                <w:lang w:eastAsia="zh-CN"/>
              </w:rPr>
              <w:t>5</w:t>
            </w:r>
            <w:r>
              <w:rPr>
                <w:rFonts w:ascii="Arial" w:hAnsi="Arial" w:cs="Arial"/>
                <w:sz w:val="18"/>
              </w:rPr>
              <w:t xml:space="preserve"> / </w:t>
            </w:r>
            <w:r>
              <w:rPr>
                <w:rFonts w:ascii="Arial" w:hAnsi="Arial" w:cs="Arial"/>
                <w:sz w:val="18"/>
                <w:lang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Payload size (bits)</w:t>
            </w:r>
          </w:p>
        </w:tc>
        <w:tc>
          <w:tcPr>
            <w:tcW w:w="1134" w:type="dxa"/>
          </w:tcPr>
          <w:p>
            <w:pPr>
              <w:keepNext/>
              <w:spacing w:after="0"/>
              <w:jc w:val="center"/>
              <w:rPr>
                <w:rFonts w:ascii="Arial" w:hAnsi="Arial" w:cs="Arial"/>
                <w:sz w:val="18"/>
              </w:rPr>
            </w:pPr>
            <w:r>
              <w:rPr>
                <w:rFonts w:ascii="Arial" w:hAnsi="Arial" w:cs="Arial"/>
                <w:sz w:val="18"/>
              </w:rPr>
              <w:t>32</w:t>
            </w:r>
          </w:p>
        </w:tc>
        <w:tc>
          <w:tcPr>
            <w:tcW w:w="1134" w:type="dxa"/>
          </w:tcPr>
          <w:p>
            <w:pPr>
              <w:keepNext/>
              <w:spacing w:after="0"/>
              <w:jc w:val="center"/>
              <w:rPr>
                <w:rFonts w:ascii="Arial" w:hAnsi="Arial" w:cs="Arial"/>
                <w:sz w:val="18"/>
                <w:lang w:eastAsia="zh-CN"/>
              </w:rPr>
            </w:pPr>
            <w:r>
              <w:rPr>
                <w:rFonts w:ascii="Arial" w:hAnsi="Arial" w:cs="Arial"/>
                <w:sz w:val="18"/>
                <w:lang w:eastAsia="zh-CN"/>
              </w:rPr>
              <w:t>40</w:t>
            </w:r>
          </w:p>
        </w:tc>
        <w:tc>
          <w:tcPr>
            <w:tcW w:w="1134" w:type="dxa"/>
          </w:tcPr>
          <w:p>
            <w:pPr>
              <w:keepNext/>
              <w:spacing w:after="0"/>
              <w:jc w:val="center"/>
              <w:rPr>
                <w:rFonts w:ascii="Arial" w:hAnsi="Arial" w:cs="Arial"/>
                <w:sz w:val="18"/>
              </w:rPr>
            </w:pPr>
            <w:r>
              <w:rPr>
                <w:rFonts w:ascii="Arial" w:hAnsi="Arial" w:cs="Arial"/>
                <w:sz w:val="18"/>
              </w:rPr>
              <w:t>32</w:t>
            </w:r>
          </w:p>
        </w:tc>
        <w:tc>
          <w:tcPr>
            <w:tcW w:w="1134" w:type="dxa"/>
          </w:tcPr>
          <w:p>
            <w:pPr>
              <w:keepNext/>
              <w:spacing w:after="0"/>
              <w:jc w:val="center"/>
              <w:rPr>
                <w:rFonts w:ascii="Arial" w:hAnsi="Arial" w:cs="Arial"/>
                <w:sz w:val="18"/>
                <w:lang w:eastAsia="zh-CN"/>
              </w:rPr>
            </w:pPr>
            <w:r>
              <w:rPr>
                <w:rFonts w:ascii="Arial" w:hAnsi="Arial" w:cs="Arial"/>
                <w:sz w:val="18"/>
                <w:lang w:eastAsia="zh-CN"/>
              </w:rPr>
              <w:t>40</w:t>
            </w:r>
          </w:p>
        </w:tc>
        <w:tc>
          <w:tcPr>
            <w:tcW w:w="993" w:type="dxa"/>
          </w:tcPr>
          <w:p>
            <w:pPr>
              <w:keepNext/>
              <w:spacing w:after="0"/>
              <w:jc w:val="center"/>
              <w:rPr>
                <w:rFonts w:ascii="Arial" w:hAnsi="Arial" w:cs="Arial"/>
                <w:sz w:val="18"/>
              </w:rPr>
            </w:pPr>
            <w:r>
              <w:rPr>
                <w:rFonts w:ascii="Arial" w:hAnsi="Arial" w:cs="Arial"/>
                <w:sz w:val="18"/>
                <w:lang w:eastAsia="zh-CN"/>
              </w:rPr>
              <w:t>7</w:t>
            </w:r>
            <w:r>
              <w:rPr>
                <w:rFonts w:ascii="Arial" w:hAnsi="Arial" w:cs="Arial"/>
                <w:sz w:val="18"/>
              </w:rPr>
              <w:t>2</w:t>
            </w:r>
          </w:p>
        </w:tc>
        <w:tc>
          <w:tcPr>
            <w:tcW w:w="992" w:type="dxa"/>
          </w:tcPr>
          <w:p>
            <w:pPr>
              <w:keepNext/>
              <w:spacing w:after="0"/>
              <w:jc w:val="center"/>
              <w:rPr>
                <w:rFonts w:ascii="Arial" w:hAnsi="Arial" w:cs="Arial"/>
                <w:sz w:val="18"/>
              </w:rPr>
            </w:pPr>
            <w:r>
              <w:rPr>
                <w:rFonts w:ascii="Arial" w:hAnsi="Arial" w:cs="Arial"/>
                <w:sz w:val="18"/>
                <w:lang w:eastAsia="zh-CN"/>
              </w:rPr>
              <w:t>7</w:t>
            </w:r>
            <w:r>
              <w:rPr>
                <w:rFonts w:ascii="Arial" w:hAnsi="Arial" w:cs="Arial"/>
                <w:sz w:val="18"/>
              </w:rPr>
              <w:t>2</w:t>
            </w:r>
          </w:p>
        </w:tc>
        <w:tc>
          <w:tcPr>
            <w:tcW w:w="992" w:type="dxa"/>
          </w:tcPr>
          <w:p>
            <w:pPr>
              <w:keepNext/>
              <w:spacing w:after="0"/>
              <w:jc w:val="center"/>
              <w:rPr>
                <w:rFonts w:ascii="Arial" w:hAnsi="Arial" w:cs="Arial"/>
                <w:sz w:val="18"/>
              </w:rPr>
            </w:pPr>
            <w:r>
              <w:rPr>
                <w:rFonts w:ascii="Arial" w:hAnsi="Arial" w:cs="Arial"/>
                <w:sz w:val="18"/>
                <w:lang w:eastAsia="zh-CN"/>
              </w:rPr>
              <w:t>7</w:t>
            </w:r>
            <w:r>
              <w:rPr>
                <w:rFonts w:ascii="Arial" w:hAnsi="Arial" w:cs="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Allocated resource unit</w:t>
            </w:r>
          </w:p>
        </w:tc>
        <w:tc>
          <w:tcPr>
            <w:tcW w:w="1134" w:type="dxa"/>
          </w:tcPr>
          <w:p>
            <w:pPr>
              <w:keepNext/>
              <w:spacing w:after="0"/>
              <w:jc w:val="center"/>
              <w:rPr>
                <w:rFonts w:ascii="Arial" w:hAnsi="Arial" w:cs="Arial"/>
                <w:sz w:val="18"/>
              </w:rPr>
            </w:pPr>
            <w:r>
              <w:rPr>
                <w:rFonts w:ascii="Arial" w:hAnsi="Arial" w:cs="Arial"/>
                <w:sz w:val="18"/>
              </w:rPr>
              <w:t>2</w:t>
            </w:r>
          </w:p>
        </w:tc>
        <w:tc>
          <w:tcPr>
            <w:tcW w:w="1134" w:type="dxa"/>
          </w:tcPr>
          <w:p>
            <w:pPr>
              <w:keepNext/>
              <w:spacing w:after="0"/>
              <w:jc w:val="center"/>
              <w:rPr>
                <w:rFonts w:ascii="Arial" w:hAnsi="Arial" w:cs="Arial"/>
                <w:sz w:val="18"/>
                <w:lang w:eastAsia="zh-CN"/>
              </w:rPr>
            </w:pPr>
            <w:r>
              <w:rPr>
                <w:rFonts w:ascii="Arial" w:hAnsi="Arial" w:cs="Arial"/>
                <w:sz w:val="18"/>
                <w:lang w:eastAsia="zh-CN"/>
              </w:rPr>
              <w:t>1</w:t>
            </w:r>
          </w:p>
        </w:tc>
        <w:tc>
          <w:tcPr>
            <w:tcW w:w="1134" w:type="dxa"/>
          </w:tcPr>
          <w:p>
            <w:pPr>
              <w:keepNext/>
              <w:spacing w:after="0"/>
              <w:jc w:val="center"/>
              <w:rPr>
                <w:rFonts w:ascii="Arial" w:hAnsi="Arial" w:cs="Arial"/>
                <w:sz w:val="18"/>
              </w:rPr>
            </w:pPr>
            <w:r>
              <w:rPr>
                <w:rFonts w:ascii="Arial" w:hAnsi="Arial" w:cs="Arial"/>
                <w:sz w:val="18"/>
              </w:rPr>
              <w:t>2</w:t>
            </w:r>
          </w:p>
        </w:tc>
        <w:tc>
          <w:tcPr>
            <w:tcW w:w="1134" w:type="dxa"/>
          </w:tcPr>
          <w:p>
            <w:pPr>
              <w:keepNext/>
              <w:spacing w:after="0"/>
              <w:jc w:val="center"/>
              <w:rPr>
                <w:rFonts w:ascii="Arial" w:hAnsi="Arial" w:cs="Arial"/>
                <w:sz w:val="18"/>
                <w:lang w:eastAsia="zh-CN"/>
              </w:rPr>
            </w:pPr>
            <w:r>
              <w:rPr>
                <w:rFonts w:ascii="Arial" w:hAnsi="Arial" w:cs="Arial"/>
                <w:sz w:val="18"/>
                <w:lang w:eastAsia="zh-CN"/>
              </w:rPr>
              <w:t>1</w:t>
            </w:r>
          </w:p>
        </w:tc>
        <w:tc>
          <w:tcPr>
            <w:tcW w:w="993" w:type="dxa"/>
          </w:tcPr>
          <w:p>
            <w:pPr>
              <w:keepNext/>
              <w:spacing w:after="0"/>
              <w:jc w:val="center"/>
              <w:rPr>
                <w:rFonts w:ascii="Arial" w:hAnsi="Arial" w:cs="Arial"/>
                <w:sz w:val="18"/>
                <w:lang w:eastAsia="zh-CN"/>
              </w:rPr>
            </w:pPr>
            <w:r>
              <w:rPr>
                <w:rFonts w:ascii="Arial" w:hAnsi="Arial" w:cs="Arial"/>
                <w:sz w:val="18"/>
                <w:lang w:eastAsia="zh-CN"/>
              </w:rPr>
              <w:t>1</w:t>
            </w:r>
          </w:p>
        </w:tc>
        <w:tc>
          <w:tcPr>
            <w:tcW w:w="992" w:type="dxa"/>
          </w:tcPr>
          <w:p>
            <w:pPr>
              <w:keepNext/>
              <w:spacing w:after="0"/>
              <w:jc w:val="center"/>
              <w:rPr>
                <w:rFonts w:ascii="Arial" w:hAnsi="Arial" w:cs="Arial"/>
                <w:sz w:val="18"/>
                <w:lang w:eastAsia="zh-CN"/>
              </w:rPr>
            </w:pPr>
            <w:r>
              <w:rPr>
                <w:rFonts w:ascii="Arial" w:hAnsi="Arial" w:cs="Arial"/>
                <w:sz w:val="18"/>
                <w:lang w:eastAsia="zh-CN"/>
              </w:rPr>
              <w:t>1</w:t>
            </w:r>
          </w:p>
        </w:tc>
        <w:tc>
          <w:tcPr>
            <w:tcW w:w="992" w:type="dxa"/>
          </w:tcPr>
          <w:p>
            <w:pPr>
              <w:keepNext/>
              <w:spacing w:after="0"/>
              <w:jc w:val="center"/>
              <w:rPr>
                <w:rFonts w:ascii="Arial" w:hAnsi="Arial" w:cs="Arial"/>
                <w:sz w:val="18"/>
                <w:lang w:eastAsia="zh-CN"/>
              </w:rPr>
            </w:pPr>
            <w:r>
              <w:rPr>
                <w:rFonts w:ascii="Arial" w:hAnsi="Arial" w:cs="Arial"/>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Code rate (target)</w:t>
            </w:r>
          </w:p>
        </w:tc>
        <w:tc>
          <w:tcPr>
            <w:tcW w:w="1134" w:type="dxa"/>
          </w:tcPr>
          <w:p>
            <w:pPr>
              <w:keepNext/>
              <w:spacing w:after="0"/>
              <w:jc w:val="center"/>
              <w:rPr>
                <w:rFonts w:ascii="Arial" w:hAnsi="Arial" w:cs="Arial"/>
                <w:sz w:val="18"/>
              </w:rPr>
            </w:pPr>
            <w:r>
              <w:rPr>
                <w:rFonts w:ascii="Arial" w:hAnsi="Arial" w:cs="Arial"/>
                <w:sz w:val="18"/>
              </w:rPr>
              <w:t>1/3</w:t>
            </w:r>
          </w:p>
        </w:tc>
        <w:tc>
          <w:tcPr>
            <w:tcW w:w="1134" w:type="dxa"/>
          </w:tcPr>
          <w:p>
            <w:pPr>
              <w:keepNext/>
              <w:spacing w:after="0"/>
              <w:jc w:val="center"/>
              <w:rPr>
                <w:rFonts w:ascii="Arial" w:hAnsi="Arial" w:cs="Arial"/>
                <w:sz w:val="18"/>
              </w:rPr>
            </w:pPr>
            <w:r>
              <w:rPr>
                <w:rFonts w:ascii="Arial" w:hAnsi="Arial" w:cs="Arial"/>
                <w:sz w:val="18"/>
              </w:rPr>
              <w:t>1/3</w:t>
            </w:r>
          </w:p>
        </w:tc>
        <w:tc>
          <w:tcPr>
            <w:tcW w:w="1134" w:type="dxa"/>
          </w:tcPr>
          <w:p>
            <w:pPr>
              <w:keepNext/>
              <w:spacing w:after="0"/>
              <w:jc w:val="center"/>
              <w:rPr>
                <w:rFonts w:ascii="Arial" w:hAnsi="Arial" w:cs="Arial"/>
                <w:sz w:val="18"/>
              </w:rPr>
            </w:pPr>
            <w:r>
              <w:rPr>
                <w:rFonts w:ascii="Arial" w:hAnsi="Arial" w:cs="Arial"/>
                <w:sz w:val="18"/>
              </w:rPr>
              <w:t>1/3</w:t>
            </w:r>
          </w:p>
        </w:tc>
        <w:tc>
          <w:tcPr>
            <w:tcW w:w="1134" w:type="dxa"/>
          </w:tcPr>
          <w:p>
            <w:pPr>
              <w:keepNext/>
              <w:spacing w:after="0"/>
              <w:jc w:val="center"/>
              <w:rPr>
                <w:rFonts w:ascii="Arial" w:hAnsi="Arial" w:cs="Arial"/>
                <w:sz w:val="18"/>
              </w:rPr>
            </w:pPr>
            <w:r>
              <w:rPr>
                <w:rFonts w:ascii="Arial" w:hAnsi="Arial" w:cs="Arial"/>
                <w:sz w:val="18"/>
              </w:rPr>
              <w:t>1/3</w:t>
            </w:r>
          </w:p>
        </w:tc>
        <w:tc>
          <w:tcPr>
            <w:tcW w:w="993" w:type="dxa"/>
          </w:tcPr>
          <w:p>
            <w:pPr>
              <w:keepNext/>
              <w:spacing w:after="0"/>
              <w:jc w:val="center"/>
              <w:rPr>
                <w:rFonts w:ascii="Arial" w:hAnsi="Arial" w:cs="Arial"/>
                <w:sz w:val="18"/>
              </w:rPr>
            </w:pPr>
            <w:r>
              <w:rPr>
                <w:rFonts w:ascii="Arial" w:hAnsi="Arial" w:cs="Arial"/>
                <w:sz w:val="18"/>
              </w:rPr>
              <w:t>1/3</w:t>
            </w:r>
          </w:p>
        </w:tc>
        <w:tc>
          <w:tcPr>
            <w:tcW w:w="992" w:type="dxa"/>
          </w:tcPr>
          <w:p>
            <w:pPr>
              <w:keepNext/>
              <w:spacing w:after="0"/>
              <w:jc w:val="center"/>
              <w:rPr>
                <w:rFonts w:ascii="Arial" w:hAnsi="Arial" w:cs="Arial"/>
                <w:sz w:val="18"/>
              </w:rPr>
            </w:pPr>
            <w:r>
              <w:rPr>
                <w:rFonts w:ascii="Arial" w:hAnsi="Arial" w:cs="Arial"/>
                <w:sz w:val="18"/>
              </w:rPr>
              <w:t>1/3</w:t>
            </w:r>
          </w:p>
        </w:tc>
        <w:tc>
          <w:tcPr>
            <w:tcW w:w="992" w:type="dxa"/>
          </w:tcPr>
          <w:p>
            <w:pPr>
              <w:keepNext/>
              <w:spacing w:after="0"/>
              <w:jc w:val="center"/>
              <w:rPr>
                <w:rFonts w:ascii="Arial" w:hAnsi="Arial" w:cs="Arial"/>
                <w:sz w:val="18"/>
              </w:rPr>
            </w:pPr>
            <w:r>
              <w:rPr>
                <w:rFonts w:ascii="Arial" w:hAnsi="Arial" w:cs="Arial"/>
                <w:sz w:val="18"/>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Code rate (effective)</w:t>
            </w:r>
          </w:p>
        </w:tc>
        <w:tc>
          <w:tcPr>
            <w:tcW w:w="1134" w:type="dxa"/>
          </w:tcPr>
          <w:p>
            <w:pPr>
              <w:keepNext/>
              <w:spacing w:after="0"/>
              <w:jc w:val="center"/>
              <w:rPr>
                <w:rFonts w:ascii="Arial" w:hAnsi="Arial" w:cs="Arial"/>
                <w:sz w:val="18"/>
              </w:rPr>
            </w:pPr>
            <w:r>
              <w:rPr>
                <w:rFonts w:ascii="Arial" w:hAnsi="Arial" w:cs="Arial"/>
                <w:sz w:val="18"/>
              </w:rPr>
              <w:t>0.29</w:t>
            </w:r>
          </w:p>
        </w:tc>
        <w:tc>
          <w:tcPr>
            <w:tcW w:w="1134" w:type="dxa"/>
          </w:tcPr>
          <w:p>
            <w:pPr>
              <w:keepNext/>
              <w:spacing w:after="0"/>
              <w:jc w:val="center"/>
              <w:rPr>
                <w:rFonts w:ascii="Arial" w:hAnsi="Arial" w:cs="Arial"/>
                <w:sz w:val="18"/>
                <w:lang w:eastAsia="zh-CN"/>
              </w:rPr>
            </w:pPr>
            <w:r>
              <w:rPr>
                <w:rFonts w:ascii="Arial" w:hAnsi="Arial" w:cs="Arial"/>
                <w:sz w:val="18"/>
              </w:rPr>
              <w:t>0.</w:t>
            </w:r>
            <w:r>
              <w:rPr>
                <w:rFonts w:ascii="Arial" w:hAnsi="Arial" w:cs="Arial"/>
                <w:sz w:val="18"/>
                <w:lang w:eastAsia="zh-CN"/>
              </w:rPr>
              <w:t>33</w:t>
            </w:r>
          </w:p>
        </w:tc>
        <w:tc>
          <w:tcPr>
            <w:tcW w:w="1134" w:type="dxa"/>
          </w:tcPr>
          <w:p>
            <w:pPr>
              <w:keepNext/>
              <w:spacing w:after="0"/>
              <w:jc w:val="center"/>
              <w:rPr>
                <w:rFonts w:ascii="Arial" w:hAnsi="Arial" w:cs="Arial"/>
                <w:sz w:val="18"/>
              </w:rPr>
            </w:pPr>
            <w:r>
              <w:rPr>
                <w:rFonts w:ascii="Arial" w:hAnsi="Arial" w:cs="Arial"/>
                <w:sz w:val="18"/>
              </w:rPr>
              <w:t>0.29</w:t>
            </w:r>
          </w:p>
        </w:tc>
        <w:tc>
          <w:tcPr>
            <w:tcW w:w="1134" w:type="dxa"/>
          </w:tcPr>
          <w:p>
            <w:pPr>
              <w:keepNext/>
              <w:spacing w:after="0"/>
              <w:jc w:val="center"/>
              <w:rPr>
                <w:rFonts w:ascii="Arial" w:hAnsi="Arial" w:cs="Arial"/>
                <w:sz w:val="18"/>
                <w:lang w:eastAsia="zh-CN"/>
              </w:rPr>
            </w:pPr>
            <w:r>
              <w:rPr>
                <w:rFonts w:ascii="Arial" w:hAnsi="Arial" w:cs="Arial"/>
                <w:sz w:val="18"/>
              </w:rPr>
              <w:t>0.</w:t>
            </w:r>
            <w:r>
              <w:rPr>
                <w:rFonts w:ascii="Arial" w:hAnsi="Arial" w:cs="Arial"/>
                <w:sz w:val="18"/>
                <w:lang w:eastAsia="zh-CN"/>
              </w:rPr>
              <w:t>33</w:t>
            </w:r>
          </w:p>
        </w:tc>
        <w:tc>
          <w:tcPr>
            <w:tcW w:w="993" w:type="dxa"/>
          </w:tcPr>
          <w:p>
            <w:pPr>
              <w:keepNext/>
              <w:spacing w:after="0"/>
              <w:jc w:val="center"/>
              <w:rPr>
                <w:rFonts w:ascii="Arial" w:hAnsi="Arial" w:cs="Arial"/>
                <w:sz w:val="18"/>
              </w:rPr>
            </w:pPr>
            <w:r>
              <w:rPr>
                <w:rFonts w:ascii="Arial" w:hAnsi="Arial" w:cs="Arial"/>
                <w:sz w:val="18"/>
              </w:rPr>
              <w:t>0.</w:t>
            </w:r>
            <w:r>
              <w:rPr>
                <w:rFonts w:ascii="Arial" w:hAnsi="Arial" w:cs="Arial"/>
                <w:sz w:val="18"/>
                <w:lang w:eastAsia="zh-CN"/>
              </w:rPr>
              <w:t>33</w:t>
            </w:r>
          </w:p>
        </w:tc>
        <w:tc>
          <w:tcPr>
            <w:tcW w:w="992" w:type="dxa"/>
          </w:tcPr>
          <w:p>
            <w:pPr>
              <w:keepNext/>
              <w:spacing w:after="0"/>
              <w:jc w:val="center"/>
              <w:rPr>
                <w:rFonts w:ascii="Arial" w:hAnsi="Arial" w:cs="Arial"/>
                <w:sz w:val="18"/>
              </w:rPr>
            </w:pPr>
            <w:r>
              <w:rPr>
                <w:rFonts w:ascii="Arial" w:hAnsi="Arial" w:cs="Arial"/>
                <w:sz w:val="18"/>
              </w:rPr>
              <w:t>0.</w:t>
            </w:r>
            <w:r>
              <w:rPr>
                <w:rFonts w:ascii="Arial" w:hAnsi="Arial" w:cs="Arial"/>
                <w:sz w:val="18"/>
                <w:lang w:eastAsia="zh-CN"/>
              </w:rPr>
              <w:t>33</w:t>
            </w:r>
          </w:p>
        </w:tc>
        <w:tc>
          <w:tcPr>
            <w:tcW w:w="992" w:type="dxa"/>
          </w:tcPr>
          <w:p>
            <w:pPr>
              <w:keepNext/>
              <w:spacing w:after="0"/>
              <w:jc w:val="center"/>
              <w:rPr>
                <w:rFonts w:ascii="Arial" w:hAnsi="Arial" w:cs="Arial"/>
                <w:sz w:val="18"/>
              </w:rPr>
            </w:pPr>
            <w:r>
              <w:rPr>
                <w:rFonts w:ascii="Arial" w:hAnsi="Arial" w:cs="Arial"/>
                <w:sz w:val="18"/>
              </w:rPr>
              <w:t>0.</w:t>
            </w:r>
            <w:r>
              <w:rPr>
                <w:rFonts w:ascii="Arial" w:hAnsi="Arial" w:cs="Arial"/>
                <w:sz w:val="18"/>
                <w:lang w:eastAsia="zh-CN"/>
              </w:rP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szCs w:val="22"/>
              </w:rPr>
            </w:pPr>
            <w:r>
              <w:rPr>
                <w:rFonts w:ascii="Arial" w:hAnsi="Arial" w:cs="Arial"/>
                <w:sz w:val="18"/>
                <w:szCs w:val="22"/>
              </w:rPr>
              <w:t>Transport block CRC (bits)</w:t>
            </w:r>
          </w:p>
        </w:tc>
        <w:tc>
          <w:tcPr>
            <w:tcW w:w="1134" w:type="dxa"/>
          </w:tcPr>
          <w:p>
            <w:pPr>
              <w:keepNext/>
              <w:spacing w:after="0"/>
              <w:jc w:val="center"/>
              <w:rPr>
                <w:rFonts w:ascii="Arial" w:hAnsi="Arial" w:cs="Arial"/>
                <w:sz w:val="18"/>
              </w:rPr>
            </w:pPr>
            <w:r>
              <w:rPr>
                <w:rFonts w:ascii="Arial" w:hAnsi="Arial" w:cs="Arial"/>
                <w:sz w:val="18"/>
              </w:rPr>
              <w:t>24</w:t>
            </w:r>
          </w:p>
        </w:tc>
        <w:tc>
          <w:tcPr>
            <w:tcW w:w="1134" w:type="dxa"/>
          </w:tcPr>
          <w:p>
            <w:pPr>
              <w:keepNext/>
              <w:spacing w:after="0"/>
              <w:jc w:val="center"/>
              <w:rPr>
                <w:rFonts w:ascii="Arial" w:hAnsi="Arial" w:cs="Arial"/>
                <w:sz w:val="18"/>
              </w:rPr>
            </w:pPr>
            <w:r>
              <w:rPr>
                <w:rFonts w:ascii="Arial" w:hAnsi="Arial" w:cs="Arial"/>
                <w:sz w:val="18"/>
              </w:rPr>
              <w:t>24</w:t>
            </w:r>
          </w:p>
        </w:tc>
        <w:tc>
          <w:tcPr>
            <w:tcW w:w="1134" w:type="dxa"/>
          </w:tcPr>
          <w:p>
            <w:pPr>
              <w:keepNext/>
              <w:spacing w:after="0"/>
              <w:jc w:val="center"/>
              <w:rPr>
                <w:rFonts w:ascii="Arial" w:hAnsi="Arial" w:cs="Arial"/>
                <w:sz w:val="18"/>
              </w:rPr>
            </w:pPr>
            <w:r>
              <w:rPr>
                <w:rFonts w:ascii="Arial" w:hAnsi="Arial" w:cs="Arial"/>
                <w:sz w:val="18"/>
              </w:rPr>
              <w:t>24</w:t>
            </w:r>
          </w:p>
        </w:tc>
        <w:tc>
          <w:tcPr>
            <w:tcW w:w="1134" w:type="dxa"/>
          </w:tcPr>
          <w:p>
            <w:pPr>
              <w:keepNext/>
              <w:spacing w:after="0"/>
              <w:jc w:val="center"/>
              <w:rPr>
                <w:rFonts w:ascii="Arial" w:hAnsi="Arial" w:cs="Arial"/>
                <w:sz w:val="18"/>
              </w:rPr>
            </w:pPr>
            <w:r>
              <w:rPr>
                <w:rFonts w:ascii="Arial" w:hAnsi="Arial" w:cs="Arial"/>
                <w:sz w:val="18"/>
              </w:rPr>
              <w:t>24</w:t>
            </w:r>
          </w:p>
        </w:tc>
        <w:tc>
          <w:tcPr>
            <w:tcW w:w="993" w:type="dxa"/>
          </w:tcPr>
          <w:p>
            <w:pPr>
              <w:keepNext/>
              <w:spacing w:after="0"/>
              <w:jc w:val="center"/>
              <w:rPr>
                <w:rFonts w:ascii="Arial" w:hAnsi="Arial" w:cs="Arial"/>
                <w:sz w:val="18"/>
              </w:rPr>
            </w:pPr>
            <w:r>
              <w:rPr>
                <w:rFonts w:ascii="Arial" w:hAnsi="Arial" w:cs="Arial"/>
                <w:sz w:val="18"/>
              </w:rPr>
              <w:t>24</w:t>
            </w:r>
          </w:p>
        </w:tc>
        <w:tc>
          <w:tcPr>
            <w:tcW w:w="992" w:type="dxa"/>
          </w:tcPr>
          <w:p>
            <w:pPr>
              <w:keepNext/>
              <w:spacing w:after="0"/>
              <w:jc w:val="center"/>
              <w:rPr>
                <w:rFonts w:ascii="Arial" w:hAnsi="Arial" w:cs="Arial"/>
                <w:sz w:val="18"/>
              </w:rPr>
            </w:pPr>
            <w:r>
              <w:rPr>
                <w:rFonts w:ascii="Arial" w:hAnsi="Arial" w:cs="Arial"/>
                <w:sz w:val="18"/>
              </w:rPr>
              <w:t>24</w:t>
            </w:r>
          </w:p>
        </w:tc>
        <w:tc>
          <w:tcPr>
            <w:tcW w:w="992" w:type="dxa"/>
          </w:tcPr>
          <w:p>
            <w:pPr>
              <w:keepNext/>
              <w:spacing w:after="0"/>
              <w:jc w:val="center"/>
              <w:rPr>
                <w:rFonts w:ascii="Arial" w:hAnsi="Arial" w:cs="Arial"/>
                <w:sz w:val="18"/>
              </w:rPr>
            </w:pPr>
            <w:r>
              <w:rPr>
                <w:rFonts w:ascii="Arial" w:hAnsi="Arial" w:cs="Arial"/>
                <w:sz w:val="18"/>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Code block CRC size (bits)</w:t>
            </w:r>
          </w:p>
        </w:tc>
        <w:tc>
          <w:tcPr>
            <w:tcW w:w="1134" w:type="dxa"/>
          </w:tcPr>
          <w:p>
            <w:pPr>
              <w:keepNext/>
              <w:spacing w:after="0"/>
              <w:jc w:val="center"/>
              <w:rPr>
                <w:rFonts w:ascii="Arial" w:hAnsi="Arial" w:cs="Arial"/>
                <w:sz w:val="18"/>
              </w:rPr>
            </w:pPr>
            <w:r>
              <w:rPr>
                <w:rFonts w:ascii="Arial" w:hAnsi="Arial" w:cs="Arial"/>
                <w:sz w:val="18"/>
              </w:rPr>
              <w:t>0</w:t>
            </w:r>
          </w:p>
        </w:tc>
        <w:tc>
          <w:tcPr>
            <w:tcW w:w="1134" w:type="dxa"/>
          </w:tcPr>
          <w:p>
            <w:pPr>
              <w:keepNext/>
              <w:spacing w:after="0"/>
              <w:jc w:val="center"/>
              <w:rPr>
                <w:rFonts w:ascii="Arial" w:hAnsi="Arial" w:cs="Arial"/>
                <w:sz w:val="18"/>
              </w:rPr>
            </w:pPr>
            <w:r>
              <w:rPr>
                <w:rFonts w:ascii="Arial" w:hAnsi="Arial" w:cs="Arial"/>
                <w:sz w:val="18"/>
              </w:rPr>
              <w:t>0</w:t>
            </w:r>
          </w:p>
        </w:tc>
        <w:tc>
          <w:tcPr>
            <w:tcW w:w="1134" w:type="dxa"/>
          </w:tcPr>
          <w:p>
            <w:pPr>
              <w:keepNext/>
              <w:spacing w:after="0"/>
              <w:jc w:val="center"/>
              <w:rPr>
                <w:rFonts w:ascii="Arial" w:hAnsi="Arial" w:cs="Arial"/>
                <w:sz w:val="18"/>
              </w:rPr>
            </w:pPr>
            <w:r>
              <w:rPr>
                <w:rFonts w:ascii="Arial" w:hAnsi="Arial" w:cs="Arial"/>
                <w:sz w:val="18"/>
              </w:rPr>
              <w:t>0</w:t>
            </w:r>
          </w:p>
        </w:tc>
        <w:tc>
          <w:tcPr>
            <w:tcW w:w="1134" w:type="dxa"/>
          </w:tcPr>
          <w:p>
            <w:pPr>
              <w:keepNext/>
              <w:spacing w:after="0"/>
              <w:jc w:val="center"/>
              <w:rPr>
                <w:rFonts w:ascii="Arial" w:hAnsi="Arial" w:cs="Arial"/>
                <w:sz w:val="18"/>
              </w:rPr>
            </w:pPr>
            <w:r>
              <w:rPr>
                <w:rFonts w:ascii="Arial" w:hAnsi="Arial" w:cs="Arial"/>
                <w:sz w:val="18"/>
              </w:rPr>
              <w:t>0</w:t>
            </w:r>
          </w:p>
        </w:tc>
        <w:tc>
          <w:tcPr>
            <w:tcW w:w="993" w:type="dxa"/>
          </w:tcPr>
          <w:p>
            <w:pPr>
              <w:keepNext/>
              <w:spacing w:after="0"/>
              <w:jc w:val="center"/>
              <w:rPr>
                <w:rFonts w:ascii="Arial" w:hAnsi="Arial" w:cs="Arial"/>
                <w:sz w:val="18"/>
              </w:rPr>
            </w:pPr>
            <w:r>
              <w:rPr>
                <w:rFonts w:ascii="Arial" w:hAnsi="Arial" w:cs="Arial"/>
                <w:sz w:val="18"/>
              </w:rPr>
              <w:t>0</w:t>
            </w:r>
          </w:p>
        </w:tc>
        <w:tc>
          <w:tcPr>
            <w:tcW w:w="992" w:type="dxa"/>
          </w:tcPr>
          <w:p>
            <w:pPr>
              <w:keepNext/>
              <w:spacing w:after="0"/>
              <w:jc w:val="center"/>
              <w:rPr>
                <w:rFonts w:ascii="Arial" w:hAnsi="Arial" w:cs="Arial"/>
                <w:sz w:val="18"/>
              </w:rPr>
            </w:pPr>
            <w:r>
              <w:rPr>
                <w:rFonts w:ascii="Arial" w:hAnsi="Arial" w:cs="Arial"/>
                <w:sz w:val="18"/>
              </w:rPr>
              <w:t>0</w:t>
            </w:r>
          </w:p>
        </w:tc>
        <w:tc>
          <w:tcPr>
            <w:tcW w:w="992" w:type="dxa"/>
          </w:tcPr>
          <w:p>
            <w:pPr>
              <w:keepNext/>
              <w:spacing w:after="0"/>
              <w:jc w:val="center"/>
              <w:rPr>
                <w:rFonts w:ascii="Arial" w:hAnsi="Arial" w:cs="Arial"/>
                <w:sz w:val="18"/>
              </w:rPr>
            </w:pPr>
            <w:r>
              <w:rPr>
                <w:rFonts w:ascii="Arial" w:hAnsi="Arial" w:cs="Arial"/>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Number of code blocks - C</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993" w:type="dxa"/>
          </w:tcPr>
          <w:p>
            <w:pPr>
              <w:keepNext/>
              <w:spacing w:after="0"/>
              <w:jc w:val="center"/>
              <w:rPr>
                <w:rFonts w:ascii="Arial" w:hAnsi="Arial" w:cs="Arial"/>
                <w:sz w:val="18"/>
              </w:rPr>
            </w:pPr>
            <w:r>
              <w:rPr>
                <w:rFonts w:ascii="Arial" w:hAnsi="Arial" w:cs="Arial"/>
                <w:sz w:val="18"/>
              </w:rPr>
              <w:t>1</w:t>
            </w:r>
          </w:p>
        </w:tc>
        <w:tc>
          <w:tcPr>
            <w:tcW w:w="992" w:type="dxa"/>
          </w:tcPr>
          <w:p>
            <w:pPr>
              <w:keepNext/>
              <w:spacing w:after="0"/>
              <w:jc w:val="center"/>
              <w:rPr>
                <w:rFonts w:ascii="Arial" w:hAnsi="Arial" w:cs="Arial"/>
                <w:sz w:val="18"/>
              </w:rPr>
            </w:pPr>
            <w:r>
              <w:rPr>
                <w:rFonts w:ascii="Arial" w:hAnsi="Arial" w:cs="Arial"/>
                <w:sz w:val="18"/>
              </w:rPr>
              <w:t>1</w:t>
            </w:r>
          </w:p>
        </w:tc>
        <w:tc>
          <w:tcPr>
            <w:tcW w:w="992" w:type="dxa"/>
          </w:tcPr>
          <w:p>
            <w:pPr>
              <w:keepNext/>
              <w:spacing w:after="0"/>
              <w:jc w:val="center"/>
              <w:rPr>
                <w:rFonts w:ascii="Arial" w:hAnsi="Arial" w:cs="Arial"/>
                <w:sz w:val="18"/>
              </w:rPr>
            </w:pPr>
            <w:r>
              <w:rPr>
                <w:rFonts w:ascii="Arial" w:hAnsi="Arial" w:cs="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Total number of bits per resource unit</w:t>
            </w:r>
          </w:p>
        </w:tc>
        <w:tc>
          <w:tcPr>
            <w:tcW w:w="1134" w:type="dxa"/>
          </w:tcPr>
          <w:p>
            <w:pPr>
              <w:keepNext/>
              <w:spacing w:after="0"/>
              <w:jc w:val="center"/>
              <w:rPr>
                <w:rFonts w:ascii="Arial" w:hAnsi="Arial" w:cs="Arial"/>
                <w:sz w:val="18"/>
              </w:rPr>
            </w:pPr>
            <w:r>
              <w:rPr>
                <w:rFonts w:ascii="Arial" w:hAnsi="Arial" w:cs="Arial"/>
                <w:sz w:val="18"/>
              </w:rPr>
              <w:t>96</w:t>
            </w:r>
          </w:p>
        </w:tc>
        <w:tc>
          <w:tcPr>
            <w:tcW w:w="1134" w:type="dxa"/>
          </w:tcPr>
          <w:p>
            <w:pPr>
              <w:keepNext/>
              <w:spacing w:after="0"/>
              <w:jc w:val="center"/>
              <w:rPr>
                <w:rFonts w:ascii="Arial" w:hAnsi="Arial" w:cs="Arial"/>
                <w:sz w:val="18"/>
                <w:lang w:eastAsia="zh-CN"/>
              </w:rPr>
            </w:pPr>
            <w:r>
              <w:rPr>
                <w:rFonts w:ascii="Arial" w:hAnsi="Arial" w:cs="Arial"/>
                <w:sz w:val="18"/>
                <w:lang w:eastAsia="zh-CN"/>
              </w:rPr>
              <w:t>192</w:t>
            </w:r>
          </w:p>
        </w:tc>
        <w:tc>
          <w:tcPr>
            <w:tcW w:w="1134" w:type="dxa"/>
          </w:tcPr>
          <w:p>
            <w:pPr>
              <w:keepNext/>
              <w:spacing w:after="0"/>
              <w:jc w:val="center"/>
              <w:rPr>
                <w:rFonts w:ascii="Arial" w:hAnsi="Arial" w:cs="Arial"/>
                <w:sz w:val="18"/>
              </w:rPr>
            </w:pPr>
            <w:r>
              <w:rPr>
                <w:rFonts w:ascii="Arial" w:hAnsi="Arial" w:cs="Arial"/>
                <w:sz w:val="18"/>
              </w:rPr>
              <w:t>96</w:t>
            </w:r>
          </w:p>
        </w:tc>
        <w:tc>
          <w:tcPr>
            <w:tcW w:w="1134" w:type="dxa"/>
          </w:tcPr>
          <w:p>
            <w:pPr>
              <w:keepNext/>
              <w:spacing w:after="0"/>
              <w:jc w:val="center"/>
              <w:rPr>
                <w:rFonts w:ascii="Arial" w:hAnsi="Arial" w:cs="Arial"/>
                <w:sz w:val="18"/>
                <w:lang w:eastAsia="zh-CN"/>
              </w:rPr>
            </w:pPr>
            <w:r>
              <w:rPr>
                <w:rFonts w:ascii="Arial" w:hAnsi="Arial" w:cs="Arial"/>
                <w:sz w:val="18"/>
                <w:lang w:eastAsia="zh-CN"/>
              </w:rPr>
              <w:t>192</w:t>
            </w:r>
          </w:p>
        </w:tc>
        <w:tc>
          <w:tcPr>
            <w:tcW w:w="993" w:type="dxa"/>
          </w:tcPr>
          <w:p>
            <w:pPr>
              <w:keepNext/>
              <w:spacing w:after="0"/>
              <w:jc w:val="center"/>
              <w:rPr>
                <w:rFonts w:ascii="Arial" w:hAnsi="Arial" w:cs="Arial"/>
                <w:sz w:val="18"/>
                <w:lang w:eastAsia="zh-CN"/>
              </w:rPr>
            </w:pPr>
            <w:r>
              <w:rPr>
                <w:rFonts w:ascii="Arial" w:hAnsi="Arial" w:cs="Arial"/>
                <w:sz w:val="18"/>
                <w:lang w:eastAsia="zh-CN"/>
              </w:rPr>
              <w:t>288</w:t>
            </w:r>
          </w:p>
        </w:tc>
        <w:tc>
          <w:tcPr>
            <w:tcW w:w="992" w:type="dxa"/>
          </w:tcPr>
          <w:p>
            <w:pPr>
              <w:keepNext/>
              <w:spacing w:after="0"/>
              <w:jc w:val="center"/>
              <w:rPr>
                <w:rFonts w:ascii="Arial" w:hAnsi="Arial" w:cs="Arial"/>
                <w:sz w:val="18"/>
                <w:lang w:eastAsia="zh-CN"/>
              </w:rPr>
            </w:pPr>
            <w:r>
              <w:rPr>
                <w:rFonts w:ascii="Arial" w:hAnsi="Arial" w:cs="Arial"/>
                <w:sz w:val="18"/>
                <w:lang w:eastAsia="zh-CN"/>
              </w:rPr>
              <w:t>288</w:t>
            </w:r>
          </w:p>
        </w:tc>
        <w:tc>
          <w:tcPr>
            <w:tcW w:w="992" w:type="dxa"/>
          </w:tcPr>
          <w:p>
            <w:pPr>
              <w:keepNext/>
              <w:spacing w:after="0"/>
              <w:jc w:val="center"/>
              <w:rPr>
                <w:rFonts w:ascii="Arial" w:hAnsi="Arial" w:cs="Arial"/>
                <w:sz w:val="18"/>
                <w:lang w:eastAsia="zh-CN"/>
              </w:rPr>
            </w:pPr>
            <w:r>
              <w:rPr>
                <w:rFonts w:ascii="Arial" w:hAnsi="Arial" w:cs="Arial"/>
                <w:sz w:val="18"/>
                <w:lang w:eastAsia="zh-CN"/>
              </w:rPr>
              <w:t>288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Total symbols per resource unit</w:t>
            </w:r>
          </w:p>
        </w:tc>
        <w:tc>
          <w:tcPr>
            <w:tcW w:w="1134" w:type="dxa"/>
          </w:tcPr>
          <w:p>
            <w:pPr>
              <w:keepNext/>
              <w:spacing w:after="0"/>
              <w:jc w:val="center"/>
              <w:rPr>
                <w:rFonts w:ascii="Arial" w:hAnsi="Arial" w:cs="Arial"/>
                <w:sz w:val="18"/>
              </w:rPr>
            </w:pPr>
            <w:r>
              <w:rPr>
                <w:rFonts w:ascii="Arial" w:hAnsi="Arial" w:cs="Arial"/>
                <w:sz w:val="18"/>
              </w:rPr>
              <w:t>96</w:t>
            </w:r>
          </w:p>
        </w:tc>
        <w:tc>
          <w:tcPr>
            <w:tcW w:w="1134" w:type="dxa"/>
          </w:tcPr>
          <w:p>
            <w:pPr>
              <w:keepNext/>
              <w:spacing w:after="0"/>
              <w:jc w:val="center"/>
              <w:rPr>
                <w:rFonts w:ascii="Arial" w:hAnsi="Arial" w:cs="Arial"/>
                <w:sz w:val="18"/>
                <w:lang w:eastAsia="zh-CN"/>
              </w:rPr>
            </w:pPr>
            <w:r>
              <w:rPr>
                <w:rFonts w:ascii="Arial" w:hAnsi="Arial" w:cs="Arial"/>
                <w:sz w:val="18"/>
              </w:rPr>
              <w:t>96</w:t>
            </w:r>
          </w:p>
        </w:tc>
        <w:tc>
          <w:tcPr>
            <w:tcW w:w="1134" w:type="dxa"/>
          </w:tcPr>
          <w:p>
            <w:pPr>
              <w:keepNext/>
              <w:spacing w:after="0"/>
              <w:jc w:val="center"/>
              <w:rPr>
                <w:rFonts w:ascii="Arial" w:hAnsi="Arial" w:cs="Arial"/>
                <w:sz w:val="18"/>
              </w:rPr>
            </w:pPr>
            <w:r>
              <w:rPr>
                <w:rFonts w:ascii="Arial" w:hAnsi="Arial" w:cs="Arial"/>
                <w:sz w:val="18"/>
              </w:rPr>
              <w:t>96</w:t>
            </w:r>
          </w:p>
        </w:tc>
        <w:tc>
          <w:tcPr>
            <w:tcW w:w="1134" w:type="dxa"/>
          </w:tcPr>
          <w:p>
            <w:pPr>
              <w:keepNext/>
              <w:spacing w:after="0"/>
              <w:jc w:val="center"/>
              <w:rPr>
                <w:rFonts w:ascii="Arial" w:hAnsi="Arial" w:cs="Arial"/>
                <w:sz w:val="18"/>
                <w:lang w:eastAsia="zh-CN"/>
              </w:rPr>
            </w:pPr>
            <w:r>
              <w:rPr>
                <w:rFonts w:ascii="Arial" w:hAnsi="Arial" w:cs="Arial"/>
                <w:sz w:val="18"/>
              </w:rPr>
              <w:t>96</w:t>
            </w:r>
          </w:p>
        </w:tc>
        <w:tc>
          <w:tcPr>
            <w:tcW w:w="993" w:type="dxa"/>
          </w:tcPr>
          <w:p>
            <w:pPr>
              <w:keepNext/>
              <w:spacing w:after="0"/>
              <w:jc w:val="center"/>
              <w:rPr>
                <w:rFonts w:ascii="Arial" w:hAnsi="Arial" w:cs="Arial"/>
                <w:sz w:val="18"/>
                <w:lang w:eastAsia="zh-CN"/>
              </w:rPr>
            </w:pPr>
            <w:r>
              <w:rPr>
                <w:rFonts w:ascii="Arial" w:hAnsi="Arial" w:cs="Arial"/>
                <w:sz w:val="18"/>
                <w:lang w:eastAsia="zh-CN"/>
              </w:rPr>
              <w:t>144</w:t>
            </w:r>
          </w:p>
        </w:tc>
        <w:tc>
          <w:tcPr>
            <w:tcW w:w="992" w:type="dxa"/>
          </w:tcPr>
          <w:p>
            <w:pPr>
              <w:keepNext/>
              <w:spacing w:after="0"/>
              <w:jc w:val="center"/>
              <w:rPr>
                <w:rFonts w:ascii="Arial" w:hAnsi="Arial" w:cs="Arial"/>
                <w:sz w:val="18"/>
                <w:lang w:eastAsia="zh-CN"/>
              </w:rPr>
            </w:pPr>
            <w:r>
              <w:rPr>
                <w:rFonts w:ascii="Arial" w:hAnsi="Arial" w:cs="Arial"/>
                <w:sz w:val="18"/>
                <w:lang w:eastAsia="zh-CN"/>
              </w:rPr>
              <w:t>144</w:t>
            </w:r>
          </w:p>
        </w:tc>
        <w:tc>
          <w:tcPr>
            <w:tcW w:w="992" w:type="dxa"/>
          </w:tcPr>
          <w:p>
            <w:pPr>
              <w:keepNext/>
              <w:spacing w:after="0"/>
              <w:jc w:val="center"/>
              <w:rPr>
                <w:rFonts w:ascii="Arial" w:hAnsi="Arial" w:cs="Arial"/>
                <w:sz w:val="18"/>
                <w:lang w:eastAsia="zh-CN"/>
              </w:rPr>
            </w:pPr>
            <w:r>
              <w:rPr>
                <w:rFonts w:ascii="Arial" w:hAnsi="Arial" w:cs="Arial"/>
                <w:sz w:val="18"/>
                <w:lang w:eastAsia="zh-CN"/>
              </w:rPr>
              <w:t>144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Tx time (ms)</w:t>
            </w:r>
          </w:p>
        </w:tc>
        <w:tc>
          <w:tcPr>
            <w:tcW w:w="1134" w:type="dxa"/>
          </w:tcPr>
          <w:p>
            <w:pPr>
              <w:keepNext/>
              <w:spacing w:after="0"/>
              <w:jc w:val="center"/>
              <w:rPr>
                <w:rFonts w:ascii="Arial" w:hAnsi="Arial" w:cs="Arial"/>
                <w:sz w:val="18"/>
              </w:rPr>
            </w:pPr>
            <w:r>
              <w:rPr>
                <w:rFonts w:ascii="Arial" w:hAnsi="Arial" w:cs="Arial"/>
                <w:sz w:val="18"/>
              </w:rPr>
              <w:t>64</w:t>
            </w:r>
          </w:p>
        </w:tc>
        <w:tc>
          <w:tcPr>
            <w:tcW w:w="1134" w:type="dxa"/>
          </w:tcPr>
          <w:p>
            <w:pPr>
              <w:keepNext/>
              <w:spacing w:after="0"/>
              <w:jc w:val="center"/>
              <w:rPr>
                <w:rFonts w:ascii="Arial" w:hAnsi="Arial" w:cs="Arial"/>
                <w:sz w:val="18"/>
                <w:lang w:eastAsia="zh-CN"/>
              </w:rPr>
            </w:pPr>
            <w:r>
              <w:rPr>
                <w:rFonts w:ascii="Arial" w:hAnsi="Arial" w:cs="Arial"/>
                <w:sz w:val="18"/>
                <w:lang w:eastAsia="zh-CN"/>
              </w:rPr>
              <w:t>32</w:t>
            </w:r>
          </w:p>
        </w:tc>
        <w:tc>
          <w:tcPr>
            <w:tcW w:w="1134" w:type="dxa"/>
          </w:tcPr>
          <w:p>
            <w:pPr>
              <w:keepNext/>
              <w:spacing w:after="0"/>
              <w:jc w:val="center"/>
              <w:rPr>
                <w:rFonts w:ascii="Arial" w:hAnsi="Arial" w:cs="Arial"/>
                <w:sz w:val="18"/>
              </w:rPr>
            </w:pPr>
            <w:r>
              <w:rPr>
                <w:rFonts w:ascii="Arial" w:hAnsi="Arial" w:cs="Arial"/>
                <w:sz w:val="18"/>
              </w:rPr>
              <w:t>16</w:t>
            </w:r>
          </w:p>
        </w:tc>
        <w:tc>
          <w:tcPr>
            <w:tcW w:w="1134" w:type="dxa"/>
          </w:tcPr>
          <w:p>
            <w:pPr>
              <w:keepNext/>
              <w:spacing w:after="0"/>
              <w:jc w:val="center"/>
              <w:rPr>
                <w:rFonts w:ascii="Arial" w:hAnsi="Arial" w:cs="Arial"/>
                <w:sz w:val="18"/>
                <w:lang w:eastAsia="zh-CN"/>
              </w:rPr>
            </w:pPr>
            <w:r>
              <w:rPr>
                <w:rFonts w:ascii="Arial" w:hAnsi="Arial" w:cs="Arial"/>
                <w:sz w:val="18"/>
                <w:lang w:eastAsia="zh-CN"/>
              </w:rPr>
              <w:t>8</w:t>
            </w:r>
          </w:p>
        </w:tc>
        <w:tc>
          <w:tcPr>
            <w:tcW w:w="993" w:type="dxa"/>
          </w:tcPr>
          <w:p>
            <w:pPr>
              <w:keepNext/>
              <w:spacing w:after="0"/>
              <w:jc w:val="center"/>
              <w:rPr>
                <w:rFonts w:ascii="Arial" w:hAnsi="Arial" w:cs="Arial"/>
                <w:sz w:val="18"/>
                <w:lang w:eastAsia="zh-CN"/>
              </w:rPr>
            </w:pPr>
            <w:r>
              <w:rPr>
                <w:rFonts w:ascii="Arial" w:hAnsi="Arial" w:cs="Arial"/>
                <w:sz w:val="18"/>
                <w:lang w:eastAsia="zh-CN"/>
              </w:rPr>
              <w:t>4</w:t>
            </w:r>
          </w:p>
        </w:tc>
        <w:tc>
          <w:tcPr>
            <w:tcW w:w="992" w:type="dxa"/>
          </w:tcPr>
          <w:p>
            <w:pPr>
              <w:keepNext/>
              <w:spacing w:after="0"/>
              <w:jc w:val="center"/>
              <w:rPr>
                <w:rFonts w:ascii="Arial" w:hAnsi="Arial" w:cs="Arial"/>
                <w:sz w:val="18"/>
                <w:lang w:eastAsia="zh-CN"/>
              </w:rPr>
            </w:pPr>
            <w:r>
              <w:rPr>
                <w:rFonts w:ascii="Arial" w:hAnsi="Arial" w:cs="Arial"/>
                <w:sz w:val="18"/>
                <w:lang w:eastAsia="zh-CN"/>
              </w:rPr>
              <w:t>2</w:t>
            </w:r>
          </w:p>
        </w:tc>
        <w:tc>
          <w:tcPr>
            <w:tcW w:w="992" w:type="dxa"/>
          </w:tcPr>
          <w:p>
            <w:pPr>
              <w:keepNext/>
              <w:spacing w:after="0"/>
              <w:jc w:val="center"/>
              <w:rPr>
                <w:rFonts w:ascii="Arial" w:hAnsi="Arial" w:cs="Arial"/>
                <w:sz w:val="18"/>
                <w:lang w:eastAsia="zh-CN"/>
              </w:rPr>
            </w:pPr>
            <w:r>
              <w:rPr>
                <w:rFonts w:ascii="Arial" w:hAnsi="Arial" w:cs="Arial"/>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23" w:type="dxa"/>
            <w:gridSpan w:val="8"/>
          </w:tcPr>
          <w:p>
            <w:pPr>
              <w:pStyle w:val="118"/>
            </w:pPr>
            <w:r>
              <w:t>NOTE 1:</w:t>
            </w:r>
            <w:r>
              <w:tab/>
            </w:r>
            <w:r>
              <w:t>If more than one Code Block is present, an additional CRC sequence of L = 24 Bits is attached to each Code Block (otherwise L = 0 Bit).</w:t>
            </w:r>
          </w:p>
          <w:p>
            <w:pPr>
              <w:pStyle w:val="118"/>
            </w:pPr>
            <w:r>
              <w:t>NOTE 2:</w:t>
            </w:r>
            <w:r>
              <w:tab/>
            </w:r>
            <w:r>
              <w:rPr>
                <w:lang w:eastAsia="zh-CN"/>
              </w:rPr>
              <w:t xml:space="preserve">Parameters related to NPUSCH format 1 scheduling are defined in </w:t>
            </w:r>
            <w:r>
              <w:t>Table A.</w:t>
            </w:r>
            <w:r>
              <w:rPr>
                <w:lang w:eastAsia="zh-CN"/>
              </w:rPr>
              <w:t>2</w:t>
            </w:r>
            <w:r>
              <w:t>.</w:t>
            </w:r>
            <w:r>
              <w:rPr>
                <w:lang w:eastAsia="zh-CN"/>
              </w:rPr>
              <w:t>4</w:t>
            </w:r>
            <w:r>
              <w:t>-</w:t>
            </w:r>
            <w:r>
              <w:rPr>
                <w:lang w:eastAsia="zh-CN"/>
              </w:rPr>
              <w:t>2</w:t>
            </w:r>
            <w:r>
              <w:t>.</w:t>
            </w:r>
          </w:p>
          <w:p>
            <w:pPr>
              <w:pStyle w:val="118"/>
            </w:pPr>
            <w:r>
              <w:t>NOTE 3:</w:t>
            </w:r>
            <w:r>
              <w:tab/>
            </w:r>
            <w:r>
              <w:rPr>
                <w:lang w:eastAsia="zh-CN"/>
              </w:rPr>
              <w:t>NPDCCH is not transmitted in the subframes used for transmission of SI messages.</w:t>
            </w:r>
          </w:p>
          <w:p>
            <w:pPr>
              <w:pStyle w:val="118"/>
            </w:pPr>
            <w:r>
              <w:t>NOTE 4:</w:t>
            </w:r>
            <w:r>
              <w:tab/>
            </w:r>
            <w:r>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pPr>
              <w:pStyle w:val="118"/>
              <w:rPr>
                <w:lang w:eastAsia="zh-CN"/>
              </w:rPr>
            </w:pPr>
            <w:r>
              <w:rPr>
                <w:lang w:val="en-US" w:eastAsia="zh-CN"/>
              </w:rPr>
              <w:t>NOTE 5:</w:t>
            </w:r>
            <w:r>
              <w:tab/>
            </w:r>
            <w:r>
              <w:rPr>
                <w:lang w:val="en-US" w:eastAsia="zh-CN"/>
              </w:rPr>
              <w:t>Number of repetition N</w:t>
            </w:r>
            <w:r>
              <w:rPr>
                <w:vertAlign w:val="subscript"/>
                <w:lang w:val="en-US" w:eastAsia="zh-CN"/>
              </w:rPr>
              <w:t>Rep</w:t>
            </w:r>
            <w:r>
              <w:rPr>
                <w:lang w:val="en-US" w:eastAsia="zh-CN"/>
              </w:rPr>
              <w:t xml:space="preserve"> as defined in table 16.5.1.1-3 in </w:t>
            </w:r>
            <w:r>
              <w:rPr>
                <w:rFonts w:hint="eastAsia"/>
                <w:lang w:val="en-US" w:eastAsia="zh-CN"/>
              </w:rPr>
              <w:t>TS 36.213 [20]</w:t>
            </w:r>
            <w:r>
              <w:rPr>
                <w:lang w:val="en-US" w:eastAsia="zh-CN"/>
              </w:rPr>
              <w:t>.</w:t>
            </w:r>
          </w:p>
        </w:tc>
      </w:tr>
    </w:tbl>
    <w:p/>
    <w:p>
      <w:pPr>
        <w:rPr>
          <w:lang w:eastAsia="ja-JP"/>
        </w:rPr>
      </w:pPr>
      <w:r>
        <w:rPr>
          <w:lang w:eastAsia="zh-CN"/>
        </w:rPr>
        <w:t>Following NOTEs are included in TS 36.521-1 as an addition to TS 36.101, to define examples of UL scheduling patterns based on Table A.2.4-1 and Table A.2.4-2.</w:t>
      </w:r>
      <w:r>
        <w:rPr>
          <w:lang w:eastAsia="ja-JP"/>
        </w:rPr>
        <w:t xml:space="preserve"> Overall period of UL scheduling pattern corresponds with Si-periodicity and it consists of two different patterns</w:t>
      </w:r>
      <w:r>
        <w:t xml:space="preserve"> with dependencies on SI transmission</w:t>
      </w:r>
      <w:r>
        <w:rPr>
          <w:lang w:eastAsia="ja-JP"/>
        </w:rPr>
        <w:t>.</w:t>
      </w:r>
    </w:p>
    <w:p>
      <w:pPr>
        <w:pStyle w:val="111"/>
      </w:pPr>
      <w:r>
        <w:t>-</w:t>
      </w:r>
      <w:r>
        <w:tab/>
      </w:r>
      <w:r>
        <w:t>One pattern applies for period containing SI messages transmission. This pattern has a period with same duration as SI windows length (time period where SI messages are transmitted).</w:t>
      </w:r>
    </w:p>
    <w:p>
      <w:pPr>
        <w:pStyle w:val="111"/>
      </w:pPr>
      <w:r>
        <w:t>-</w:t>
      </w:r>
      <w:r>
        <w:tab/>
      </w:r>
      <w:r>
        <w:t>Another pattern for period where there is no transmission of SI messages. This pattern is repeated during SI periodicity.</w:t>
      </w:r>
    </w:p>
    <w:p>
      <w:pPr>
        <w:pStyle w:val="113"/>
        <w:rPr>
          <w:lang w:eastAsia="ja-JP"/>
        </w:rPr>
      </w:pPr>
      <w:bookmarkStart w:id="1730" w:name="_MON_1562592357"/>
      <w:bookmarkEnd w:id="1730"/>
      <w:r>
        <w:object>
          <v:shape id="_x0000_i1100" o:spt="75" type="#_x0000_t75" style="height:94.2pt;width:452.4pt;" o:ole="t" filled="f" o:preferrelative="t" stroked="f" coordsize="21600,21600">
            <v:path/>
            <v:fill on="f" focussize="0,0"/>
            <v:stroke on="f" joinstyle="miter"/>
            <v:imagedata r:id="rId144" o:title=""/>
            <o:lock v:ext="edit" aspectratio="t"/>
            <w10:wrap type="none"/>
            <w10:anchorlock/>
          </v:shape>
          <o:OLEObject Type="Embed" ProgID="Word.Document.8" ShapeID="_x0000_i1100" DrawAspect="Content" ObjectID="_1468075800" r:id="rId143">
            <o:LockedField>false</o:LockedField>
          </o:OLEObject>
        </w:object>
      </w:r>
    </w:p>
    <w:p>
      <w:pPr>
        <w:pStyle w:val="120"/>
      </w:pPr>
      <w:r>
        <w:t>Figure A.</w:t>
      </w:r>
      <w:r>
        <w:rPr>
          <w:lang w:eastAsia="ja-JP"/>
        </w:rPr>
        <w:t>2.4-1</w:t>
      </w:r>
      <w:r>
        <w:t>: NPDCCH scheduling based on SI transmission</w:t>
      </w:r>
    </w:p>
    <w:p>
      <w:pPr>
        <w:rPr>
          <w:lang w:eastAsia="zh-CN"/>
        </w:rPr>
      </w:pPr>
    </w:p>
    <w:p>
      <w:pPr>
        <w:pStyle w:val="100"/>
      </w:pPr>
      <w:r>
        <w:t>NOTE 1: For 3.75kHz, 1 tone, and π/2 BPSK modulation. NPDCCH transmission is scheduled at the 18th subframe (starting from the 0th subframe) every 80ms and its corresponding NPUSCH format 1 is scheduled 9 subframes after NPDCCH transmission. NPUSCH format 1 transmission has a duration of 64 consecutive ms.</w:t>
      </w:r>
      <w:r>
        <w:rPr>
          <w:lang w:eastAsia="ja-JP"/>
        </w:rPr>
        <w:t xml:space="preserve"> This pattern applies for both periods containing and not containing SI messages transmission.</w:t>
      </w:r>
    </w:p>
    <w:p>
      <w:pPr>
        <w:pStyle w:val="100"/>
      </w:pPr>
      <w:r>
        <w:t>NOTE 2: For 3.75kHz, 1 tone, and π/4 QPSK modulation. NPDCCH transmissions are scheduled at the 18th, 66th and 114th subframe (starting from the 0th subframe) every 160ms for periods containing SI messages transmission and at the 2nd, 51th, 98th, 146th and 194th subframe (starting from the 0th subframe) every 240ms for periods where there is no transmission of SI messages. The corresponding NPUSCH format 1 are scheduled 9 subframes after each NPDCCH transmission. NPUSCH format 1 transmission has a duration of 32 consecutive ms.</w:t>
      </w:r>
    </w:p>
    <w:p>
      <w:pPr>
        <w:pStyle w:val="100"/>
      </w:pPr>
      <w:r>
        <w:t>NOTE 3: For 15kHz, 1 tone, and π/2 BPSK modulation. NPDCCH transmissions are scheduled at the 18th, 51th, 98th and 131th subframe (starting from the 0th subframe) every 160ms for periods containing SI messages transmission and at the 2nd, 34th, 66th, 98th and 131th subframe (starting from the 0th subframe) every 160ms for periods where there is no transmission of SI messages. The corresponding NPUSCH format 1 are scheduled 9 subframes after each NPDCCH transmission. NPUSCH format 1 transmission has a duration of 16 consecutive ms.</w:t>
      </w:r>
    </w:p>
    <w:p>
      <w:pPr>
        <w:pStyle w:val="100"/>
      </w:pPr>
      <w:r>
        <w:t>NOTE 4: For 15kHz, 1 tone, and π/4 QPSK modulation. NPDCCH transmissions are scheduled at the 18th, 42th, 66th, 98th, 122th and 146th subframe (starting from the 0th subframe) every 160ms for periods containing SI messages transmission and at the 11th, 34th, 58th, 82th and 106th subframe (starting from the 0th subframe) every 120ms for periods where there is no transmission of SI messages. The corresponding NPUSCH format 1 are scheduled 9 subframes after each NPDCCH transmission. NPUSCH format 1 transmission has a duration of 8 consecutive ms.</w:t>
      </w:r>
    </w:p>
    <w:p>
      <w:pPr>
        <w:pStyle w:val="100"/>
      </w:pPr>
      <w:r>
        <w:t>NOTE 5: For 15kHz, 3 tones, and QPSK modulation. NPDCCH transmissions are scheduled at the 18th, 34th, 51th, 74th, 98th, 114th, 131th and 154th subframe (starting from the 0th subframe) every 160ms for periods containing SI messages transmission and at the 11th and 34th subframe (starting from the 0th subframe) every 40ms for periods where there is no transmission of SI messages. The corresponding NPUSCH format 1 are scheduled 9 subframes after each NPDCCH transmission. NPUSCH format 1 transmission has a duration of 4 consecutive ms.</w:t>
      </w:r>
    </w:p>
    <w:p>
      <w:pPr>
        <w:pStyle w:val="100"/>
      </w:pPr>
      <w:r>
        <w:t>NOTE 6: For 15kHz, 6 tones, and QPSK modulation. NPDCCH transmissions are scheduled at the 18th, 34th, 51th, 66th, 98th, 114th, 131th and 146th subframe (starting from the 0th subframe) every 160ms for periods containing SI messages transmission and at the 2nd, 18th, 34th, 51th and 66th subframe (starting from the 0th subframe) every 80ms for periods where there is no transmission of SI messages. The corresponding NPUSCH format 1 are scheduled 9 subframes after each NPDCCH transmission. NPUSCH format 1 transmission has a duration of 2 consecutive ms.</w:t>
      </w:r>
    </w:p>
    <w:p>
      <w:pPr>
        <w:pStyle w:val="100"/>
      </w:pPr>
      <w:r>
        <w:t>NOTE 7: For 15kHz, 12 tones, and QPSK modulation. NPDCCH transmissions are scheduled at the 18th, 34th, 51th, 66th, 98th, 114th, 131th and 146th subframe (starting from the 0th subframe) every 160ms for periods containing SI messages transmission and at the 2nd, 18th, 34th, 51th and 66th subframe (starting from the 0th subframe) every 80ms for periods where there is no transmission of SI messages. The corresponding NPUSCH format 1 are scheduled 9 subframes after each NPDCCH transmission. NPUSCH format 1 transmission has a duration of 1 ms.</w:t>
      </w:r>
    </w:p>
    <w:p>
      <w:pPr>
        <w:pStyle w:val="113"/>
        <w:rPr>
          <w:lang w:eastAsia="zh-CN"/>
        </w:rPr>
      </w:pPr>
      <w:r>
        <w:t>Table A.</w:t>
      </w:r>
      <w:r>
        <w:rPr>
          <w:lang w:eastAsia="zh-CN"/>
        </w:rPr>
        <w:t>2</w:t>
      </w:r>
      <w:r>
        <w:t>.</w:t>
      </w:r>
      <w:r>
        <w:rPr>
          <w:lang w:eastAsia="zh-CN"/>
        </w:rPr>
        <w:t>4</w:t>
      </w:r>
      <w:r>
        <w:t>-</w:t>
      </w:r>
      <w:r>
        <w:rPr>
          <w:lang w:eastAsia="zh-CN"/>
        </w:rPr>
        <w:t>2</w:t>
      </w:r>
      <w:r>
        <w:t xml:space="preserve">: </w:t>
      </w:r>
      <w:r>
        <w:rPr>
          <w:lang w:eastAsia="zh-CN"/>
        </w:rPr>
        <w:t xml:space="preserve">NPDCCH configuration for NPUSCH format 1 scheduling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1"/>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tcPr>
          <w:p>
            <w:pPr>
              <w:pStyle w:val="104"/>
              <w:rPr>
                <w:kern w:val="2"/>
                <w:lang w:eastAsia="zh-CN"/>
              </w:rPr>
            </w:pPr>
            <w:r>
              <w:rPr>
                <w:kern w:val="2"/>
                <w:lang w:eastAsia="zh-CN"/>
              </w:rPr>
              <w:t>Parameter</w:t>
            </w:r>
          </w:p>
        </w:tc>
        <w:tc>
          <w:tcPr>
            <w:tcW w:w="1698" w:type="dxa"/>
            <w:tcBorders>
              <w:top w:val="single" w:color="auto" w:sz="4" w:space="0"/>
              <w:left w:val="single" w:color="auto" w:sz="4" w:space="0"/>
              <w:bottom w:val="single" w:color="auto" w:sz="4" w:space="0"/>
              <w:right w:val="single" w:color="auto" w:sz="4" w:space="0"/>
            </w:tcBorders>
          </w:tcPr>
          <w:p>
            <w:pPr>
              <w:pStyle w:val="104"/>
              <w:rPr>
                <w:kern w:val="2"/>
                <w:lang w:eastAsia="zh-CN"/>
              </w:rPr>
            </w:pPr>
            <w:r>
              <w:rPr>
                <w:kern w:val="2"/>
                <w:lang w:eastAsia="zh-CN"/>
              </w:rPr>
              <w:t>Unit</w:t>
            </w:r>
          </w:p>
        </w:tc>
        <w:tc>
          <w:tcPr>
            <w:tcW w:w="2701" w:type="dxa"/>
            <w:tcBorders>
              <w:top w:val="single" w:color="auto" w:sz="4" w:space="0"/>
              <w:left w:val="single" w:color="auto" w:sz="4" w:space="0"/>
              <w:bottom w:val="single" w:color="auto" w:sz="4" w:space="0"/>
              <w:right w:val="single" w:color="auto" w:sz="4" w:space="0"/>
            </w:tcBorders>
          </w:tcPr>
          <w:p>
            <w:pPr>
              <w:pStyle w:val="104"/>
              <w:rPr>
                <w:kern w:val="2"/>
                <w:lang w:eastAsia="zh-CN"/>
              </w:rPr>
            </w:pPr>
            <w:r>
              <w:rPr>
                <w:kern w:val="2"/>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r>
              <w:rPr>
                <w:kern w:val="2"/>
              </w:rPr>
              <w:t>DCI format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DCI format N0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bCs/>
                <w:kern w:val="2"/>
              </w:rPr>
              <w:t>NPDCCH format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kern w:val="2"/>
              </w:rPr>
            </w:pPr>
            <w:r>
              <w:t>Scheduling delay (</w:t>
            </w:r>
            <w:r>
              <w:rPr>
                <w:b/>
                <w:position w:val="-14"/>
              </w:rPr>
              <w:drawing>
                <wp:inline distT="0" distB="0" distL="114300" distR="114300">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12"/>
                          <a:stretch>
                            <a:fillRect/>
                          </a:stretch>
                        </pic:blipFill>
                        <pic:spPr>
                          <a:xfrm>
                            <a:off x="0" y="0"/>
                            <a:ext cx="323850" cy="241300"/>
                          </a:xfrm>
                          <a:prstGeom prst="rect">
                            <a:avLst/>
                          </a:prstGeom>
                          <a:noFill/>
                          <a:ln>
                            <a:noFill/>
                          </a:ln>
                        </pic:spPr>
                      </pic:pic>
                    </a:graphicData>
                  </a:graphic>
                </wp:inline>
              </w:drawing>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pPr>
            <w:r>
              <w:t>DCI subframe repetition number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b/>
              </w:rPr>
            </w:pPr>
            <w:r>
              <w:rPr>
                <w:b/>
                <w:position w:val="-12"/>
              </w:rPr>
              <w:drawing>
                <wp:inline distT="0" distB="0" distL="114300" distR="114300">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pPr>
              <w:pStyle w:val="105"/>
            </w:pPr>
            <w:r>
              <w:t>(</w:t>
            </w:r>
            <w:r>
              <w:rPr>
                <w:i/>
              </w:rPr>
              <w:t>npdcch-NumRepetitions</w:t>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pPr>
            <w:r>
              <w:t>G</w:t>
            </w:r>
          </w:p>
          <w:p>
            <w:pPr>
              <w:pStyle w:val="105"/>
            </w:pPr>
            <w:r>
              <w:t>(</w:t>
            </w:r>
            <w:r>
              <w:rPr>
                <w:i/>
              </w:rPr>
              <w:t>NPDCCH-startSF-USS</w:t>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rFonts w:cs="v5.0.0"/>
              </w:rPr>
            </w:pPr>
            <w:r>
              <w:rPr>
                <w:position w:val="-14"/>
              </w:rPr>
              <w:drawing>
                <wp:inline distT="0" distB="0" distL="114300" distR="114300">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16"/>
                          <a:stretch>
                            <a:fillRect/>
                          </a:stretch>
                        </pic:blipFill>
                        <pic:spPr>
                          <a:xfrm>
                            <a:off x="0" y="0"/>
                            <a:ext cx="317500" cy="241300"/>
                          </a:xfrm>
                          <a:prstGeom prst="rect">
                            <a:avLst/>
                          </a:prstGeom>
                          <a:noFill/>
                          <a:ln>
                            <a:noFill/>
                          </a:ln>
                        </pic:spPr>
                      </pic:pic>
                    </a:graphicData>
                  </a:graphic>
                </wp:inline>
              </w:drawing>
            </w:r>
          </w:p>
          <w:p>
            <w:pPr>
              <w:pStyle w:val="105"/>
            </w:pPr>
            <w:r>
              <w:t>(</w:t>
            </w:r>
            <w:r>
              <w:rPr>
                <w:i/>
              </w:rPr>
              <w:t>npdcch-Offset-USS</w:t>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1/4</w:t>
            </w:r>
          </w:p>
        </w:tc>
      </w:tr>
    </w:tbl>
    <w:p/>
    <w:p>
      <w:pPr>
        <w:pStyle w:val="3"/>
      </w:pPr>
      <w:bookmarkStart w:id="1731" w:name="_Toc29543"/>
      <w:bookmarkStart w:id="1732" w:name="_Toc24585"/>
      <w:bookmarkStart w:id="1733" w:name="_Toc12052"/>
      <w:bookmarkStart w:id="1734" w:name="_Toc232582113"/>
      <w:bookmarkStart w:id="1735" w:name="_Toc19635"/>
      <w:bookmarkStart w:id="1736" w:name="_Toc31972"/>
      <w:r>
        <w:t>A.3</w:t>
      </w:r>
      <w:r>
        <w:tab/>
      </w:r>
      <w:r>
        <w:t>DL reference measurement channels</w:t>
      </w:r>
      <w:bookmarkEnd w:id="1731"/>
      <w:bookmarkEnd w:id="1732"/>
      <w:bookmarkEnd w:id="1733"/>
      <w:bookmarkEnd w:id="1734"/>
      <w:bookmarkEnd w:id="1735"/>
      <w:bookmarkEnd w:id="1736"/>
    </w:p>
    <w:p>
      <w:pPr>
        <w:pStyle w:val="4"/>
      </w:pPr>
      <w:bookmarkStart w:id="1737" w:name="_Toc25128"/>
      <w:bookmarkStart w:id="1738" w:name="_Toc232582114"/>
      <w:bookmarkStart w:id="1739" w:name="_Toc5747"/>
      <w:bookmarkStart w:id="1740" w:name="_Toc20102"/>
      <w:bookmarkStart w:id="1741" w:name="_Toc26477"/>
      <w:bookmarkStart w:id="1742" w:name="_Toc14283"/>
      <w:r>
        <w:t>A.3.1</w:t>
      </w:r>
      <w:r>
        <w:tab/>
      </w:r>
      <w:r>
        <w:t>General</w:t>
      </w:r>
      <w:bookmarkEnd w:id="1737"/>
      <w:bookmarkEnd w:id="1738"/>
      <w:bookmarkEnd w:id="1739"/>
      <w:bookmarkEnd w:id="1740"/>
      <w:bookmarkEnd w:id="1741"/>
      <w:bookmarkEnd w:id="1742"/>
    </w:p>
    <w:p>
      <w:r>
        <w:t>The number of available channel bits varies across the sub-frames due to PBCH and PSS/SSS overhead. The payload size per sub-frame is varied in order to keep the code rate constant throughout a frame.</w:t>
      </w:r>
    </w:p>
    <w:p>
      <w:r>
        <w:t>No user data is scheduled on subframes #5 in order to facilitate the transmission of system information blocks (SIB).</w:t>
      </w:r>
    </w:p>
    <w:p>
      <w:pPr>
        <w:rPr>
          <w:rFonts w:eastAsia="宋体"/>
          <w:kern w:val="2"/>
          <w:vertAlign w:val="subscript"/>
        </w:rPr>
      </w:pPr>
      <w:r>
        <w:t xml:space="preserve">The algorithm for determining the payload size </w:t>
      </w:r>
      <w:r>
        <w:rPr>
          <w:i/>
          <w:iCs/>
        </w:rPr>
        <w:t>A</w:t>
      </w:r>
      <w:r>
        <w:t xml:space="preserve"> is as follows; given a desired coding rate </w:t>
      </w:r>
      <w:r>
        <w:rPr>
          <w:i/>
          <w:iCs/>
        </w:rPr>
        <w:t>R</w:t>
      </w:r>
      <w:r>
        <w:t xml:space="preserve"> </w:t>
      </w:r>
      <w:r>
        <w:rPr>
          <w:rFonts w:eastAsia="宋体"/>
          <w:kern w:val="2"/>
        </w:rPr>
        <w:t xml:space="preserve">and radio block allocation </w:t>
      </w:r>
      <w:r>
        <w:rPr>
          <w:rFonts w:eastAsia="宋体"/>
          <w:i/>
          <w:iCs/>
          <w:kern w:val="2"/>
        </w:rPr>
        <w:t>N</w:t>
      </w:r>
      <w:r>
        <w:rPr>
          <w:rFonts w:eastAsia="宋体"/>
          <w:kern w:val="2"/>
          <w:vertAlign w:val="subscript"/>
        </w:rPr>
        <w:t>RB</w:t>
      </w:r>
    </w:p>
    <w:p>
      <w:pPr>
        <w:pStyle w:val="111"/>
      </w:pPr>
      <w:r>
        <w:t>1.</w:t>
      </w:r>
      <w:r>
        <w:tab/>
      </w:r>
      <w:r>
        <w:t xml:space="preserve">Calculate the number of channel bits </w:t>
      </w:r>
      <w:r>
        <w:rPr>
          <w:i/>
          <w:iCs/>
        </w:rPr>
        <w:t>N</w:t>
      </w:r>
      <w:r>
        <w:rPr>
          <w:vertAlign w:val="subscript"/>
        </w:rPr>
        <w:t>ch</w:t>
      </w:r>
      <w:r>
        <w:t xml:space="preserve"> that can be transmitted during the first transmission of a given sub-frame.</w:t>
      </w:r>
    </w:p>
    <w:p>
      <w:pPr>
        <w:pStyle w:val="111"/>
      </w:pPr>
      <w:r>
        <w:t>2.</w:t>
      </w:r>
      <w:r>
        <w:tab/>
      </w:r>
      <w:r>
        <w:t xml:space="preserve">Find </w:t>
      </w:r>
      <w:r>
        <w:rPr>
          <w:i/>
          <w:iCs/>
        </w:rPr>
        <w:t>A</w:t>
      </w:r>
      <w:r>
        <w:t xml:space="preserve"> such that the resulting coding rate is as close to </w:t>
      </w:r>
      <w:r>
        <w:rPr>
          <w:i/>
          <w:iCs/>
        </w:rPr>
        <w:t>R</w:t>
      </w:r>
      <w:r>
        <w:t xml:space="preserve"> as possible, that is,</w:t>
      </w:r>
    </w:p>
    <w:p>
      <w:pPr>
        <w:pStyle w:val="122"/>
      </w:pPr>
      <w:r>
        <w:rPr>
          <w:position w:val="-30"/>
        </w:rPr>
        <w:object>
          <v:shape id="_x0000_i1101" o:spt="75" type="#_x0000_t75" style="height:31.8pt;width:262.8pt;" o:ole="t" filled="f" o:preferrelative="t" stroked="f" coordsize="21600,21600">
            <v:path/>
            <v:fill on="f" focussize="0,0"/>
            <v:stroke on="f" joinstyle="miter"/>
            <v:imagedata r:id="rId134" o:title=""/>
            <o:lock v:ext="edit" aspectratio="t"/>
            <w10:wrap type="none"/>
            <w10:anchorlock/>
          </v:shape>
          <o:OLEObject Type="Embed" ProgID="Equation.3" ShapeID="_x0000_i1101" DrawAspect="Content" ObjectID="_1468075801" r:id="rId145">
            <o:LockedField>false</o:LockedField>
          </o:OLEObject>
        </w:object>
      </w:r>
      <w:r>
        <w:t>,</w:t>
      </w:r>
    </w:p>
    <w:p>
      <w:pPr>
        <w:pStyle w:val="95"/>
        <w:jc w:val="center"/>
      </w:pPr>
      <w:r>
        <w:tab/>
      </w:r>
      <w:r>
        <w:t>subject to</w:t>
      </w:r>
    </w:p>
    <w:p>
      <w:pPr>
        <w:pStyle w:val="122"/>
      </w:pPr>
      <w:r>
        <w:t xml:space="preserve">a) </w:t>
      </w:r>
      <w:r>
        <w:rPr>
          <w:rFonts w:eastAsia="宋体"/>
          <w:kern w:val="2"/>
        </w:rPr>
        <w:t xml:space="preserve">A is a valid TB size (according to </w:t>
      </w:r>
      <w:r>
        <w:rPr>
          <w:lang w:eastAsia="ja-JP"/>
        </w:rPr>
        <w:t>TS 36.213 [</w:t>
      </w:r>
      <w:r>
        <w:t xml:space="preserve">10] clause </w:t>
      </w:r>
      <w:r>
        <w:rPr>
          <w:rFonts w:eastAsia="宋体"/>
          <w:kern w:val="2"/>
        </w:rPr>
        <w:t xml:space="preserve">7.1.7) assuming an allocation of </w:t>
      </w:r>
      <w:r>
        <w:rPr>
          <w:rFonts w:eastAsia="宋体"/>
          <w:i/>
          <w:iCs/>
          <w:kern w:val="2"/>
        </w:rPr>
        <w:t>N</w:t>
      </w:r>
      <w:r>
        <w:rPr>
          <w:rFonts w:eastAsia="宋体"/>
          <w:kern w:val="2"/>
          <w:vertAlign w:val="subscript"/>
        </w:rPr>
        <w:t>RB</w:t>
      </w:r>
      <w:r>
        <w:rPr>
          <w:rFonts w:eastAsia="宋体"/>
          <w:kern w:val="2"/>
        </w:rPr>
        <w:t xml:space="preserve"> resource blocks</w:t>
      </w:r>
    </w:p>
    <w:p>
      <w:pPr>
        <w:pStyle w:val="122"/>
      </w:pPr>
      <w:r>
        <w:t xml:space="preserve">b) </w:t>
      </w:r>
      <w:r>
        <w:rPr>
          <w:i/>
        </w:rPr>
        <w:t>C</w:t>
      </w:r>
      <w:r>
        <w:t xml:space="preserve"> is the number of Code Blocks calculated according to section 5.1.2 of TS 36.212 [</w:t>
      </w:r>
      <w:r>
        <w:rPr>
          <w:rFonts w:hint="eastAsia" w:eastAsia="宋体"/>
          <w:lang w:val="en-US" w:eastAsia="zh-CN"/>
        </w:rPr>
        <w:t>1</w:t>
      </w:r>
      <w:r>
        <w:t>9].</w:t>
      </w:r>
    </w:p>
    <w:p>
      <w:pPr>
        <w:pStyle w:val="111"/>
      </w:pPr>
      <w:r>
        <w:t>3.</w:t>
      </w:r>
      <w:r>
        <w:tab/>
      </w:r>
      <w:r>
        <w:t xml:space="preserve">If there is more than one </w:t>
      </w:r>
      <w:r>
        <w:rPr>
          <w:i/>
          <w:iCs/>
        </w:rPr>
        <w:t>A</w:t>
      </w:r>
      <w:r>
        <w:t xml:space="preserve"> that minimizes the equation above, then the larger value is chosen per default and the chosen code rate should not exceed 0.93.</w:t>
      </w:r>
    </w:p>
    <w:p>
      <w:pPr>
        <w:pStyle w:val="111"/>
      </w:pPr>
      <w:r>
        <w:t>4.</w:t>
      </w:r>
      <w:r>
        <w:tab/>
      </w:r>
      <w:r>
        <w:t>For TDD, the measurement channel is based on DL/UL configuration ratio of 2DL+DwPTS (12 OFDM symbol): 2UL.</w:t>
      </w:r>
    </w:p>
    <w:p>
      <w:pPr>
        <w:pStyle w:val="5"/>
        <w:rPr>
          <w:snapToGrid w:val="0"/>
        </w:rPr>
      </w:pPr>
      <w:bookmarkStart w:id="1743" w:name="_Toc16736"/>
      <w:bookmarkStart w:id="1744" w:name="_Toc17024"/>
      <w:bookmarkStart w:id="1745" w:name="_Toc1657"/>
      <w:bookmarkStart w:id="1746" w:name="_Toc4737"/>
      <w:bookmarkStart w:id="1747" w:name="_Toc24484"/>
      <w:r>
        <w:rPr>
          <w:snapToGrid w:val="0"/>
        </w:rPr>
        <w:t>A.3.1.1</w:t>
      </w:r>
      <w:r>
        <w:rPr>
          <w:snapToGrid w:val="0"/>
        </w:rPr>
        <w:tab/>
      </w:r>
      <w:r>
        <w:rPr>
          <w:snapToGrid w:val="0"/>
        </w:rPr>
        <w:t>Overview of DL reference measurement channels</w:t>
      </w:r>
      <w:bookmarkEnd w:id="1743"/>
      <w:bookmarkEnd w:id="1744"/>
      <w:bookmarkEnd w:id="1745"/>
      <w:bookmarkEnd w:id="1746"/>
      <w:bookmarkEnd w:id="1747"/>
    </w:p>
    <w:p>
      <w:r>
        <w:t xml:space="preserve">In Table A.3.1.1-1 are listed the DL reference measurement channels specified in </w:t>
      </w:r>
      <w:r>
        <w:rPr>
          <w:rFonts w:hint="eastAsia" w:eastAsia="宋体"/>
          <w:lang w:val="en-US" w:eastAsia="zh-CN"/>
        </w:rPr>
        <w:t>A</w:t>
      </w:r>
      <w:r>
        <w:t>nnexes A.3.2 to A.3.</w:t>
      </w:r>
      <w:r>
        <w:rPr>
          <w:lang w:eastAsia="zh-CN"/>
        </w:rPr>
        <w:t>17</w:t>
      </w:r>
      <w:r>
        <w:t xml:space="preserve"> of this release of TS 36.521-1. This table is informative and serves only to a better overview. The reference for the concrete reference measurement channels and corresponding implementation’s parameters as to be used for testing are annexes A.3.2 to A.3.</w:t>
      </w:r>
      <w:r>
        <w:rPr>
          <w:lang w:eastAsia="zh-CN"/>
        </w:rPr>
        <w:t xml:space="preserve">17 </w:t>
      </w:r>
      <w:r>
        <w:t>as appropriate.</w:t>
      </w:r>
    </w:p>
    <w:p>
      <w:pPr>
        <w:pStyle w:val="113"/>
      </w:pPr>
      <w:r>
        <w:t>Table A.3.1.1-1: Overview of DL reference measurement channels</w:t>
      </w:r>
    </w:p>
    <w:tbl>
      <w:tblPr>
        <w:tblStyle w:val="89"/>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9"/>
        <w:gridCol w:w="1621"/>
        <w:gridCol w:w="1177"/>
        <w:gridCol w:w="441"/>
        <w:gridCol w:w="850"/>
        <w:gridCol w:w="592"/>
        <w:gridCol w:w="540"/>
        <w:gridCol w:w="540"/>
        <w:gridCol w:w="54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9" w:type="dxa"/>
            <w:vAlign w:val="center"/>
          </w:tcPr>
          <w:p>
            <w:pPr>
              <w:pStyle w:val="104"/>
              <w:rPr>
                <w:lang w:eastAsia="zh-CN"/>
              </w:rPr>
            </w:pPr>
            <w:r>
              <w:rPr>
                <w:lang w:eastAsia="zh-CN"/>
              </w:rPr>
              <w:t>Duplex</w:t>
            </w:r>
          </w:p>
        </w:tc>
        <w:tc>
          <w:tcPr>
            <w:tcW w:w="1621" w:type="dxa"/>
            <w:vAlign w:val="center"/>
          </w:tcPr>
          <w:p>
            <w:pPr>
              <w:pStyle w:val="104"/>
              <w:rPr>
                <w:lang w:eastAsia="zh-CN"/>
              </w:rPr>
            </w:pPr>
            <w:r>
              <w:rPr>
                <w:lang w:eastAsia="zh-CN"/>
              </w:rPr>
              <w:t>Table</w:t>
            </w:r>
          </w:p>
        </w:tc>
        <w:tc>
          <w:tcPr>
            <w:tcW w:w="1177" w:type="dxa"/>
            <w:vAlign w:val="center"/>
          </w:tcPr>
          <w:p>
            <w:pPr>
              <w:pStyle w:val="104"/>
              <w:rPr>
                <w:lang w:eastAsia="zh-CN"/>
              </w:rPr>
            </w:pPr>
            <w:r>
              <w:rPr>
                <w:lang w:eastAsia="zh-CN"/>
              </w:rPr>
              <w:t>Name</w:t>
            </w:r>
          </w:p>
        </w:tc>
        <w:tc>
          <w:tcPr>
            <w:tcW w:w="441" w:type="dxa"/>
            <w:vAlign w:val="center"/>
          </w:tcPr>
          <w:p>
            <w:pPr>
              <w:pStyle w:val="104"/>
              <w:rPr>
                <w:lang w:eastAsia="zh-CN"/>
              </w:rPr>
            </w:pPr>
            <w:r>
              <w:rPr>
                <w:lang w:eastAsia="zh-CN"/>
              </w:rPr>
              <w:t>BW</w:t>
            </w:r>
          </w:p>
        </w:tc>
        <w:tc>
          <w:tcPr>
            <w:tcW w:w="850" w:type="dxa"/>
            <w:vAlign w:val="center"/>
          </w:tcPr>
          <w:p>
            <w:pPr>
              <w:pStyle w:val="104"/>
              <w:rPr>
                <w:lang w:eastAsia="zh-CN"/>
              </w:rPr>
            </w:pPr>
            <w:r>
              <w:rPr>
                <w:lang w:eastAsia="zh-CN"/>
              </w:rPr>
              <w:t>Mod</w:t>
            </w:r>
          </w:p>
        </w:tc>
        <w:tc>
          <w:tcPr>
            <w:tcW w:w="592" w:type="dxa"/>
            <w:vAlign w:val="center"/>
          </w:tcPr>
          <w:p>
            <w:pPr>
              <w:pStyle w:val="104"/>
              <w:rPr>
                <w:lang w:eastAsia="zh-CN"/>
              </w:rPr>
            </w:pPr>
            <w:r>
              <w:rPr>
                <w:lang w:eastAsia="zh-CN"/>
              </w:rPr>
              <w:t>TCR</w:t>
            </w:r>
          </w:p>
        </w:tc>
        <w:tc>
          <w:tcPr>
            <w:tcW w:w="540" w:type="dxa"/>
            <w:vAlign w:val="center"/>
          </w:tcPr>
          <w:p>
            <w:pPr>
              <w:pStyle w:val="104"/>
              <w:rPr>
                <w:lang w:eastAsia="zh-CN"/>
              </w:rPr>
            </w:pPr>
            <w:r>
              <w:rPr>
                <w:lang w:eastAsia="zh-CN"/>
              </w:rPr>
              <w:t>RB</w:t>
            </w:r>
          </w:p>
        </w:tc>
        <w:tc>
          <w:tcPr>
            <w:tcW w:w="540" w:type="dxa"/>
            <w:vAlign w:val="center"/>
          </w:tcPr>
          <w:p>
            <w:pPr>
              <w:pStyle w:val="104"/>
              <w:rPr>
                <w:lang w:eastAsia="zh-CN"/>
              </w:rPr>
            </w:pPr>
            <w:r>
              <w:rPr>
                <w:lang w:eastAsia="zh-CN"/>
              </w:rPr>
              <w:t>RB</w:t>
            </w:r>
            <w:r>
              <w:rPr>
                <w:lang w:eastAsia="zh-CN"/>
              </w:rPr>
              <w:br w:type="textWrapping"/>
            </w:r>
            <w:r>
              <w:rPr>
                <w:lang w:eastAsia="zh-CN"/>
              </w:rPr>
              <w:t>Offset</w:t>
            </w:r>
          </w:p>
        </w:tc>
        <w:tc>
          <w:tcPr>
            <w:tcW w:w="540" w:type="dxa"/>
            <w:vAlign w:val="center"/>
          </w:tcPr>
          <w:p>
            <w:pPr>
              <w:pStyle w:val="104"/>
              <w:rPr>
                <w:lang w:eastAsia="zh-CN"/>
              </w:rPr>
            </w:pPr>
            <w:r>
              <w:rPr>
                <w:lang w:eastAsia="zh-CN"/>
              </w:rPr>
              <w:t>UE Categ</w:t>
            </w:r>
          </w:p>
        </w:tc>
        <w:tc>
          <w:tcPr>
            <w:tcW w:w="1800" w:type="dxa"/>
            <w:vAlign w:val="center"/>
          </w:tcPr>
          <w:p>
            <w:pPr>
              <w:pStyle w:val="104"/>
              <w:rPr>
                <w:lang w:eastAsia="zh-CN"/>
              </w:rPr>
            </w:pPr>
            <w:r>
              <w:rPr>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Receiver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FDD / HD-FDD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Table A.3.2-1</w:t>
            </w:r>
            <w:r>
              <w:rPr>
                <w:rFonts w:cs="Arial"/>
                <w:sz w:val="16"/>
                <w:szCs w:val="16"/>
                <w:lang w:eastAsia="zh-CN"/>
              </w:rPr>
              <w:t>b</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1.4</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QPSK</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zh-CN"/>
              </w:rPr>
              <w:t>4</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zh-CN"/>
              </w:rPr>
              <w:t>M1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HD-FDD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Table A.3.2-1c</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0.2</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QPSK</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zh-CN"/>
              </w:rPr>
            </w:pPr>
            <w:r>
              <w:rPr>
                <w:sz w:val="16"/>
              </w:rPr>
              <w:t>NB1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HD-FDD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Table A.3.2-1d</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0.2</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QPSK</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zh-CN"/>
              </w:rPr>
            </w:pPr>
            <w:r>
              <w:rPr>
                <w:sz w:val="16"/>
              </w:rPr>
              <w:t>NB1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BFBFBF"/>
            <w:vAlign w:val="center"/>
          </w:tcPr>
          <w:p>
            <w:pPr>
              <w:pStyle w:val="104"/>
              <w:jc w:val="left"/>
              <w:rPr>
                <w:rStyle w:val="183"/>
                <w:bCs/>
              </w:rPr>
            </w:pPr>
            <w:r>
              <w:rPr>
                <w:bCs/>
                <w:lang w:eastAsia="zh-CN"/>
              </w:rPr>
              <w:t>FDD, Receiver requirements, Maximum input level for UE Categories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Table A.3.2-3c</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1.4</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64QAM</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3/4</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2</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BFBFBF"/>
            <w:vAlign w:val="center"/>
          </w:tcPr>
          <w:p>
            <w:pPr>
              <w:pStyle w:val="104"/>
              <w:jc w:val="left"/>
              <w:rPr>
                <w:rStyle w:val="183"/>
                <w:bCs/>
                <w:lang w:eastAsia="zh-TW"/>
              </w:rPr>
            </w:pPr>
            <w:r>
              <w:rPr>
                <w:bCs/>
                <w:lang w:eastAsia="zh-CN"/>
              </w:rPr>
              <w:t xml:space="preserve">FDD, Receiver requirements, Maximum input level for UE Categories </w:t>
            </w:r>
            <w:r>
              <w:rPr>
                <w:bCs/>
                <w:lang w:eastAsia="zh-TW"/>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FDD/HD-FDD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Table A.3.2-3d</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1.4</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16QAM</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3/5</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eastAsia="宋体" w:cs="Arial"/>
                <w:sz w:val="16"/>
                <w:szCs w:val="16"/>
                <w:lang w:eastAsia="zh-CN"/>
              </w:rPr>
              <w:t>2</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Transmitter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sz w:val="16"/>
                <w:szCs w:val="16"/>
                <w:lang w:eastAsia="ja-JP"/>
              </w:rPr>
            </w:pPr>
            <w:r>
              <w:rPr>
                <w:sz w:val="16"/>
                <w:szCs w:val="16"/>
              </w:rPr>
              <w:t>Table A.3.2A-1</w:t>
            </w:r>
            <w:r>
              <w:rPr>
                <w:sz w:val="16"/>
                <w:szCs w:val="16"/>
                <w:lang w:eastAsia="ja-JP"/>
              </w:rPr>
              <w:t>a</w:t>
            </w:r>
          </w:p>
        </w:tc>
        <w:tc>
          <w:tcPr>
            <w:tcW w:w="1177" w:type="dxa"/>
            <w:vAlign w:val="center"/>
          </w:tcPr>
          <w:p>
            <w:pPr>
              <w:pStyle w:val="103"/>
              <w:rPr>
                <w:sz w:val="16"/>
                <w:szCs w:val="16"/>
              </w:rPr>
            </w:pPr>
          </w:p>
        </w:tc>
        <w:tc>
          <w:tcPr>
            <w:tcW w:w="441" w:type="dxa"/>
            <w:vAlign w:val="center"/>
          </w:tcPr>
          <w:p>
            <w:pPr>
              <w:pStyle w:val="103"/>
              <w:rPr>
                <w:sz w:val="16"/>
                <w:szCs w:val="16"/>
              </w:rPr>
            </w:pPr>
            <w:r>
              <w:rPr>
                <w:sz w:val="16"/>
                <w:szCs w:val="16"/>
              </w:rPr>
              <w:t>1.4</w:t>
            </w:r>
          </w:p>
        </w:tc>
        <w:tc>
          <w:tcPr>
            <w:tcW w:w="850" w:type="dxa"/>
            <w:vAlign w:val="center"/>
          </w:tcPr>
          <w:p>
            <w:pPr>
              <w:pStyle w:val="103"/>
              <w:rPr>
                <w:sz w:val="16"/>
                <w:szCs w:val="16"/>
              </w:rPr>
            </w:pPr>
            <w:r>
              <w:rPr>
                <w:sz w:val="16"/>
                <w:szCs w:val="16"/>
              </w:rPr>
              <w:t>QPSK</w:t>
            </w:r>
          </w:p>
        </w:tc>
        <w:tc>
          <w:tcPr>
            <w:tcW w:w="592" w:type="dxa"/>
            <w:vAlign w:val="center"/>
          </w:tcPr>
          <w:p>
            <w:pPr>
              <w:pStyle w:val="103"/>
              <w:rPr>
                <w:sz w:val="16"/>
                <w:szCs w:val="16"/>
              </w:rPr>
            </w:pPr>
            <w:r>
              <w:rPr>
                <w:sz w:val="16"/>
                <w:szCs w:val="16"/>
              </w:rPr>
              <w:t>1/3</w:t>
            </w:r>
          </w:p>
        </w:tc>
        <w:tc>
          <w:tcPr>
            <w:tcW w:w="540" w:type="dxa"/>
            <w:vAlign w:val="center"/>
          </w:tcPr>
          <w:p>
            <w:pPr>
              <w:pStyle w:val="103"/>
              <w:rPr>
                <w:sz w:val="16"/>
                <w:szCs w:val="16"/>
                <w:lang w:eastAsia="ja-JP"/>
              </w:rPr>
            </w:pPr>
            <w:r>
              <w:rPr>
                <w:sz w:val="16"/>
                <w:szCs w:val="16"/>
                <w:lang w:eastAsia="ja-JP"/>
              </w:rPr>
              <w:t>4</w:t>
            </w:r>
          </w:p>
        </w:tc>
        <w:tc>
          <w:tcPr>
            <w:tcW w:w="540" w:type="dxa"/>
            <w:vAlign w:val="center"/>
          </w:tcPr>
          <w:p>
            <w:pPr>
              <w:pStyle w:val="103"/>
              <w:rPr>
                <w:sz w:val="16"/>
                <w:szCs w:val="16"/>
              </w:rPr>
            </w:pPr>
          </w:p>
        </w:tc>
        <w:tc>
          <w:tcPr>
            <w:tcW w:w="540" w:type="dxa"/>
            <w:vAlign w:val="center"/>
          </w:tcPr>
          <w:p>
            <w:pPr>
              <w:pStyle w:val="103"/>
              <w:rPr>
                <w:sz w:val="16"/>
                <w:szCs w:val="16"/>
              </w:rPr>
            </w:pPr>
            <w:r>
              <w:rPr>
                <w:rFonts w:cs="Arial"/>
                <w:sz w:val="16"/>
                <w:szCs w:val="16"/>
                <w:lang w:eastAsia="zh-CN"/>
              </w:rPr>
              <w:t>M1</w:t>
            </w:r>
          </w:p>
        </w:tc>
        <w:tc>
          <w:tcPr>
            <w:tcW w:w="1800" w:type="dxa"/>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PDSCH Performance, Single-antenna transmission (CRS)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sz w:val="16"/>
                <w:szCs w:val="16"/>
              </w:rPr>
            </w:pPr>
            <w:r>
              <w:rPr>
                <w:rFonts w:eastAsia="宋体"/>
                <w:sz w:val="16"/>
                <w:szCs w:val="16"/>
                <w:lang w:val="en-US" w:eastAsia="zh-CN"/>
              </w:rPr>
              <w:t>FFS</w:t>
            </w:r>
          </w:p>
        </w:tc>
        <w:tc>
          <w:tcPr>
            <w:tcW w:w="1177" w:type="dxa"/>
            <w:vAlign w:val="center"/>
          </w:tcPr>
          <w:p>
            <w:pPr>
              <w:pStyle w:val="103"/>
              <w:rPr>
                <w:sz w:val="16"/>
                <w:szCs w:val="16"/>
              </w:rPr>
            </w:pPr>
            <w:r>
              <w:rPr>
                <w:rFonts w:eastAsia="宋体"/>
                <w:sz w:val="16"/>
                <w:szCs w:val="16"/>
                <w:lang w:val="en-US" w:eastAsia="zh-CN"/>
              </w:rPr>
              <w:t>FFS</w:t>
            </w:r>
          </w:p>
        </w:tc>
        <w:tc>
          <w:tcPr>
            <w:tcW w:w="441" w:type="dxa"/>
            <w:vAlign w:val="center"/>
          </w:tcPr>
          <w:p>
            <w:pPr>
              <w:pStyle w:val="103"/>
              <w:rPr>
                <w:sz w:val="16"/>
                <w:szCs w:val="16"/>
              </w:rPr>
            </w:pPr>
            <w:r>
              <w:rPr>
                <w:rFonts w:eastAsia="宋体"/>
                <w:sz w:val="16"/>
                <w:szCs w:val="16"/>
                <w:lang w:val="en-US" w:eastAsia="zh-CN"/>
              </w:rPr>
              <w:t>FFS</w:t>
            </w:r>
          </w:p>
        </w:tc>
        <w:tc>
          <w:tcPr>
            <w:tcW w:w="850" w:type="dxa"/>
            <w:vAlign w:val="center"/>
          </w:tcPr>
          <w:p>
            <w:pPr>
              <w:pStyle w:val="103"/>
              <w:rPr>
                <w:sz w:val="16"/>
                <w:szCs w:val="16"/>
              </w:rPr>
            </w:pPr>
            <w:r>
              <w:rPr>
                <w:rFonts w:eastAsia="宋体"/>
                <w:sz w:val="16"/>
                <w:szCs w:val="16"/>
                <w:lang w:val="en-US" w:eastAsia="zh-CN"/>
              </w:rPr>
              <w:t>FFS</w:t>
            </w:r>
          </w:p>
        </w:tc>
        <w:tc>
          <w:tcPr>
            <w:tcW w:w="592" w:type="dxa"/>
            <w:vAlign w:val="center"/>
          </w:tcPr>
          <w:p>
            <w:pPr>
              <w:pStyle w:val="103"/>
              <w:rPr>
                <w:sz w:val="16"/>
                <w:szCs w:val="16"/>
              </w:rPr>
            </w:pPr>
            <w:r>
              <w:rPr>
                <w:rFonts w:eastAsia="宋体"/>
                <w:sz w:val="16"/>
                <w:szCs w:val="16"/>
                <w:lang w:val="en-US" w:eastAsia="zh-CN"/>
              </w:rPr>
              <w:t>FFS</w:t>
            </w:r>
          </w:p>
        </w:tc>
        <w:tc>
          <w:tcPr>
            <w:tcW w:w="540" w:type="dxa"/>
            <w:vAlign w:val="center"/>
          </w:tcPr>
          <w:p>
            <w:pPr>
              <w:pStyle w:val="103"/>
              <w:rPr>
                <w:sz w:val="16"/>
                <w:szCs w:val="16"/>
              </w:rPr>
            </w:pPr>
            <w:r>
              <w:rPr>
                <w:rFonts w:eastAsia="宋体"/>
                <w:sz w:val="16"/>
                <w:szCs w:val="16"/>
                <w:lang w:val="en-US" w:eastAsia="zh-CN"/>
              </w:rPr>
              <w:t>FFS</w:t>
            </w:r>
          </w:p>
        </w:tc>
        <w:tc>
          <w:tcPr>
            <w:tcW w:w="540" w:type="dxa"/>
            <w:vAlign w:val="center"/>
          </w:tcPr>
          <w:p>
            <w:pPr>
              <w:pStyle w:val="103"/>
              <w:rPr>
                <w:sz w:val="16"/>
                <w:szCs w:val="16"/>
              </w:rPr>
            </w:pPr>
          </w:p>
        </w:tc>
        <w:tc>
          <w:tcPr>
            <w:tcW w:w="540" w:type="dxa"/>
            <w:vAlign w:val="center"/>
          </w:tcPr>
          <w:p>
            <w:pPr>
              <w:pStyle w:val="103"/>
              <w:rPr>
                <w:sz w:val="16"/>
                <w:szCs w:val="16"/>
              </w:rPr>
            </w:pPr>
            <w:r>
              <w:rPr>
                <w:rFonts w:eastAsia="宋体"/>
                <w:sz w:val="16"/>
                <w:szCs w:val="16"/>
                <w:lang w:val="en-US" w:eastAsia="zh-CN"/>
              </w:rPr>
              <w:t>FFS</w:t>
            </w:r>
          </w:p>
        </w:tc>
        <w:tc>
          <w:tcPr>
            <w:tcW w:w="1800" w:type="dxa"/>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PDSCH Performance, Single-antenna transmission (CRS), Single PRB (Channel edge)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rFonts w:eastAsia="宋体"/>
                <w:sz w:val="16"/>
                <w:szCs w:val="16"/>
                <w:lang w:val="en-US" w:eastAsia="zh-CN"/>
              </w:rPr>
            </w:pPr>
            <w:r>
              <w:rPr>
                <w:rFonts w:hint="eastAsia" w:eastAsia="宋体"/>
                <w:sz w:val="16"/>
                <w:szCs w:val="16"/>
                <w:lang w:val="en-US" w:eastAsia="zh-CN"/>
              </w:rPr>
              <w:t>FFS</w:t>
            </w:r>
          </w:p>
        </w:tc>
        <w:tc>
          <w:tcPr>
            <w:tcW w:w="1177" w:type="dxa"/>
            <w:vAlign w:val="center"/>
          </w:tcPr>
          <w:p>
            <w:pPr>
              <w:pStyle w:val="103"/>
              <w:rPr>
                <w:sz w:val="16"/>
                <w:szCs w:val="16"/>
                <w:lang w:val="en-US"/>
              </w:rPr>
            </w:pPr>
            <w:r>
              <w:rPr>
                <w:rFonts w:hint="eastAsia" w:eastAsia="宋体"/>
                <w:sz w:val="16"/>
                <w:szCs w:val="16"/>
                <w:lang w:val="en-US" w:eastAsia="zh-CN"/>
              </w:rPr>
              <w:t>FFS</w:t>
            </w:r>
          </w:p>
        </w:tc>
        <w:tc>
          <w:tcPr>
            <w:tcW w:w="441" w:type="dxa"/>
            <w:vAlign w:val="center"/>
          </w:tcPr>
          <w:p>
            <w:pPr>
              <w:pStyle w:val="103"/>
              <w:rPr>
                <w:sz w:val="16"/>
                <w:szCs w:val="16"/>
                <w:lang w:val="en-US"/>
              </w:rPr>
            </w:pPr>
            <w:r>
              <w:rPr>
                <w:rFonts w:hint="eastAsia" w:eastAsia="宋体"/>
                <w:sz w:val="16"/>
                <w:szCs w:val="16"/>
                <w:lang w:val="en-US" w:eastAsia="zh-CN"/>
              </w:rPr>
              <w:t>FFS</w:t>
            </w:r>
          </w:p>
        </w:tc>
        <w:tc>
          <w:tcPr>
            <w:tcW w:w="850" w:type="dxa"/>
            <w:vAlign w:val="center"/>
          </w:tcPr>
          <w:p>
            <w:pPr>
              <w:pStyle w:val="103"/>
              <w:rPr>
                <w:sz w:val="16"/>
                <w:szCs w:val="16"/>
                <w:lang w:val="en-US"/>
              </w:rPr>
            </w:pPr>
            <w:r>
              <w:rPr>
                <w:rFonts w:hint="eastAsia" w:eastAsia="宋体"/>
                <w:sz w:val="16"/>
                <w:szCs w:val="16"/>
                <w:lang w:val="en-US" w:eastAsia="zh-CN"/>
              </w:rPr>
              <w:t>FFS</w:t>
            </w:r>
          </w:p>
        </w:tc>
        <w:tc>
          <w:tcPr>
            <w:tcW w:w="592" w:type="dxa"/>
            <w:vAlign w:val="center"/>
          </w:tcPr>
          <w:p>
            <w:pPr>
              <w:pStyle w:val="103"/>
              <w:rPr>
                <w:sz w:val="16"/>
                <w:szCs w:val="16"/>
                <w:lang w:val="en-US"/>
              </w:rPr>
            </w:pPr>
            <w:r>
              <w:rPr>
                <w:rFonts w:hint="eastAsia" w:eastAsia="宋体"/>
                <w:sz w:val="16"/>
                <w:szCs w:val="16"/>
                <w:lang w:val="en-US" w:eastAsia="zh-CN"/>
              </w:rPr>
              <w:t>FFS</w:t>
            </w:r>
          </w:p>
        </w:tc>
        <w:tc>
          <w:tcPr>
            <w:tcW w:w="540" w:type="dxa"/>
            <w:vAlign w:val="center"/>
          </w:tcPr>
          <w:p>
            <w:pPr>
              <w:pStyle w:val="103"/>
              <w:rPr>
                <w:sz w:val="16"/>
                <w:szCs w:val="16"/>
                <w:lang w:val="en-US"/>
              </w:rPr>
            </w:pPr>
            <w:r>
              <w:rPr>
                <w:rFonts w:hint="eastAsia" w:eastAsia="宋体"/>
                <w:sz w:val="16"/>
                <w:szCs w:val="16"/>
                <w:lang w:val="en-US" w:eastAsia="zh-CN"/>
              </w:rPr>
              <w:t>FFS</w:t>
            </w:r>
          </w:p>
        </w:tc>
        <w:tc>
          <w:tcPr>
            <w:tcW w:w="540" w:type="dxa"/>
            <w:vAlign w:val="center"/>
          </w:tcPr>
          <w:p>
            <w:pPr>
              <w:pStyle w:val="103"/>
              <w:rPr>
                <w:sz w:val="16"/>
                <w:szCs w:val="16"/>
              </w:rPr>
            </w:pPr>
          </w:p>
        </w:tc>
        <w:tc>
          <w:tcPr>
            <w:tcW w:w="540" w:type="dxa"/>
            <w:vAlign w:val="center"/>
          </w:tcPr>
          <w:p>
            <w:pPr>
              <w:pStyle w:val="103"/>
              <w:rPr>
                <w:sz w:val="16"/>
                <w:szCs w:val="16"/>
              </w:rPr>
            </w:pPr>
            <w:r>
              <w:rPr>
                <w:rFonts w:hint="eastAsia" w:eastAsia="宋体"/>
                <w:sz w:val="16"/>
                <w:szCs w:val="16"/>
                <w:lang w:val="en-US" w:eastAsia="zh-CN"/>
              </w:rPr>
              <w:t>FFS</w:t>
            </w:r>
          </w:p>
        </w:tc>
        <w:tc>
          <w:tcPr>
            <w:tcW w:w="1800" w:type="dxa"/>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tcBorders>
              <w:bottom w:val="single" w:color="auto" w:sz="4" w:space="0"/>
            </w:tcBorders>
            <w:shd w:val="clear" w:color="auto" w:fill="BFBFBF"/>
            <w:vAlign w:val="center"/>
          </w:tcPr>
          <w:p>
            <w:pPr>
              <w:pStyle w:val="104"/>
              <w:jc w:val="left"/>
              <w:rPr>
                <w:b w:val="0"/>
                <w:sz w:val="16"/>
                <w:szCs w:val="16"/>
                <w:lang w:eastAsia="zh-CN"/>
              </w:rPr>
            </w:pPr>
            <w:r>
              <w:rPr>
                <w:rFonts w:cs="Arial"/>
                <w:lang w:eastAsia="zh-CN"/>
              </w:rPr>
              <w:t xml:space="preserve">FDD, PDSCH Performance (UE specific RS) </w:t>
            </w:r>
            <w:r>
              <w:rPr>
                <w:rFonts w:cs="Arial"/>
                <w:lang w:eastAsia="zh-TW"/>
              </w:rPr>
              <w:t xml:space="preserve">without </w:t>
            </w:r>
            <w:r>
              <w:rPr>
                <w:rFonts w:cs="Arial"/>
                <w:lang w:eastAsia="zh-CN"/>
              </w:rPr>
              <w:t>CSI-RS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bottom w:val="single" w:color="auto" w:sz="4" w:space="0"/>
            </w:tcBorders>
            <w:vAlign w:val="center"/>
          </w:tcPr>
          <w:p>
            <w:pPr>
              <w:pStyle w:val="103"/>
              <w:rPr>
                <w:rFonts w:cs="Arial"/>
                <w:sz w:val="16"/>
                <w:szCs w:val="16"/>
              </w:rPr>
            </w:pPr>
            <w:r>
              <w:rPr>
                <w:rFonts w:cs="Arial"/>
                <w:sz w:val="16"/>
                <w:szCs w:val="16"/>
              </w:rPr>
              <w:t>FDD</w:t>
            </w:r>
          </w:p>
        </w:tc>
        <w:tc>
          <w:tcPr>
            <w:tcW w:w="1621"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1177"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441"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850"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592"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540"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540" w:type="dxa"/>
            <w:tcBorders>
              <w:bottom w:val="single" w:color="auto" w:sz="4" w:space="0"/>
            </w:tcBorders>
            <w:vAlign w:val="center"/>
          </w:tcPr>
          <w:p>
            <w:pPr>
              <w:pStyle w:val="103"/>
              <w:rPr>
                <w:sz w:val="16"/>
                <w:szCs w:val="16"/>
              </w:rPr>
            </w:pPr>
          </w:p>
        </w:tc>
        <w:tc>
          <w:tcPr>
            <w:tcW w:w="540"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1800" w:type="dxa"/>
            <w:tcBorders>
              <w:bottom w:val="single" w:color="auto" w:sz="4" w:space="0"/>
            </w:tcBorders>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PDCCH / PCFICH Performance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sz w:val="16"/>
                <w:szCs w:val="16"/>
              </w:rPr>
            </w:pPr>
            <w:r>
              <w:rPr>
                <w:sz w:val="16"/>
                <w:szCs w:val="16"/>
              </w:rPr>
              <w:t>Table A.3.5.1-1</w:t>
            </w:r>
          </w:p>
        </w:tc>
        <w:tc>
          <w:tcPr>
            <w:tcW w:w="1177" w:type="dxa"/>
            <w:vAlign w:val="center"/>
          </w:tcPr>
          <w:p>
            <w:pPr>
              <w:pStyle w:val="103"/>
              <w:rPr>
                <w:sz w:val="16"/>
                <w:szCs w:val="16"/>
              </w:rPr>
            </w:pPr>
            <w:r>
              <w:rPr>
                <w:sz w:val="16"/>
                <w:szCs w:val="16"/>
              </w:rPr>
              <w:t>R.16 FDD</w:t>
            </w:r>
          </w:p>
        </w:tc>
        <w:tc>
          <w:tcPr>
            <w:tcW w:w="441" w:type="dxa"/>
            <w:vAlign w:val="center"/>
          </w:tcPr>
          <w:p>
            <w:pPr>
              <w:pStyle w:val="103"/>
              <w:rPr>
                <w:sz w:val="16"/>
                <w:szCs w:val="16"/>
              </w:rPr>
            </w:pPr>
            <w:r>
              <w:rPr>
                <w:sz w:val="16"/>
                <w:szCs w:val="16"/>
              </w:rPr>
              <w:t>1.4</w:t>
            </w:r>
          </w:p>
        </w:tc>
        <w:tc>
          <w:tcPr>
            <w:tcW w:w="850" w:type="dxa"/>
            <w:vAlign w:val="center"/>
          </w:tcPr>
          <w:p>
            <w:pPr>
              <w:pStyle w:val="103"/>
              <w:rPr>
                <w:sz w:val="16"/>
                <w:szCs w:val="16"/>
              </w:rPr>
            </w:pPr>
            <w:r>
              <w:rPr>
                <w:sz w:val="16"/>
                <w:szCs w:val="16"/>
              </w:rPr>
              <w:t>PDCCH</w:t>
            </w:r>
          </w:p>
        </w:tc>
        <w:tc>
          <w:tcPr>
            <w:tcW w:w="592" w:type="dxa"/>
            <w:vAlign w:val="center"/>
          </w:tcPr>
          <w:p>
            <w:pPr>
              <w:pStyle w:val="103"/>
              <w:rPr>
                <w:sz w:val="16"/>
                <w:szCs w:val="16"/>
              </w:rPr>
            </w:pPr>
          </w:p>
        </w:tc>
        <w:tc>
          <w:tcPr>
            <w:tcW w:w="540" w:type="dxa"/>
            <w:vAlign w:val="center"/>
          </w:tcPr>
          <w:p>
            <w:pPr>
              <w:pStyle w:val="103"/>
              <w:rPr>
                <w:sz w:val="16"/>
                <w:szCs w:val="16"/>
              </w:rPr>
            </w:pPr>
          </w:p>
        </w:tc>
        <w:tc>
          <w:tcPr>
            <w:tcW w:w="540" w:type="dxa"/>
            <w:vAlign w:val="center"/>
          </w:tcPr>
          <w:p>
            <w:pPr>
              <w:pStyle w:val="103"/>
              <w:rPr>
                <w:sz w:val="16"/>
                <w:szCs w:val="16"/>
              </w:rPr>
            </w:pPr>
          </w:p>
        </w:tc>
        <w:tc>
          <w:tcPr>
            <w:tcW w:w="540" w:type="dxa"/>
            <w:vAlign w:val="center"/>
          </w:tcPr>
          <w:p>
            <w:pPr>
              <w:pStyle w:val="103"/>
              <w:rPr>
                <w:sz w:val="16"/>
                <w:szCs w:val="16"/>
              </w:rPr>
            </w:pPr>
          </w:p>
        </w:tc>
        <w:tc>
          <w:tcPr>
            <w:tcW w:w="1800" w:type="dxa"/>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 TDD, PHICH Performance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sz w:val="16"/>
                <w:szCs w:val="16"/>
              </w:rPr>
            </w:pPr>
            <w:r>
              <w:rPr>
                <w:sz w:val="16"/>
                <w:szCs w:val="16"/>
              </w:rPr>
              <w:t>Table A.3.6-1</w:t>
            </w:r>
          </w:p>
        </w:tc>
        <w:tc>
          <w:tcPr>
            <w:tcW w:w="1177" w:type="dxa"/>
            <w:vAlign w:val="center"/>
          </w:tcPr>
          <w:p>
            <w:pPr>
              <w:pStyle w:val="103"/>
              <w:rPr>
                <w:sz w:val="16"/>
                <w:szCs w:val="16"/>
              </w:rPr>
            </w:pPr>
            <w:r>
              <w:rPr>
                <w:sz w:val="16"/>
                <w:szCs w:val="16"/>
              </w:rPr>
              <w:t>R.19</w:t>
            </w:r>
            <w:r>
              <w:rPr>
                <w:sz w:val="16"/>
                <w:szCs w:val="16"/>
                <w:lang w:eastAsia="zh-TW"/>
              </w:rPr>
              <w:t>A</w:t>
            </w:r>
          </w:p>
        </w:tc>
        <w:tc>
          <w:tcPr>
            <w:tcW w:w="441" w:type="dxa"/>
            <w:vAlign w:val="center"/>
          </w:tcPr>
          <w:p>
            <w:pPr>
              <w:pStyle w:val="103"/>
              <w:rPr>
                <w:sz w:val="16"/>
                <w:szCs w:val="16"/>
              </w:rPr>
            </w:pPr>
            <w:r>
              <w:rPr>
                <w:sz w:val="16"/>
                <w:szCs w:val="16"/>
              </w:rPr>
              <w:t>1.4</w:t>
            </w:r>
          </w:p>
        </w:tc>
        <w:tc>
          <w:tcPr>
            <w:tcW w:w="850" w:type="dxa"/>
            <w:vAlign w:val="center"/>
          </w:tcPr>
          <w:p>
            <w:pPr>
              <w:pStyle w:val="103"/>
              <w:rPr>
                <w:sz w:val="16"/>
                <w:szCs w:val="16"/>
              </w:rPr>
            </w:pPr>
            <w:r>
              <w:rPr>
                <w:sz w:val="16"/>
                <w:szCs w:val="16"/>
              </w:rPr>
              <w:t>PHICH</w:t>
            </w:r>
          </w:p>
        </w:tc>
        <w:tc>
          <w:tcPr>
            <w:tcW w:w="592" w:type="dxa"/>
            <w:vAlign w:val="center"/>
          </w:tcPr>
          <w:p>
            <w:pPr>
              <w:pStyle w:val="103"/>
              <w:rPr>
                <w:sz w:val="16"/>
                <w:szCs w:val="16"/>
              </w:rPr>
            </w:pPr>
          </w:p>
        </w:tc>
        <w:tc>
          <w:tcPr>
            <w:tcW w:w="540" w:type="dxa"/>
            <w:vAlign w:val="center"/>
          </w:tcPr>
          <w:p>
            <w:pPr>
              <w:pStyle w:val="103"/>
              <w:rPr>
                <w:sz w:val="16"/>
                <w:szCs w:val="16"/>
              </w:rPr>
            </w:pPr>
          </w:p>
        </w:tc>
        <w:tc>
          <w:tcPr>
            <w:tcW w:w="540" w:type="dxa"/>
            <w:vAlign w:val="center"/>
          </w:tcPr>
          <w:p>
            <w:pPr>
              <w:pStyle w:val="103"/>
              <w:rPr>
                <w:sz w:val="16"/>
                <w:szCs w:val="16"/>
              </w:rPr>
            </w:pPr>
          </w:p>
        </w:tc>
        <w:tc>
          <w:tcPr>
            <w:tcW w:w="540" w:type="dxa"/>
            <w:vAlign w:val="center"/>
          </w:tcPr>
          <w:p>
            <w:pPr>
              <w:pStyle w:val="103"/>
              <w:rPr>
                <w:sz w:val="16"/>
                <w:szCs w:val="16"/>
              </w:rPr>
            </w:pPr>
          </w:p>
        </w:tc>
        <w:tc>
          <w:tcPr>
            <w:tcW w:w="1800" w:type="dxa"/>
            <w:vAlign w:val="center"/>
          </w:tcPr>
          <w:p>
            <w:pPr>
              <w:pStyle w:val="103"/>
              <w:rPr>
                <w:sz w:val="16"/>
                <w:szCs w:val="16"/>
              </w:rPr>
            </w:pPr>
          </w:p>
        </w:tc>
      </w:tr>
    </w:tbl>
    <w:p/>
    <w:p>
      <w:pPr>
        <w:pStyle w:val="4"/>
      </w:pPr>
      <w:bookmarkStart w:id="1748" w:name="_Toc2931"/>
      <w:bookmarkStart w:id="1749" w:name="_Toc5511"/>
      <w:bookmarkStart w:id="1750" w:name="_Toc14991"/>
      <w:bookmarkStart w:id="1751" w:name="_Toc108"/>
      <w:bookmarkStart w:id="1752" w:name="_Toc232582115"/>
      <w:bookmarkStart w:id="1753" w:name="_Toc28904"/>
      <w:r>
        <w:t>A.3.2</w:t>
      </w:r>
      <w:r>
        <w:tab/>
      </w:r>
      <w:r>
        <w:t>Reference measurement channel for receiver characteristics</w:t>
      </w:r>
      <w:bookmarkEnd w:id="1748"/>
      <w:bookmarkEnd w:id="1749"/>
      <w:bookmarkEnd w:id="1750"/>
      <w:bookmarkEnd w:id="1751"/>
      <w:bookmarkEnd w:id="1752"/>
      <w:bookmarkEnd w:id="1753"/>
    </w:p>
    <w:p>
      <w:pPr>
        <w:rPr>
          <w:rFonts w:cs="v5.0.0"/>
        </w:rPr>
      </w:pPr>
      <w:r>
        <w:rPr>
          <w:rFonts w:cs="v5.0.0"/>
        </w:rPr>
        <w:t>Unless otherwise stated, Tables A.3.2-1, A.3.2-1a, A.3.2-1b, A.3.2-2, A.3.2-2a and A.3.2-2b are applicable for measurements on the Receiver Characteristics (clause 7) with the exception of subclause 7.4 (Maximum input level).</w:t>
      </w:r>
    </w:p>
    <w:p>
      <w:pPr>
        <w:rPr>
          <w:rFonts w:cs="v5.0.0"/>
        </w:rPr>
      </w:pPr>
      <w:r>
        <w:rPr>
          <w:rFonts w:cs="v5.0.0"/>
        </w:rPr>
        <w:t>Unless otherwise stated, Tables A.3.2-3</w:t>
      </w:r>
      <w:r>
        <w:rPr>
          <w:rFonts w:cs="v5.0.0"/>
          <w:lang w:eastAsia="zh-CN"/>
        </w:rPr>
        <w:t xml:space="preserve">, </w:t>
      </w:r>
      <w:r>
        <w:rPr>
          <w:rFonts w:cs="v5.0.0"/>
        </w:rPr>
        <w:t>A.3.2-3</w:t>
      </w:r>
      <w:r>
        <w:rPr>
          <w:rFonts w:cs="v5.0.0"/>
          <w:lang w:eastAsia="zh-CN"/>
        </w:rPr>
        <w:t xml:space="preserve">a, </w:t>
      </w:r>
      <w:r>
        <w:rPr>
          <w:rFonts w:cs="v5.0.0"/>
        </w:rPr>
        <w:t>A.3.2-3</w:t>
      </w:r>
      <w:r>
        <w:rPr>
          <w:rFonts w:cs="v5.0.0"/>
          <w:lang w:eastAsia="zh-CN"/>
        </w:rPr>
        <w:t xml:space="preserve">b, </w:t>
      </w:r>
      <w:r>
        <w:rPr>
          <w:rFonts w:cs="v5.0.0"/>
        </w:rPr>
        <w:t>A.3.2-</w:t>
      </w:r>
      <w:r>
        <w:rPr>
          <w:rFonts w:cs="v5.0.0"/>
          <w:lang w:eastAsia="zh-CN"/>
        </w:rPr>
        <w:t xml:space="preserve">4, </w:t>
      </w:r>
      <w:r>
        <w:rPr>
          <w:rFonts w:cs="v5.0.0"/>
        </w:rPr>
        <w:t>A.3.2-</w:t>
      </w:r>
      <w:r>
        <w:rPr>
          <w:rFonts w:cs="v5.0.0"/>
          <w:lang w:eastAsia="zh-CN"/>
        </w:rPr>
        <w:t>4a</w:t>
      </w:r>
      <w:r>
        <w:rPr>
          <w:rFonts w:cs="v5.0.0"/>
        </w:rPr>
        <w:t xml:space="preserve"> and A.3.2-4</w:t>
      </w:r>
      <w:r>
        <w:rPr>
          <w:rFonts w:cs="v5.0.0"/>
          <w:lang w:eastAsia="zh-CN"/>
        </w:rPr>
        <w:t>b</w:t>
      </w:r>
      <w:r>
        <w:rPr>
          <w:rFonts w:cs="v5.0.0"/>
        </w:rPr>
        <w:t xml:space="preserve"> are applicable for subclause 7.4 (Maximum input level).</w:t>
      </w:r>
    </w:p>
    <w:p>
      <w:r>
        <w:rPr>
          <w:rFonts w:cs="v5.0.0"/>
        </w:rPr>
        <w:t>Unless otherwise stated, Tables A.3.2-1, A.3.2-1a, A.3.2-1b, A.3.2-2, A.3.2-2a and A.3.2-2b also apply for the</w:t>
      </w:r>
      <w:r>
        <w:t xml:space="preserve"> modulated interferer used in Clauses 7.5, 7.6 and 7.8 with test specific bandwidths.</w:t>
      </w:r>
    </w:p>
    <w:p>
      <w:pPr>
        <w:pStyle w:val="113"/>
      </w:pPr>
      <w:r>
        <w:t xml:space="preserve">Table </w:t>
      </w:r>
      <w:bookmarkStart w:id="1754" w:name="OLE_LINK1"/>
      <w:r>
        <w:t>A.3.2-1</w:t>
      </w:r>
      <w:bookmarkEnd w:id="1754"/>
      <w:r>
        <w:rPr>
          <w:lang w:eastAsia="zh-CN"/>
        </w:rPr>
        <w:t>:</w:t>
      </w:r>
      <w:r>
        <w:t xml:space="preserve"> Fixed Reference Channel for Receiver Requirements (FDD) for UE Category M1</w:t>
      </w:r>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2267"/>
        <w:gridCol w:w="1088"/>
        <w:gridCol w:w="471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4"/>
              <w:rPr>
                <w:rFonts w:cs="Arial"/>
              </w:rPr>
            </w:pPr>
            <w:r>
              <w:rPr>
                <w:rFonts w:cs="Arial"/>
              </w:rPr>
              <w:t>Parameter</w:t>
            </w:r>
          </w:p>
        </w:tc>
        <w:tc>
          <w:tcPr>
            <w:tcW w:w="1088" w:type="dxa"/>
            <w:tcMar>
              <w:top w:w="0" w:type="dxa"/>
              <w:left w:w="108" w:type="dxa"/>
              <w:bottom w:w="0" w:type="dxa"/>
              <w:right w:w="108" w:type="dxa"/>
            </w:tcMar>
          </w:tcPr>
          <w:p>
            <w:pPr>
              <w:pStyle w:val="104"/>
              <w:rPr>
                <w:rFonts w:cs="Arial"/>
              </w:rPr>
            </w:pPr>
            <w:r>
              <w:rPr>
                <w:rFonts w:cs="Arial"/>
              </w:rPr>
              <w:t>Unit</w:t>
            </w:r>
          </w:p>
        </w:tc>
        <w:tc>
          <w:tcPr>
            <w:tcW w:w="4710" w:type="dxa"/>
            <w:tcMar>
              <w:top w:w="0" w:type="dxa"/>
              <w:left w:w="108" w:type="dxa"/>
              <w:bottom w:w="0" w:type="dxa"/>
              <w:right w:w="108" w:type="dxa"/>
            </w:tcMar>
          </w:tcPr>
          <w:p>
            <w:pPr>
              <w:pStyle w:val="104"/>
              <w:rPr>
                <w:rFonts w:cs="Arial"/>
              </w:rPr>
            </w:pPr>
            <w:r>
              <w:rPr>
                <w:rFonts w:cs="Arial"/>
              </w:rPr>
              <w:t>Value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Channel bandwidth</w:t>
            </w:r>
          </w:p>
        </w:tc>
        <w:tc>
          <w:tcPr>
            <w:tcW w:w="1088" w:type="dxa"/>
            <w:tcMar>
              <w:top w:w="0" w:type="dxa"/>
              <w:left w:w="108" w:type="dxa"/>
              <w:bottom w:w="0" w:type="dxa"/>
              <w:right w:w="108" w:type="dxa"/>
            </w:tcMar>
          </w:tcPr>
          <w:p>
            <w:pPr>
              <w:pStyle w:val="105"/>
              <w:rPr>
                <w:rFonts w:cs="Arial"/>
              </w:rPr>
            </w:pPr>
            <w:r>
              <w:rPr>
                <w:rFonts w:cs="Arial"/>
              </w:rPr>
              <w:t>MHz</w:t>
            </w:r>
          </w:p>
        </w:tc>
        <w:tc>
          <w:tcPr>
            <w:tcW w:w="4710" w:type="dxa"/>
            <w:tcMar>
              <w:top w:w="0" w:type="dxa"/>
              <w:left w:w="108" w:type="dxa"/>
              <w:bottom w:w="0" w:type="dxa"/>
              <w:right w:w="108" w:type="dxa"/>
            </w:tcMar>
          </w:tcPr>
          <w:p>
            <w:pPr>
              <w:pStyle w:val="105"/>
              <w:rPr>
                <w:rFonts w:cs="Arial"/>
              </w:rPr>
            </w:pPr>
            <w:r>
              <w:rPr>
                <w:rFonts w:cs="Arial"/>
              </w:rPr>
              <w:t>1.4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Allocated resource blocks</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Subcarriers per resource block</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Allocated subframes per Radio Frame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Modulation</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QPSK</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Target Coding Rate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Number of HARQ Processes</w:t>
            </w:r>
          </w:p>
        </w:tc>
        <w:tc>
          <w:tcPr>
            <w:tcW w:w="1088" w:type="dxa"/>
            <w:tcMar>
              <w:top w:w="0" w:type="dxa"/>
              <w:left w:w="108" w:type="dxa"/>
              <w:bottom w:w="0" w:type="dxa"/>
              <w:right w:w="108" w:type="dxa"/>
            </w:tcMar>
          </w:tcPr>
          <w:p>
            <w:pPr>
              <w:pStyle w:val="105"/>
              <w:rPr>
                <w:rFonts w:cs="Arial"/>
              </w:rPr>
            </w:pPr>
            <w:r>
              <w:rPr>
                <w:rFonts w:cs="Arial"/>
              </w:rPr>
              <w:t>Processes</w:t>
            </w:r>
          </w:p>
        </w:tc>
        <w:tc>
          <w:tcPr>
            <w:tcW w:w="4710" w:type="dxa"/>
            <w:tcMar>
              <w:top w:w="0" w:type="dxa"/>
              <w:left w:w="108" w:type="dxa"/>
              <w:bottom w:w="0" w:type="dxa"/>
              <w:right w:w="108" w:type="dxa"/>
            </w:tcMar>
          </w:tcPr>
          <w:p>
            <w:pPr>
              <w:pStyle w:val="105"/>
              <w:rPr>
                <w:rFonts w:cs="Arial"/>
              </w:rPr>
            </w:pPr>
            <w:r>
              <w:rPr>
                <w:rFonts w:cs="Arial"/>
              </w:rPr>
              <w:t>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Maximum number of HARQ transmissions</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Information Bit Payload per Sub-Frame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shd w:val="clear" w:color="auto" w:fill="auto"/>
            <w:tcMar>
              <w:top w:w="0" w:type="dxa"/>
              <w:left w:w="108" w:type="dxa"/>
              <w:bottom w:w="0" w:type="dxa"/>
              <w:right w:w="108" w:type="dxa"/>
            </w:tcMar>
          </w:tcPr>
          <w:p>
            <w:pPr>
              <w:pStyle w:val="105"/>
              <w:rPr>
                <w:rFonts w:cs="Arial"/>
              </w:rPr>
            </w:pPr>
            <w:r>
              <w:rPr>
                <w:rFonts w:cs="Arial"/>
              </w:rPr>
              <w:t>256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4710"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Transport block CRC</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24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Number of Code Blocks per Sub-Frame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4710"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Binary Channel Bits Per Sub-Frame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shd w:val="clear" w:color="auto" w:fill="auto"/>
            <w:tcMar>
              <w:top w:w="0" w:type="dxa"/>
              <w:left w:w="108" w:type="dxa"/>
              <w:bottom w:w="0" w:type="dxa"/>
              <w:right w:w="108" w:type="dxa"/>
            </w:tcMar>
          </w:tcPr>
          <w:p>
            <w:pPr>
              <w:pStyle w:val="105"/>
              <w:rPr>
                <w:rFonts w:cs="Arial"/>
              </w:rPr>
            </w:pPr>
            <w:r>
              <w:rPr>
                <w:rFonts w:cs="Arial"/>
              </w:rPr>
              <w:t>912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4710"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Mar>
              <w:top w:w="0" w:type="dxa"/>
              <w:left w:w="108" w:type="dxa"/>
              <w:bottom w:w="0" w:type="dxa"/>
              <w:right w:w="108" w:type="dxa"/>
            </w:tcMar>
          </w:tcPr>
          <w:p>
            <w:pPr>
              <w:pStyle w:val="103"/>
              <w:rPr>
                <w:rFonts w:cs="Arial"/>
              </w:rPr>
            </w:pPr>
            <w:r>
              <w:rPr>
                <w:rFonts w:cs="Arial"/>
              </w:rPr>
              <w:t>Max. Throughput averaged over 1 frame for FDD</w:t>
            </w:r>
          </w:p>
        </w:tc>
        <w:tc>
          <w:tcPr>
            <w:tcW w:w="1088" w:type="dxa"/>
            <w:tcMar>
              <w:top w:w="0" w:type="dxa"/>
              <w:left w:w="108" w:type="dxa"/>
              <w:bottom w:w="0" w:type="dxa"/>
              <w:right w:w="108" w:type="dxa"/>
            </w:tcMar>
          </w:tcPr>
          <w:p>
            <w:pPr>
              <w:pStyle w:val="105"/>
              <w:rPr>
                <w:rFonts w:cs="Arial"/>
              </w:rPr>
            </w:pPr>
            <w:r>
              <w:rPr>
                <w:rFonts w:cs="Arial"/>
              </w:rPr>
              <w:t>kbps</w:t>
            </w:r>
          </w:p>
        </w:tc>
        <w:tc>
          <w:tcPr>
            <w:tcW w:w="4710" w:type="dxa"/>
            <w:shd w:val="clear" w:color="auto" w:fill="auto"/>
            <w:tcMar>
              <w:top w:w="0" w:type="dxa"/>
              <w:left w:w="108" w:type="dxa"/>
              <w:bottom w:w="0" w:type="dxa"/>
              <w:right w:w="108" w:type="dxa"/>
            </w:tcMar>
          </w:tcPr>
          <w:p>
            <w:pPr>
              <w:pStyle w:val="105"/>
              <w:rPr>
                <w:rFonts w:cs="Arial"/>
              </w:rPr>
            </w:pPr>
            <w:r>
              <w:rPr>
                <w:rFonts w:cs="Arial"/>
              </w:rPr>
              <w:t>51.2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Max. Throughput averaged over 1 frames for HD-FDD</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kbps</w:t>
            </w:r>
          </w:p>
        </w:tc>
        <w:tc>
          <w:tcPr>
            <w:tcW w:w="4710"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25.6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Mar>
              <w:top w:w="0" w:type="dxa"/>
              <w:left w:w="108" w:type="dxa"/>
              <w:bottom w:w="0" w:type="dxa"/>
              <w:right w:w="108" w:type="dxa"/>
            </w:tcMar>
          </w:tcPr>
          <w:p>
            <w:pPr>
              <w:pStyle w:val="103"/>
              <w:rPr>
                <w:rFonts w:cs="Arial"/>
              </w:rPr>
            </w:pPr>
            <w:r>
              <w:rPr>
                <w:rFonts w:cs="Arial"/>
              </w:rPr>
              <w:t>UE DL Category</w:t>
            </w:r>
          </w:p>
        </w:tc>
        <w:tc>
          <w:tcPr>
            <w:tcW w:w="1088" w:type="dxa"/>
            <w:tcMar>
              <w:top w:w="0" w:type="dxa"/>
              <w:left w:w="108" w:type="dxa"/>
              <w:bottom w:w="0" w:type="dxa"/>
              <w:right w:w="108" w:type="dxa"/>
            </w:tcMar>
          </w:tcPr>
          <w:p>
            <w:pPr>
              <w:pStyle w:val="105"/>
              <w:rPr>
                <w:rFonts w:cs="Arial"/>
              </w:rPr>
            </w:pPr>
          </w:p>
        </w:tc>
        <w:tc>
          <w:tcPr>
            <w:tcW w:w="4710" w:type="dxa"/>
            <w:shd w:val="clear" w:color="auto" w:fill="auto"/>
            <w:tcMar>
              <w:top w:w="0" w:type="dxa"/>
              <w:left w:w="108" w:type="dxa"/>
              <w:bottom w:w="0" w:type="dxa"/>
              <w:right w:w="108" w:type="dxa"/>
            </w:tcMar>
          </w:tcPr>
          <w:p>
            <w:pPr>
              <w:pStyle w:val="105"/>
              <w:rPr>
                <w:rFonts w:cs="Arial"/>
              </w:rPr>
            </w:pPr>
            <w:r>
              <w:rPr>
                <w:rFonts w:cs="Arial"/>
              </w:rPr>
              <w:t>M1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8065" w:type="dxa"/>
            <w:gridSpan w:val="3"/>
            <w:tcMar>
              <w:top w:w="0" w:type="dxa"/>
              <w:left w:w="108" w:type="dxa"/>
              <w:bottom w:w="0" w:type="dxa"/>
              <w:right w:w="108" w:type="dxa"/>
            </w:tcMar>
          </w:tcPr>
          <w:p>
            <w:pPr>
              <w:pStyle w:val="118"/>
              <w:rPr>
                <w:rFonts w:cs="Arial"/>
              </w:rPr>
            </w:pPr>
            <w:r>
              <w:rPr>
                <w:rFonts w:cs="Arial"/>
              </w:rPr>
              <w:t>Note 1:</w:t>
            </w:r>
            <w:r>
              <w:rPr>
                <w:rFonts w:cs="Arial"/>
              </w:rPr>
              <w:tab/>
            </w:r>
            <w:r>
              <w:rPr>
                <w:rFonts w:cs="Arial"/>
              </w:rPr>
              <w:t>4 symbols allocated to PDCCH for 1.4 MHz</w:t>
            </w:r>
          </w:p>
          <w:p>
            <w:pPr>
              <w:pStyle w:val="118"/>
              <w:rPr>
                <w:rFonts w:cs="Arial"/>
              </w:rPr>
            </w:pPr>
            <w:r>
              <w:rPr>
                <w:rFonts w:cs="Arial"/>
              </w:rPr>
              <w:t>Note 2:</w:t>
            </w:r>
            <w:r>
              <w:rPr>
                <w:rFonts w:cs="Arial"/>
              </w:rPr>
              <w:tab/>
            </w:r>
            <w:r>
              <w:rPr>
                <w:rFonts w:cs="Arial"/>
              </w:rPr>
              <w:t xml:space="preserve">Reference signal, Synchronization signals and PBCH allocated as per </w:t>
            </w:r>
            <w:r>
              <w:rPr>
                <w:rFonts w:hint="eastAsia" w:eastAsia="宋体" w:cs="Arial"/>
                <w:lang w:eastAsia="zh-CN"/>
              </w:rPr>
              <w:t>TS 36.211 [3]</w:t>
            </w:r>
            <w:r>
              <w:rPr>
                <w:rFonts w:cs="Arial"/>
              </w:rPr>
              <w:t>.</w:t>
            </w:r>
          </w:p>
          <w:p>
            <w:pPr>
              <w:pStyle w:val="118"/>
              <w:rPr>
                <w:rFonts w:cs="Arial"/>
              </w:rPr>
            </w:pPr>
            <w:r>
              <w:rPr>
                <w:rFonts w:cs="Arial"/>
              </w:rPr>
              <w:t>Note 3:</w:t>
            </w:r>
            <w:r>
              <w:rPr>
                <w:rFonts w:cs="Arial"/>
              </w:rPr>
              <w:tab/>
            </w:r>
            <w:r>
              <w:rPr>
                <w:rFonts w:cs="Arial"/>
              </w:rPr>
              <w:t>For HD-FDD UE, PDSCH are scheduled at the 3rd subframe every 1 radio frame for 1.4MHz channel BW.</w:t>
            </w:r>
            <w:r>
              <w:t xml:space="preserve"> </w:t>
            </w:r>
            <w:r>
              <w:rPr>
                <w:rFonts w:cs="Arial"/>
              </w:rPr>
              <w:t>Information bit payload is available if downlink subframe is scheduled. The corresponding M-PDCCH is scheduled 2 subframes before the corresponding PDSCH transmission.</w:t>
            </w:r>
          </w:p>
          <w:p>
            <w:pPr>
              <w:pStyle w:val="118"/>
              <w:rPr>
                <w:rFonts w:cs="Arial"/>
              </w:rPr>
            </w:pPr>
            <w:r>
              <w:rPr>
                <w:rFonts w:cs="Arial"/>
              </w:rPr>
              <w:t>Note 4:</w:t>
            </w:r>
            <w:r>
              <w:rPr>
                <w:rFonts w:cs="Arial"/>
              </w:rPr>
              <w:tab/>
            </w:r>
            <w:r>
              <w:rPr>
                <w:rFonts w:cs="Arial"/>
              </w:rPr>
              <w:t>2 resource blocks allocated to M-PDCCH</w:t>
            </w:r>
          </w:p>
        </w:tc>
      </w:tr>
    </w:tbl>
    <w:p/>
    <w:p>
      <w:pPr>
        <w:pStyle w:val="113"/>
      </w:pPr>
      <w:r>
        <w:t>Table A.3.2-</w:t>
      </w:r>
      <w:r>
        <w:rPr>
          <w:rFonts w:eastAsia="宋体"/>
          <w:lang w:val="en-US" w:eastAsia="zh-CN"/>
        </w:rPr>
        <w:t>2</w:t>
      </w:r>
      <w:r>
        <w:t>: Fixed Reference Channel for Receiver Requirements (HD-FDD) without repetition – for CAT-NB1</w:t>
      </w:r>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3870"/>
        <w:gridCol w:w="2250"/>
        <w:gridCol w:w="1167"/>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4"/>
              <w:rPr>
                <w:lang w:eastAsia="zh-CN"/>
              </w:rPr>
            </w:pPr>
            <w:r>
              <w:rPr>
                <w:lang w:eastAsia="zh-CN"/>
              </w:rPr>
              <w:t>Parameter</w:t>
            </w:r>
          </w:p>
        </w:tc>
        <w:tc>
          <w:tcPr>
            <w:tcW w:w="2250" w:type="dxa"/>
            <w:tcMar>
              <w:top w:w="0" w:type="dxa"/>
              <w:left w:w="108" w:type="dxa"/>
              <w:bottom w:w="0" w:type="dxa"/>
              <w:right w:w="108" w:type="dxa"/>
            </w:tcMar>
          </w:tcPr>
          <w:p>
            <w:pPr>
              <w:pStyle w:val="104"/>
              <w:rPr>
                <w:lang w:eastAsia="zh-CN"/>
              </w:rPr>
            </w:pPr>
            <w:r>
              <w:rPr>
                <w:lang w:eastAsia="zh-CN"/>
              </w:rPr>
              <w:t>Unit</w:t>
            </w:r>
          </w:p>
        </w:tc>
        <w:tc>
          <w:tcPr>
            <w:tcW w:w="1167" w:type="dxa"/>
            <w:tcMar>
              <w:top w:w="0" w:type="dxa"/>
              <w:left w:w="108" w:type="dxa"/>
              <w:bottom w:w="0" w:type="dxa"/>
              <w:right w:w="108" w:type="dxa"/>
            </w:tcMar>
          </w:tcPr>
          <w:p>
            <w:pPr>
              <w:pStyle w:val="104"/>
              <w:rPr>
                <w:lang w:eastAsia="zh-CN"/>
              </w:rPr>
            </w:pPr>
            <w:r>
              <w:rPr>
                <w:lang w:eastAsia="zh-CN"/>
              </w:rPr>
              <w:t>Value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Channel bandwidth</w:t>
            </w:r>
          </w:p>
        </w:tc>
        <w:tc>
          <w:tcPr>
            <w:tcW w:w="2250" w:type="dxa"/>
            <w:tcMar>
              <w:top w:w="0" w:type="dxa"/>
              <w:left w:w="108" w:type="dxa"/>
              <w:bottom w:w="0" w:type="dxa"/>
              <w:right w:w="108" w:type="dxa"/>
            </w:tcMar>
          </w:tcPr>
          <w:p>
            <w:pPr>
              <w:pStyle w:val="105"/>
            </w:pPr>
            <w:r>
              <w:t>MHz</w:t>
            </w:r>
          </w:p>
        </w:tc>
        <w:tc>
          <w:tcPr>
            <w:tcW w:w="1167" w:type="dxa"/>
            <w:tcMar>
              <w:top w:w="0" w:type="dxa"/>
              <w:left w:w="108" w:type="dxa"/>
              <w:bottom w:w="0" w:type="dxa"/>
              <w:right w:w="108" w:type="dxa"/>
            </w:tcMar>
          </w:tcPr>
          <w:p>
            <w:pPr>
              <w:pStyle w:val="105"/>
            </w:pPr>
            <w:r>
              <w:t>0.2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subcarriers</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Modulation</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QPSK</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Target Coding Rate</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HARQ Processes</w:t>
            </w:r>
          </w:p>
        </w:tc>
        <w:tc>
          <w:tcPr>
            <w:tcW w:w="2250" w:type="dxa"/>
            <w:tcMar>
              <w:top w:w="0" w:type="dxa"/>
              <w:left w:w="108" w:type="dxa"/>
              <w:bottom w:w="0" w:type="dxa"/>
              <w:right w:w="108" w:type="dxa"/>
            </w:tcMar>
          </w:tcPr>
          <w:p>
            <w:pPr>
              <w:pStyle w:val="105"/>
            </w:pPr>
            <w:r>
              <w:t>Processes</w:t>
            </w: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Maximum number of HARQ transmissions</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Transport block size</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88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Sub-Frames per transport block</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Transport block CRC</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24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Binary Channel Bits Per Sub-Frame</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320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LTE CRS port</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Number of NRS ports</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Number of NPDSCH repetitions</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UE DL Category</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NB1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7287" w:type="dxa"/>
            <w:gridSpan w:val="3"/>
            <w:tcMar>
              <w:top w:w="0" w:type="dxa"/>
              <w:left w:w="108" w:type="dxa"/>
              <w:bottom w:w="0" w:type="dxa"/>
              <w:right w:w="108" w:type="dxa"/>
            </w:tcMar>
          </w:tcPr>
          <w:p>
            <w:pPr>
              <w:pStyle w:val="118"/>
            </w:pPr>
            <w:r>
              <w:t>Note 1:</w:t>
            </w:r>
            <w:r>
              <w:tab/>
            </w:r>
            <w:r>
              <w:t>NB-IoT in stand-alone mode has been considered here</w:t>
            </w:r>
          </w:p>
          <w:p>
            <w:pPr>
              <w:pStyle w:val="118"/>
            </w:pPr>
            <w:r>
              <w:t>Note 2:</w:t>
            </w:r>
            <w:r>
              <w:tab/>
            </w:r>
            <w:r>
              <w:t xml:space="preserve">Reference signal, Synchronization signals and NPBCH allocated as per </w:t>
            </w:r>
            <w:r>
              <w:rPr>
                <w:rFonts w:hint="eastAsia" w:eastAsia="宋体"/>
                <w:lang w:eastAsia="zh-CN"/>
              </w:rPr>
              <w:t>TS 36.211 [3]</w:t>
            </w:r>
            <w:r>
              <w:t>.</w:t>
            </w:r>
          </w:p>
          <w:p>
            <w:pPr>
              <w:keepNext/>
              <w:keepLines/>
              <w:overflowPunct w:val="0"/>
              <w:autoSpaceDE w:val="0"/>
              <w:autoSpaceDN w:val="0"/>
              <w:adjustRightInd w:val="0"/>
              <w:spacing w:after="0"/>
              <w:ind w:left="851" w:hanging="851"/>
              <w:textAlignment w:val="baseline"/>
              <w:rPr>
                <w:rFonts w:ascii="Arial" w:hAnsi="Arial" w:eastAsia="MS Mincho"/>
                <w:sz w:val="18"/>
              </w:rPr>
            </w:pPr>
            <w:r>
              <w:rPr>
                <w:rFonts w:ascii="Arial" w:hAnsi="Arial" w:eastAsia="MS Mincho"/>
                <w:sz w:val="18"/>
              </w:rPr>
              <w:t>Note 3:</w:t>
            </w:r>
            <w:r>
              <w:rPr>
                <w:rFonts w:ascii="Arial" w:hAnsi="Arial" w:eastAsia="MS Mincho"/>
                <w:sz w:val="18"/>
              </w:rPr>
              <w:tab/>
            </w:r>
            <w:r>
              <w:rPr>
                <w:rFonts w:ascii="Arial" w:hAnsi="Arial" w:eastAsia="MS Mincho"/>
                <w:sz w:val="18"/>
              </w:rPr>
              <w:t xml:space="preserve">If more than one Code Block is present, an additional CRC sequence of L = 24 Bits is attached to each Code Block (otherwise L = 0 Bit) </w:t>
            </w:r>
          </w:p>
          <w:p>
            <w:pPr>
              <w:keepNext/>
              <w:keepLines/>
              <w:overflowPunct w:val="0"/>
              <w:autoSpaceDE w:val="0"/>
              <w:autoSpaceDN w:val="0"/>
              <w:adjustRightInd w:val="0"/>
              <w:spacing w:after="0"/>
              <w:ind w:left="851" w:hanging="851"/>
              <w:textAlignment w:val="baseline"/>
              <w:rPr>
                <w:rFonts w:ascii="Arial" w:hAnsi="Arial" w:eastAsia="MS Mincho"/>
                <w:sz w:val="18"/>
              </w:rPr>
            </w:pPr>
            <w:r>
              <w:rPr>
                <w:rFonts w:ascii="Arial" w:hAnsi="Arial" w:eastAsia="MS Mincho"/>
                <w:sz w:val="18"/>
              </w:rPr>
              <w:t>Note 4:</w:t>
            </w:r>
            <w:r>
              <w:rPr>
                <w:rFonts w:ascii="Arial" w:hAnsi="Arial" w:eastAsia="MS Mincho"/>
                <w:sz w:val="18"/>
              </w:rPr>
              <w:tab/>
            </w:r>
            <w:r>
              <w:rPr>
                <w:rFonts w:ascii="Arial" w:hAnsi="Arial" w:eastAsia="MS Mincho"/>
                <w:sz w:val="18"/>
              </w:rPr>
              <w:t>Parameters related to NPDSCH scheduling are defined in Table A.3.2-1e to Table A.3.2-1g.</w:t>
            </w:r>
          </w:p>
          <w:p>
            <w:pPr>
              <w:keepNext/>
              <w:keepLines/>
              <w:overflowPunct w:val="0"/>
              <w:autoSpaceDE w:val="0"/>
              <w:autoSpaceDN w:val="0"/>
              <w:adjustRightInd w:val="0"/>
              <w:spacing w:after="0"/>
              <w:ind w:left="851" w:hanging="851"/>
              <w:textAlignment w:val="baseline"/>
              <w:rPr>
                <w:rFonts w:ascii="Arial" w:hAnsi="Arial" w:eastAsia="MS Mincho"/>
                <w:sz w:val="18"/>
              </w:rPr>
            </w:pPr>
            <w:r>
              <w:rPr>
                <w:rFonts w:ascii="Arial" w:hAnsi="Arial" w:eastAsia="MS Mincho"/>
                <w:sz w:val="18"/>
              </w:rPr>
              <w:t>Note 5:</w:t>
            </w:r>
            <w:r>
              <w:rPr>
                <w:rFonts w:ascii="Arial" w:hAnsi="Arial" w:eastAsia="MS Mincho"/>
                <w:sz w:val="18"/>
              </w:rPr>
              <w:tab/>
            </w:r>
            <w:r>
              <w:rPr>
                <w:rFonts w:ascii="Arial" w:hAnsi="Arial" w:eastAsia="MS Mincho"/>
                <w:sz w:val="18"/>
              </w:rPr>
              <w:t>NPDCCH and information bit payload are not transmitted in the subframes used for transmission of SI messages.</w:t>
            </w:r>
          </w:p>
          <w:p>
            <w:pPr>
              <w:pStyle w:val="118"/>
            </w:pPr>
            <w:r>
              <w:t>Note 6:</w:t>
            </w:r>
            <w:r>
              <w:tab/>
            </w:r>
            <w:r>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p>
      <w:pPr>
        <w:pStyle w:val="113"/>
      </w:pPr>
      <w:r>
        <w:t>Table A.3.2-</w:t>
      </w:r>
      <w:r>
        <w:rPr>
          <w:rFonts w:eastAsia="宋体"/>
          <w:lang w:val="en-US" w:eastAsia="zh-CN"/>
        </w:rPr>
        <w:t>3</w:t>
      </w:r>
      <w:r>
        <w:t xml:space="preserve"> Example scheduling pattern with SI periodicity of 64 radio frames for Receiver Requirements (HD-FDD) without repetition – for CAT-NB1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7"/>
        <w:gridCol w:w="1577"/>
        <w:gridCol w:w="1565"/>
        <w:gridCol w:w="17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7" w:type="dxa"/>
            <w:vMerge w:val="restart"/>
            <w:shd w:val="clear" w:color="auto" w:fill="auto"/>
          </w:tcPr>
          <w:p>
            <w:pPr>
              <w:rPr>
                <w:rFonts w:ascii="Arial" w:hAnsi="Arial" w:eastAsia="MS Mincho" w:cs="Arial"/>
                <w:b/>
                <w:lang w:eastAsia="de-DE"/>
              </w:rPr>
            </w:pPr>
            <w:r>
              <w:rPr>
                <w:rFonts w:ascii="Arial" w:hAnsi="Arial" w:eastAsia="MS Mincho" w:cs="Arial"/>
                <w:b/>
                <w:lang w:eastAsia="de-DE"/>
              </w:rPr>
              <w:t>Subframe th from the 0</w:t>
            </w:r>
            <w:r>
              <w:rPr>
                <w:rFonts w:ascii="Arial" w:hAnsi="Arial" w:eastAsia="MS Mincho" w:cs="Arial"/>
                <w:b/>
                <w:vertAlign w:val="superscript"/>
                <w:lang w:eastAsia="de-DE"/>
              </w:rPr>
              <w:t>th</w:t>
            </w:r>
            <w:r>
              <w:rPr>
                <w:rFonts w:ascii="Arial" w:hAnsi="Arial" w:eastAsia="MS Mincho" w:cs="Arial"/>
                <w:b/>
                <w:lang w:eastAsia="de-DE"/>
              </w:rPr>
              <w:t xml:space="preserve"> subframe</w:t>
            </w:r>
          </w:p>
        </w:tc>
        <w:tc>
          <w:tcPr>
            <w:tcW w:w="1577" w:type="dxa"/>
            <w:shd w:val="clear" w:color="auto" w:fill="auto"/>
          </w:tcPr>
          <w:p>
            <w:pPr>
              <w:rPr>
                <w:rFonts w:ascii="Arial" w:hAnsi="Arial" w:eastAsia="MS Mincho" w:cs="Arial"/>
                <w:b/>
                <w:lang w:eastAsia="de-DE"/>
              </w:rPr>
            </w:pPr>
            <w:r>
              <w:rPr>
                <w:rFonts w:ascii="Arial" w:hAnsi="Arial" w:eastAsia="MS Mincho" w:cs="Arial"/>
                <w:b/>
                <w:lang w:eastAsia="de-DE"/>
              </w:rPr>
              <w:t>NPDCCH</w:t>
            </w:r>
          </w:p>
        </w:tc>
        <w:tc>
          <w:tcPr>
            <w:tcW w:w="1565" w:type="dxa"/>
            <w:shd w:val="clear" w:color="auto" w:fill="auto"/>
          </w:tcPr>
          <w:p>
            <w:pPr>
              <w:rPr>
                <w:rFonts w:ascii="Arial" w:hAnsi="Arial" w:eastAsia="MS Mincho" w:cs="Arial"/>
                <w:b/>
                <w:lang w:eastAsia="de-DE"/>
              </w:rPr>
            </w:pPr>
            <w:r>
              <w:rPr>
                <w:rFonts w:ascii="Arial" w:hAnsi="Arial" w:eastAsia="MS Mincho" w:cs="Arial"/>
                <w:b/>
                <w:lang w:eastAsia="de-DE"/>
              </w:rPr>
              <w:t>NPDSCH</w:t>
            </w:r>
          </w:p>
        </w:tc>
        <w:tc>
          <w:tcPr>
            <w:tcW w:w="1714" w:type="dxa"/>
            <w:shd w:val="clear" w:color="auto" w:fill="auto"/>
          </w:tcPr>
          <w:p>
            <w:pPr>
              <w:rPr>
                <w:rFonts w:ascii="Arial" w:hAnsi="Arial" w:eastAsia="MS Mincho" w:cs="Arial"/>
                <w:b/>
                <w:lang w:eastAsia="de-DE"/>
              </w:rPr>
            </w:pPr>
            <w:r>
              <w:rPr>
                <w:rFonts w:ascii="Arial" w:hAnsi="Arial" w:eastAsia="MS Mincho" w:cs="Arial"/>
                <w:b/>
                <w:lang w:eastAsia="de-DE"/>
              </w:rPr>
              <w:t>NPUSCH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7" w:type="dxa"/>
            <w:vMerge w:val="continue"/>
            <w:shd w:val="clear" w:color="auto" w:fill="auto"/>
          </w:tcPr>
          <w:p>
            <w:pPr>
              <w:rPr>
                <w:rFonts w:ascii="Arial" w:hAnsi="Arial" w:eastAsia="MS Mincho" w:cs="Arial"/>
                <w:lang w:eastAsia="de-DE"/>
              </w:rPr>
            </w:pPr>
          </w:p>
        </w:tc>
        <w:tc>
          <w:tcPr>
            <w:tcW w:w="1577" w:type="dxa"/>
            <w:shd w:val="clear" w:color="auto" w:fill="auto"/>
          </w:tcPr>
          <w:p>
            <w:pPr>
              <w:rPr>
                <w:rFonts w:ascii="Arial" w:hAnsi="Arial" w:eastAsia="MS Mincho" w:cs="Arial"/>
                <w:sz w:val="18"/>
              </w:rPr>
            </w:pPr>
            <w:r>
              <w:rPr>
                <w:rFonts w:ascii="Arial" w:hAnsi="Arial" w:eastAsia="MS Mincho" w:cs="Arial"/>
                <w:sz w:val="18"/>
              </w:rPr>
              <w:t>18, 42, 66, 98, 122, 146, 171, 194, 218, 242, 266, 291, 314, 338, 362, 386, 411, 434, 458, 482, 506, 531, 554, 578, 602, 626</w:t>
            </w:r>
          </w:p>
        </w:tc>
        <w:tc>
          <w:tcPr>
            <w:tcW w:w="1565" w:type="dxa"/>
            <w:shd w:val="clear" w:color="auto" w:fill="auto"/>
          </w:tcPr>
          <w:p>
            <w:pPr>
              <w:rPr>
                <w:rFonts w:ascii="Arial" w:hAnsi="Arial" w:eastAsia="MS Mincho" w:cs="Arial"/>
                <w:sz w:val="18"/>
              </w:rPr>
            </w:pPr>
            <w:r>
              <w:rPr>
                <w:rFonts w:ascii="Arial" w:hAnsi="Arial" w:eastAsia="MS Mincho" w:cs="Arial"/>
                <w:sz w:val="18"/>
              </w:rPr>
              <w:t>+5 from corresponding NPDCCH</w:t>
            </w:r>
          </w:p>
        </w:tc>
        <w:tc>
          <w:tcPr>
            <w:tcW w:w="1714" w:type="dxa"/>
            <w:shd w:val="clear" w:color="auto" w:fill="auto"/>
          </w:tcPr>
          <w:p>
            <w:pPr>
              <w:rPr>
                <w:rFonts w:ascii="Arial" w:hAnsi="Arial" w:eastAsia="MS Mincho" w:cs="Arial"/>
                <w:sz w:val="18"/>
              </w:rPr>
            </w:pPr>
            <w:r>
              <w:rPr>
                <w:rFonts w:ascii="Arial" w:hAnsi="Arial" w:eastAsia="MS Mincho" w:cs="Arial"/>
                <w:sz w:val="18"/>
              </w:rPr>
              <w:t>+13 and +14 from corresponding NPDSCH. NPUSCH transmission occupies 2 subframes</w:t>
            </w:r>
          </w:p>
        </w:tc>
      </w:tr>
    </w:tbl>
    <w:p/>
    <w:p>
      <w:pPr>
        <w:pStyle w:val="113"/>
      </w:pPr>
      <w:r>
        <w:t>Table A.3.2-</w:t>
      </w:r>
      <w:r>
        <w:rPr>
          <w:rFonts w:eastAsia="宋体"/>
          <w:lang w:val="en-US" w:eastAsia="zh-CN"/>
        </w:rPr>
        <w:t>4</w:t>
      </w:r>
      <w:r>
        <w:t>: Fixed Reference Channel for Receiver Requirements (HD-FDD) with repetition – for CAT-NB1</w:t>
      </w:r>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3870"/>
        <w:gridCol w:w="2250"/>
        <w:gridCol w:w="1167"/>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4"/>
              <w:rPr>
                <w:lang w:eastAsia="zh-CN"/>
              </w:rPr>
            </w:pPr>
            <w:r>
              <w:rPr>
                <w:lang w:eastAsia="zh-CN"/>
              </w:rPr>
              <w:t>Parameter</w:t>
            </w:r>
          </w:p>
        </w:tc>
        <w:tc>
          <w:tcPr>
            <w:tcW w:w="2250" w:type="dxa"/>
            <w:tcMar>
              <w:top w:w="0" w:type="dxa"/>
              <w:left w:w="108" w:type="dxa"/>
              <w:bottom w:w="0" w:type="dxa"/>
              <w:right w:w="108" w:type="dxa"/>
            </w:tcMar>
          </w:tcPr>
          <w:p>
            <w:pPr>
              <w:pStyle w:val="104"/>
              <w:rPr>
                <w:lang w:eastAsia="zh-CN"/>
              </w:rPr>
            </w:pPr>
            <w:r>
              <w:rPr>
                <w:lang w:eastAsia="zh-CN"/>
              </w:rPr>
              <w:t>Unit</w:t>
            </w:r>
          </w:p>
        </w:tc>
        <w:tc>
          <w:tcPr>
            <w:tcW w:w="1167" w:type="dxa"/>
            <w:tcMar>
              <w:top w:w="0" w:type="dxa"/>
              <w:left w:w="108" w:type="dxa"/>
              <w:bottom w:w="0" w:type="dxa"/>
              <w:right w:w="108" w:type="dxa"/>
            </w:tcMar>
          </w:tcPr>
          <w:p>
            <w:pPr>
              <w:pStyle w:val="104"/>
              <w:rPr>
                <w:lang w:eastAsia="zh-CN"/>
              </w:rPr>
            </w:pPr>
            <w:r>
              <w:rPr>
                <w:lang w:eastAsia="zh-CN"/>
              </w:rPr>
              <w:t>Value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Channel bandwidth</w:t>
            </w:r>
          </w:p>
        </w:tc>
        <w:tc>
          <w:tcPr>
            <w:tcW w:w="2250" w:type="dxa"/>
            <w:tcMar>
              <w:top w:w="0" w:type="dxa"/>
              <w:left w:w="108" w:type="dxa"/>
              <w:bottom w:w="0" w:type="dxa"/>
              <w:right w:w="108" w:type="dxa"/>
            </w:tcMar>
          </w:tcPr>
          <w:p>
            <w:pPr>
              <w:pStyle w:val="105"/>
            </w:pPr>
            <w:r>
              <w:t>MHz</w:t>
            </w:r>
          </w:p>
        </w:tc>
        <w:tc>
          <w:tcPr>
            <w:tcW w:w="1167" w:type="dxa"/>
            <w:tcMar>
              <w:top w:w="0" w:type="dxa"/>
              <w:left w:w="108" w:type="dxa"/>
              <w:bottom w:w="0" w:type="dxa"/>
              <w:right w:w="108" w:type="dxa"/>
            </w:tcMar>
          </w:tcPr>
          <w:p>
            <w:pPr>
              <w:pStyle w:val="105"/>
            </w:pPr>
            <w:r>
              <w:t>0.2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subcarriers</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Modulation</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QPSK</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Target Coding Rate</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HARQ Processes</w:t>
            </w:r>
          </w:p>
        </w:tc>
        <w:tc>
          <w:tcPr>
            <w:tcW w:w="2250" w:type="dxa"/>
            <w:tcMar>
              <w:top w:w="0" w:type="dxa"/>
              <w:left w:w="108" w:type="dxa"/>
              <w:bottom w:w="0" w:type="dxa"/>
              <w:right w:w="108" w:type="dxa"/>
            </w:tcMar>
          </w:tcPr>
          <w:p>
            <w:pPr>
              <w:pStyle w:val="105"/>
            </w:pPr>
            <w:r>
              <w:t>Processes</w:t>
            </w: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Maximum number of HARQ transmissions</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Transport block size</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88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Sub-Frames per transport block</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Transport block CRC</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24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Binary Channel Bits Per Sub-Frame</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320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LTE CRS port</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Number of NRS ports</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Number of NPDSCH repetitions</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TBD</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UE DL Category</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NB1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7287" w:type="dxa"/>
            <w:gridSpan w:val="3"/>
            <w:tcMar>
              <w:top w:w="0" w:type="dxa"/>
              <w:left w:w="108" w:type="dxa"/>
              <w:bottom w:w="0" w:type="dxa"/>
              <w:right w:w="108" w:type="dxa"/>
            </w:tcMar>
          </w:tcPr>
          <w:p>
            <w:pPr>
              <w:pStyle w:val="118"/>
            </w:pPr>
            <w:r>
              <w:t>Note 1:</w:t>
            </w:r>
            <w:r>
              <w:tab/>
            </w:r>
            <w:r>
              <w:t>NB-IoT in stand-alone mode has been considered here</w:t>
            </w:r>
          </w:p>
          <w:p>
            <w:pPr>
              <w:pStyle w:val="118"/>
            </w:pPr>
            <w:r>
              <w:t>Note 2:</w:t>
            </w:r>
            <w:r>
              <w:tab/>
            </w:r>
            <w:r>
              <w:t xml:space="preserve">Reference signal, Synchronization signals and NPBCH allocated as per </w:t>
            </w:r>
            <w:r>
              <w:rPr>
                <w:rFonts w:hint="eastAsia" w:eastAsia="宋体"/>
                <w:lang w:eastAsia="zh-CN"/>
              </w:rPr>
              <w:t>TS 36.211 [3]</w:t>
            </w:r>
            <w:r>
              <w:t>.</w:t>
            </w:r>
          </w:p>
          <w:p>
            <w:pPr>
              <w:keepNext/>
              <w:keepLines/>
              <w:overflowPunct w:val="0"/>
              <w:autoSpaceDE w:val="0"/>
              <w:autoSpaceDN w:val="0"/>
              <w:adjustRightInd w:val="0"/>
              <w:spacing w:after="0"/>
              <w:ind w:left="851" w:hanging="851"/>
              <w:textAlignment w:val="baseline"/>
              <w:rPr>
                <w:rFonts w:ascii="Arial" w:hAnsi="Arial" w:eastAsia="MS Mincho"/>
                <w:sz w:val="18"/>
              </w:rPr>
            </w:pPr>
            <w:r>
              <w:rPr>
                <w:rFonts w:ascii="Arial" w:hAnsi="Arial" w:eastAsia="MS Mincho"/>
                <w:sz w:val="18"/>
              </w:rPr>
              <w:t>Note 3:</w:t>
            </w:r>
            <w:r>
              <w:rPr>
                <w:rFonts w:ascii="Arial" w:hAnsi="Arial" w:eastAsia="MS Mincho"/>
                <w:sz w:val="18"/>
              </w:rPr>
              <w:tab/>
            </w:r>
            <w:r>
              <w:rPr>
                <w:rFonts w:ascii="Arial" w:hAnsi="Arial" w:eastAsia="MS Mincho"/>
                <w:sz w:val="18"/>
              </w:rPr>
              <w:t xml:space="preserve">If more than one Code Block is present, an additional CRC sequence of L = 24 Bits is attached to each Code Block (otherwise L = 0 Bit) </w:t>
            </w:r>
          </w:p>
          <w:p>
            <w:pPr>
              <w:pStyle w:val="118"/>
            </w:pPr>
            <w:r>
              <w:t>Note 4:</w:t>
            </w:r>
            <w:r>
              <w:tab/>
            </w:r>
            <w:r>
              <w:t>Parameters related to NPDSCH scheduling are defined in Table A.3.2-1e to Table A.3.2-1g.</w:t>
            </w:r>
          </w:p>
        </w:tc>
      </w:tr>
    </w:tbl>
    <w:p/>
    <w:p>
      <w:pPr>
        <w:pStyle w:val="113"/>
      </w:pPr>
      <w:r>
        <w:t>Table A.3.2-</w:t>
      </w:r>
      <w:r>
        <w:rPr>
          <w:rFonts w:eastAsia="宋体"/>
          <w:lang w:val="en-US" w:eastAsia="zh-CN"/>
        </w:rPr>
        <w:t>5</w:t>
      </w:r>
      <w:r>
        <w:t xml:space="preserve">: </w:t>
      </w:r>
      <w:r>
        <w:rPr>
          <w:lang w:eastAsia="zh-CN"/>
        </w:rPr>
        <w:t>General</w:t>
      </w:r>
      <w:r>
        <w:t xml:space="preserve"> </w:t>
      </w:r>
      <w:r>
        <w:rPr>
          <w:lang w:eastAsia="zh-CN"/>
        </w:rPr>
        <w:t>configuration for CAT-NB1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7"/>
        <w:gridCol w:w="1441"/>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7" w:type="dxa"/>
            <w:tcBorders>
              <w:bottom w:val="nil"/>
            </w:tcBorders>
            <w:vAlign w:val="center"/>
          </w:tcPr>
          <w:p>
            <w:pPr>
              <w:keepNext/>
              <w:keepLines/>
              <w:spacing w:after="0"/>
              <w:jc w:val="center"/>
              <w:rPr>
                <w:rFonts w:ascii="Arial" w:hAnsi="Arial" w:eastAsia="?? ??" w:cs="Arial"/>
                <w:b/>
                <w:sz w:val="18"/>
              </w:rPr>
            </w:pPr>
            <w:r>
              <w:rPr>
                <w:rFonts w:ascii="Arial" w:hAnsi="Arial" w:eastAsia="?? ??" w:cs="Arial"/>
                <w:b/>
                <w:sz w:val="18"/>
              </w:rPr>
              <w:t>Parameter</w:t>
            </w:r>
          </w:p>
        </w:tc>
        <w:tc>
          <w:tcPr>
            <w:tcW w:w="1441" w:type="dxa"/>
            <w:tcBorders>
              <w:bottom w:val="nil"/>
            </w:tcBorders>
            <w:vAlign w:val="center"/>
          </w:tcPr>
          <w:p>
            <w:pPr>
              <w:keepNext/>
              <w:keepLines/>
              <w:spacing w:after="0"/>
              <w:jc w:val="center"/>
              <w:rPr>
                <w:rFonts w:ascii="Arial" w:hAnsi="Arial" w:cs="Arial"/>
                <w:b/>
                <w:sz w:val="18"/>
              </w:rPr>
            </w:pPr>
            <w:r>
              <w:rPr>
                <w:rFonts w:ascii="Arial" w:hAnsi="Arial" w:cs="Arial"/>
                <w:b/>
                <w:sz w:val="18"/>
              </w:rPr>
              <w:t>Unit</w:t>
            </w:r>
          </w:p>
        </w:tc>
        <w:tc>
          <w:tcPr>
            <w:tcW w:w="1559" w:type="dxa"/>
            <w:tcBorders>
              <w:bottom w:val="nil"/>
            </w:tcBorders>
            <w:vAlign w:val="center"/>
          </w:tcPr>
          <w:p>
            <w:pPr>
              <w:keepNext/>
              <w:keepLines/>
              <w:spacing w:after="0"/>
              <w:jc w:val="center"/>
              <w:rPr>
                <w:rFonts w:ascii="Arial" w:hAnsi="Arial" w:cs="Arial"/>
                <w:b/>
                <w:sz w:val="18"/>
                <w:lang w:eastAsia="zh-CN"/>
              </w:rPr>
            </w:pPr>
            <w:r>
              <w:rPr>
                <w:rFonts w:ascii="Arial" w:hAnsi="Arial" w:cs="Arial"/>
                <w:b/>
                <w:sz w:val="18"/>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keepNext/>
              <w:keepLines/>
              <w:spacing w:after="0"/>
              <w:jc w:val="center"/>
              <w:rPr>
                <w:rFonts w:ascii="Arial" w:hAnsi="Arial" w:cs="v5.0.0"/>
                <w:sz w:val="18"/>
              </w:rPr>
            </w:pPr>
            <w:r>
              <w:rPr>
                <w:rFonts w:ascii="Arial" w:hAnsi="Arial" w:cs="v5.0.0"/>
                <w:sz w:val="18"/>
              </w:rPr>
              <w:t xml:space="preserve">NB-IoT downlink subframe bitmap for anchor carrier </w:t>
            </w:r>
            <w:r>
              <w:rPr>
                <w:rFonts w:ascii="Arial" w:hAnsi="Arial" w:cs="v5.0.0"/>
                <w:i/>
                <w:sz w:val="18"/>
              </w:rPr>
              <w:t>(downlinkBitmap)</w:t>
            </w:r>
          </w:p>
        </w:tc>
        <w:tc>
          <w:tcPr>
            <w:tcW w:w="1441" w:type="dxa"/>
            <w:vAlign w:val="center"/>
          </w:tcPr>
          <w:p>
            <w:pPr>
              <w:keepNext/>
              <w:keepLines/>
              <w:spacing w:after="0"/>
              <w:jc w:val="center"/>
              <w:rPr>
                <w:rFonts w:ascii="Arial" w:hAnsi="Arial" w:eastAsia="?? ??" w:cs="v5.0.0"/>
                <w:sz w:val="18"/>
              </w:rPr>
            </w:pPr>
          </w:p>
        </w:tc>
        <w:tc>
          <w:tcPr>
            <w:tcW w:w="1559" w:type="dxa"/>
            <w:vAlign w:val="center"/>
          </w:tcPr>
          <w:p>
            <w:pPr>
              <w:keepNext/>
              <w:keepLines/>
              <w:spacing w:after="0"/>
              <w:jc w:val="center"/>
              <w:rPr>
                <w:rFonts w:ascii="Arial" w:hAnsi="Arial" w:eastAsia="?? ??" w:cs="v5.0.0"/>
                <w:sz w:val="18"/>
              </w:rPr>
            </w:pPr>
            <w:r>
              <w:rPr>
                <w:rFonts w:ascii="Arial" w:hAnsi="Arial" w:eastAsia="?? ??" w:cs="v5.0.0"/>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keepNext/>
              <w:keepLines/>
              <w:spacing w:after="0"/>
              <w:jc w:val="center"/>
              <w:rPr>
                <w:rFonts w:ascii="Arial" w:hAnsi="Arial" w:cs="v5.0.0"/>
                <w:sz w:val="18"/>
              </w:rPr>
            </w:pPr>
            <w:r>
              <w:rPr>
                <w:rFonts w:ascii="Arial" w:hAnsi="Arial" w:cs="v5.0.0"/>
                <w:sz w:val="18"/>
              </w:rPr>
              <w:t xml:space="preserve">NB-IoT downlink subframe bitmap for non-anchor carrier </w:t>
            </w:r>
            <w:r>
              <w:rPr>
                <w:rFonts w:ascii="Arial" w:hAnsi="Arial" w:cs="v5.0.0"/>
                <w:i/>
                <w:sz w:val="18"/>
              </w:rPr>
              <w:t>(downlinkBitmapNonAnchor)</w:t>
            </w:r>
          </w:p>
        </w:tc>
        <w:tc>
          <w:tcPr>
            <w:tcW w:w="1441" w:type="dxa"/>
            <w:vAlign w:val="center"/>
          </w:tcPr>
          <w:p>
            <w:pPr>
              <w:keepNext/>
              <w:keepLines/>
              <w:spacing w:after="0"/>
              <w:jc w:val="center"/>
              <w:rPr>
                <w:rFonts w:ascii="Arial" w:hAnsi="Arial" w:eastAsia="?? ??" w:cs="v5.0.0"/>
                <w:sz w:val="18"/>
              </w:rPr>
            </w:pPr>
          </w:p>
        </w:tc>
        <w:tc>
          <w:tcPr>
            <w:tcW w:w="1559" w:type="dxa"/>
            <w:vAlign w:val="center"/>
          </w:tcPr>
          <w:p>
            <w:pPr>
              <w:keepNext/>
              <w:keepLines/>
              <w:spacing w:after="0"/>
              <w:jc w:val="center"/>
              <w:rPr>
                <w:rFonts w:ascii="Arial" w:hAnsi="Arial" w:eastAsia="?? ??" w:cs="v5.0.0"/>
                <w:sz w:val="18"/>
              </w:rPr>
            </w:pPr>
            <w:r>
              <w:rPr>
                <w:rFonts w:ascii="Arial" w:hAnsi="Arial" w:eastAsia="?? ??" w:cs="v5.0.0"/>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keepNext/>
              <w:keepLines/>
              <w:spacing w:after="0"/>
              <w:jc w:val="center"/>
              <w:rPr>
                <w:rFonts w:ascii="Arial" w:hAnsi="Arial" w:cs="v5.0.0"/>
                <w:sz w:val="18"/>
              </w:rPr>
            </w:pPr>
            <w:r>
              <w:rPr>
                <w:rFonts w:ascii="Arial" w:hAnsi="Arial" w:cs="v5.0.0"/>
                <w:sz w:val="18"/>
              </w:rPr>
              <w:t xml:space="preserve">Downlink gap configuration for anchor carrier </w:t>
            </w:r>
            <w:r>
              <w:rPr>
                <w:rFonts w:ascii="Arial" w:hAnsi="Arial" w:cs="v5.0.0"/>
                <w:i/>
                <w:sz w:val="18"/>
              </w:rPr>
              <w:t>(dl-Gap)</w:t>
            </w:r>
          </w:p>
        </w:tc>
        <w:tc>
          <w:tcPr>
            <w:tcW w:w="1441" w:type="dxa"/>
            <w:vAlign w:val="center"/>
          </w:tcPr>
          <w:p>
            <w:pPr>
              <w:keepNext/>
              <w:keepLines/>
              <w:spacing w:after="0"/>
              <w:jc w:val="center"/>
              <w:rPr>
                <w:rFonts w:ascii="Arial" w:hAnsi="Arial" w:eastAsia="?? ??" w:cs="v5.0.0"/>
                <w:sz w:val="18"/>
              </w:rPr>
            </w:pPr>
          </w:p>
        </w:tc>
        <w:tc>
          <w:tcPr>
            <w:tcW w:w="1559" w:type="dxa"/>
            <w:vAlign w:val="center"/>
          </w:tcPr>
          <w:p>
            <w:pPr>
              <w:keepNext/>
              <w:keepLines/>
              <w:spacing w:after="0"/>
              <w:jc w:val="center"/>
              <w:rPr>
                <w:rFonts w:ascii="Arial" w:hAnsi="Arial" w:eastAsia="?? ??" w:cs="v5.0.0"/>
                <w:sz w:val="18"/>
              </w:rPr>
            </w:pPr>
            <w:r>
              <w:rPr>
                <w:rFonts w:ascii="Arial" w:hAnsi="Arial" w:eastAsia="?? ??" w:cs="v5.0.0"/>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keepNext/>
              <w:keepLines/>
              <w:spacing w:after="0"/>
              <w:jc w:val="center"/>
              <w:rPr>
                <w:rFonts w:ascii="Arial" w:hAnsi="Arial" w:cs="v5.0.0"/>
                <w:sz w:val="18"/>
              </w:rPr>
            </w:pPr>
            <w:r>
              <w:rPr>
                <w:rFonts w:ascii="Arial" w:hAnsi="Arial" w:cs="v5.0.0"/>
                <w:sz w:val="18"/>
              </w:rPr>
              <w:t>Downlink gap configuration for non-anchor carrier</w:t>
            </w:r>
            <w:r>
              <w:rPr>
                <w:rFonts w:ascii="Arial" w:hAnsi="Arial" w:cs="v5.0.0"/>
                <w:sz w:val="18"/>
              </w:rPr>
              <w:br w:type="textWrapping"/>
            </w:r>
            <w:r>
              <w:rPr>
                <w:rFonts w:ascii="Arial" w:hAnsi="Arial" w:cs="v5.0.0"/>
                <w:i/>
                <w:sz w:val="18"/>
              </w:rPr>
              <w:t>(dl-GapNonAnchor)</w:t>
            </w:r>
          </w:p>
        </w:tc>
        <w:tc>
          <w:tcPr>
            <w:tcW w:w="1441" w:type="dxa"/>
            <w:vAlign w:val="center"/>
          </w:tcPr>
          <w:p>
            <w:pPr>
              <w:keepNext/>
              <w:keepLines/>
              <w:spacing w:after="0"/>
              <w:jc w:val="center"/>
              <w:rPr>
                <w:rFonts w:ascii="Arial" w:hAnsi="Arial" w:eastAsia="?? ??" w:cs="v5.0.0"/>
                <w:sz w:val="18"/>
              </w:rPr>
            </w:pPr>
          </w:p>
        </w:tc>
        <w:tc>
          <w:tcPr>
            <w:tcW w:w="1559" w:type="dxa"/>
            <w:vAlign w:val="center"/>
          </w:tcPr>
          <w:p>
            <w:pPr>
              <w:keepNext/>
              <w:keepLines/>
              <w:spacing w:after="0"/>
              <w:jc w:val="center"/>
              <w:rPr>
                <w:rFonts w:ascii="Arial" w:hAnsi="Arial" w:eastAsia="?? ??" w:cs="v5.0.0"/>
                <w:sz w:val="18"/>
              </w:rPr>
            </w:pPr>
            <w:r>
              <w:rPr>
                <w:rFonts w:ascii="Arial" w:hAnsi="Arial" w:eastAsia="?? ??" w:cs="v5.0.0"/>
                <w:sz w:val="18"/>
              </w:rPr>
              <w:t>Not configured</w:t>
            </w:r>
          </w:p>
        </w:tc>
      </w:tr>
    </w:tbl>
    <w:p/>
    <w:p>
      <w:pPr>
        <w:pStyle w:val="113"/>
        <w:rPr>
          <w:lang w:eastAsia="zh-CN"/>
        </w:rPr>
      </w:pPr>
      <w:r>
        <w:t>Table A.3.2-</w:t>
      </w:r>
      <w:r>
        <w:rPr>
          <w:rFonts w:eastAsia="宋体"/>
          <w:lang w:val="en-US" w:eastAsia="zh-CN"/>
        </w:rPr>
        <w:t>6</w:t>
      </w:r>
      <w:r>
        <w:t>: NPDCCH</w:t>
      </w:r>
      <w:r>
        <w:rPr>
          <w:lang w:eastAsia="zh-CN"/>
        </w:rPr>
        <w:t xml:space="preserve"> configuration for NPDSCH scheduling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1"/>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Parameter</w:t>
            </w:r>
          </w:p>
        </w:tc>
        <w:tc>
          <w:tcPr>
            <w:tcW w:w="169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cs="Arial"/>
                <w:b/>
                <w:kern w:val="2"/>
                <w:sz w:val="18"/>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cs="Arial"/>
                <w:kern w:val="2"/>
                <w:sz w:val="18"/>
                <w:lang w:eastAsia="zh-CN"/>
              </w:rPr>
              <w:t>DCI format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DCI format N1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bCs/>
                <w:kern w:val="2"/>
                <w:sz w:val="18"/>
                <w:lang w:eastAsia="zh-CN"/>
              </w:rPr>
              <w:t>NPDCCH format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sz w:val="18"/>
                <w:lang w:eastAsia="zh-CN"/>
              </w:rPr>
              <w:t>Scheduling delay (</w:t>
            </w:r>
            <w:r>
              <w:rPr>
                <w:rFonts w:ascii="Arial" w:hAnsi="Arial"/>
                <w:b/>
                <w:position w:val="-14"/>
                <w:sz w:val="18"/>
              </w:rPr>
              <w:drawing>
                <wp:inline distT="0" distB="0" distL="114300" distR="114300">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12"/>
                          <a:stretch>
                            <a:fillRect/>
                          </a:stretch>
                        </pic:blipFill>
                        <pic:spPr>
                          <a:xfrm>
                            <a:off x="0" y="0"/>
                            <a:ext cx="323850" cy="241300"/>
                          </a:xfrm>
                          <a:prstGeom prst="rect">
                            <a:avLst/>
                          </a:prstGeom>
                          <a:noFill/>
                          <a:ln>
                            <a:noFill/>
                          </a:ln>
                        </pic:spPr>
                      </pic:pic>
                    </a:graphicData>
                  </a:graphic>
                </wp:inline>
              </w:drawing>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DCI subframe repetition number</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lang w:eastAsia="zh-CN"/>
              </w:rPr>
            </w:pPr>
            <w:r>
              <w:rPr>
                <w:rFonts w:ascii="Arial" w:hAnsi="Arial"/>
                <w:b/>
                <w:position w:val="-12"/>
                <w:sz w:val="18"/>
              </w:rPr>
              <w:drawing>
                <wp:inline distT="0" distB="0" distL="114300" distR="114300">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pPr>
              <w:keepNext/>
              <w:keepLines/>
              <w:spacing w:after="0"/>
              <w:jc w:val="center"/>
              <w:rPr>
                <w:rFonts w:ascii="Arial" w:hAnsi="Arial"/>
                <w:sz w:val="18"/>
                <w:lang w:eastAsia="zh-CN"/>
              </w:rPr>
            </w:pPr>
            <w:r>
              <w:rPr>
                <w:rFonts w:ascii="Arial" w:hAnsi="Arial"/>
                <w:sz w:val="18"/>
                <w:lang w:eastAsia="zh-CN"/>
              </w:rPr>
              <w:t>(</w:t>
            </w:r>
            <w:r>
              <w:rPr>
                <w:rFonts w:ascii="Arial" w:hAnsi="Arial"/>
                <w:i/>
                <w:sz w:val="18"/>
              </w:rPr>
              <w:t>npdcch-NumRepetitions</w:t>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G</w:t>
            </w:r>
          </w:p>
          <w:p>
            <w:pPr>
              <w:keepNext/>
              <w:keepLines/>
              <w:spacing w:after="0"/>
              <w:jc w:val="center"/>
              <w:rPr>
                <w:rFonts w:ascii="Arial" w:hAnsi="Arial"/>
                <w:sz w:val="18"/>
                <w:lang w:eastAsia="zh-CN"/>
              </w:rPr>
            </w:pPr>
            <w:r>
              <w:rPr>
                <w:rFonts w:ascii="Arial" w:hAnsi="Arial"/>
                <w:sz w:val="18"/>
                <w:lang w:eastAsia="zh-CN"/>
              </w:rPr>
              <w:t>(</w:t>
            </w:r>
            <w:r>
              <w:rPr>
                <w:rFonts w:ascii="Arial" w:hAnsi="Arial"/>
                <w:i/>
                <w:sz w:val="18"/>
                <w:lang w:eastAsia="zh-CN"/>
              </w:rPr>
              <w:t>NPDCCH-startSF-USS</w:t>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v5.0.0"/>
                <w:sz w:val="18"/>
              </w:rPr>
            </w:pPr>
            <w:r>
              <w:rPr>
                <w:rFonts w:ascii="Arial" w:hAnsi="Arial"/>
                <w:position w:val="-14"/>
                <w:sz w:val="18"/>
              </w:rPr>
              <w:drawing>
                <wp:inline distT="0" distB="0" distL="114300" distR="114300">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16"/>
                          <a:stretch>
                            <a:fillRect/>
                          </a:stretch>
                        </pic:blipFill>
                        <pic:spPr>
                          <a:xfrm>
                            <a:off x="0" y="0"/>
                            <a:ext cx="317500" cy="241300"/>
                          </a:xfrm>
                          <a:prstGeom prst="rect">
                            <a:avLst/>
                          </a:prstGeom>
                          <a:noFill/>
                          <a:ln>
                            <a:noFill/>
                          </a:ln>
                        </pic:spPr>
                      </pic:pic>
                    </a:graphicData>
                  </a:graphic>
                </wp:inline>
              </w:drawing>
            </w:r>
          </w:p>
          <w:p>
            <w:pPr>
              <w:keepNext/>
              <w:keepLines/>
              <w:spacing w:after="0"/>
              <w:jc w:val="center"/>
              <w:rPr>
                <w:rFonts w:ascii="Arial" w:hAnsi="Arial"/>
                <w:sz w:val="18"/>
                <w:lang w:eastAsia="zh-CN"/>
              </w:rPr>
            </w:pPr>
            <w:r>
              <w:rPr>
                <w:rFonts w:ascii="Arial" w:hAnsi="Arial"/>
                <w:sz w:val="18"/>
                <w:lang w:eastAsia="zh-CN"/>
              </w:rPr>
              <w:t>(</w:t>
            </w:r>
            <w:r>
              <w:rPr>
                <w:rFonts w:ascii="Arial" w:hAnsi="Arial"/>
                <w:i/>
                <w:sz w:val="18"/>
                <w:lang w:eastAsia="zh-CN"/>
              </w:rPr>
              <w:t>npdcch-Offset-USS</w:t>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1/4</w:t>
            </w:r>
          </w:p>
        </w:tc>
      </w:tr>
    </w:tbl>
    <w:p>
      <w:pPr>
        <w:overflowPunct w:val="0"/>
        <w:autoSpaceDE w:val="0"/>
        <w:autoSpaceDN w:val="0"/>
        <w:adjustRightInd w:val="0"/>
        <w:textAlignment w:val="baseline"/>
        <w:rPr>
          <w:lang w:eastAsia="zh-CN"/>
        </w:rPr>
      </w:pPr>
    </w:p>
    <w:p>
      <w:pPr>
        <w:pStyle w:val="113"/>
        <w:rPr>
          <w:lang w:eastAsia="zh-CN"/>
        </w:rPr>
      </w:pPr>
      <w:r>
        <w:t>Table A.3.2-</w:t>
      </w:r>
      <w:r>
        <w:rPr>
          <w:rFonts w:eastAsia="宋体"/>
          <w:lang w:val="en-US" w:eastAsia="zh-CN"/>
        </w:rPr>
        <w:t>7</w:t>
      </w:r>
      <w:r>
        <w:t xml:space="preserve">: </w:t>
      </w:r>
      <w:r>
        <w:rPr>
          <w:lang w:eastAsia="zh-CN"/>
        </w:rPr>
        <w:t>NPUSCH format 2 configurations for NPDSCH scheduling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Parameter</w:t>
            </w:r>
          </w:p>
        </w:tc>
        <w:tc>
          <w:tcPr>
            <w:tcW w:w="169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cs="Arial"/>
                <w:b/>
                <w:kern w:val="2"/>
                <w:sz w:val="18"/>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sz w:val="18"/>
                <w:lang w:eastAsia="zh-CN"/>
              </w:rPr>
              <w:t>Scheduling delay (</w:t>
            </w:r>
            <w:r>
              <w:rPr>
                <w:rFonts w:ascii="Arial" w:hAnsi="Arial"/>
                <w:b/>
                <w:position w:val="-14"/>
                <w:sz w:val="18"/>
              </w:rPr>
              <w:drawing>
                <wp:inline distT="0" distB="0" distL="114300" distR="114300">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12"/>
                          <a:stretch>
                            <a:fillRect/>
                          </a:stretch>
                        </pic:blipFill>
                        <pic:spPr>
                          <a:xfrm>
                            <a:off x="0" y="0"/>
                            <a:ext cx="323850" cy="241300"/>
                          </a:xfrm>
                          <a:prstGeom prst="rect">
                            <a:avLst/>
                          </a:prstGeom>
                          <a:noFill/>
                          <a:ln>
                            <a:noFill/>
                          </a:ln>
                        </pic:spPr>
                      </pic:pic>
                    </a:graphicData>
                  </a:graphic>
                </wp:inline>
              </w:drawing>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b/>
                <w:position w:val="-14"/>
                <w:sz w:val="18"/>
              </w:rPr>
              <w:drawing>
                <wp:inline distT="0" distB="0" distL="114300" distR="114300">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14"/>
                          <a:stretch>
                            <a:fillRect/>
                          </a:stretch>
                        </pic:blipFill>
                        <pic:spPr>
                          <a:xfrm>
                            <a:off x="0" y="0"/>
                            <a:ext cx="317500" cy="260350"/>
                          </a:xfrm>
                          <a:prstGeom prst="rect">
                            <a:avLst/>
                          </a:prstGeom>
                          <a:noFill/>
                          <a:ln>
                            <a:noFill/>
                          </a:ln>
                        </pic:spPr>
                      </pic:pic>
                    </a:graphicData>
                  </a:graphic>
                </wp:inline>
              </w:drawing>
            </w:r>
            <w:r>
              <w:rPr>
                <w:rFonts w:ascii="Arial" w:hAnsi="Arial"/>
                <w:b/>
                <w:sz w:val="18"/>
              </w:rPr>
              <w:t xml:space="preserve"> </w:t>
            </w:r>
            <w:r>
              <w:rPr>
                <w:rFonts w:ascii="Arial" w:hAnsi="Arial"/>
                <w:sz w:val="18"/>
                <w:lang w:eastAsia="zh-CN"/>
              </w:rPr>
              <w:t>(</w:t>
            </w:r>
            <w:r>
              <w:rPr>
                <w:rFonts w:ascii="Arial" w:hAnsi="Arial"/>
                <w:i/>
                <w:sz w:val="18"/>
              </w:rPr>
              <w:t>ack-NACK-NumRepetitions</w:t>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i/>
                <w:sz w:val="18"/>
              </w:rPr>
            </w:pPr>
            <w:r>
              <w:rPr>
                <w:rFonts w:ascii="Arial" w:hAnsi="Arial"/>
                <w:sz w:val="18"/>
              </w:rPr>
              <w:t>ACK/NACK resource field</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0</w:t>
            </w:r>
          </w:p>
        </w:tc>
      </w:tr>
    </w:tbl>
    <w:p/>
    <w:p>
      <w:pPr>
        <w:pStyle w:val="113"/>
      </w:pPr>
      <w:r>
        <w:t>Table A.3.2-</w:t>
      </w:r>
      <w:r>
        <w:rPr>
          <w:rFonts w:eastAsia="宋体"/>
          <w:lang w:val="en-US" w:eastAsia="zh-CN"/>
        </w:rPr>
        <w:t>8</w:t>
      </w:r>
      <w:r>
        <w:rPr>
          <w:lang w:eastAsia="ja-JP"/>
        </w:rPr>
        <w:t>:</w:t>
      </w:r>
      <w:r>
        <w:t xml:space="preserve"> Fixed Reference Channel for Maximum input level for UE DL Category M1 (</w:t>
      </w:r>
      <w:r>
        <w:rPr>
          <w:rFonts w:hint="eastAsia" w:eastAsia="宋体"/>
          <w:lang w:val="en-US" w:eastAsia="zh-CN"/>
        </w:rPr>
        <w:t xml:space="preserve">FDD and </w:t>
      </w:r>
      <w:r>
        <w:t>HD-FDD)</w:t>
      </w:r>
    </w:p>
    <w:tbl>
      <w:tblPr>
        <w:tblStyle w:val="89"/>
        <w:tblW w:w="98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90"/>
        <w:gridCol w:w="1093"/>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4"/>
              <w:rPr>
                <w:rFonts w:cs="Arial"/>
                <w:lang w:eastAsia="zh-CN"/>
              </w:rPr>
            </w:pPr>
            <w:r>
              <w:rPr>
                <w:rFonts w:cs="Arial"/>
                <w:lang w:eastAsia="zh-CN"/>
              </w:rPr>
              <w:t>Parameter</w:t>
            </w:r>
          </w:p>
        </w:tc>
        <w:tc>
          <w:tcPr>
            <w:tcW w:w="1093" w:type="dxa"/>
          </w:tcPr>
          <w:p>
            <w:pPr>
              <w:pStyle w:val="104"/>
              <w:rPr>
                <w:rFonts w:cs="Arial"/>
                <w:lang w:eastAsia="zh-CN"/>
              </w:rPr>
            </w:pPr>
            <w:r>
              <w:rPr>
                <w:rFonts w:cs="Arial"/>
                <w:lang w:eastAsia="zh-CN"/>
              </w:rPr>
              <w:t>Unit</w:t>
            </w:r>
          </w:p>
        </w:tc>
        <w:tc>
          <w:tcPr>
            <w:tcW w:w="5106" w:type="dxa"/>
          </w:tcPr>
          <w:p>
            <w:pPr>
              <w:pStyle w:val="104"/>
              <w:rPr>
                <w:rFonts w:cs="Arial"/>
                <w:lang w:eastAsia="zh-CN"/>
              </w:rPr>
            </w:pPr>
            <w:r>
              <w:rPr>
                <w:rFonts w:cs="Arial"/>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Channel bandwidth</w:t>
            </w:r>
          </w:p>
        </w:tc>
        <w:tc>
          <w:tcPr>
            <w:tcW w:w="1093" w:type="dxa"/>
          </w:tcPr>
          <w:p>
            <w:pPr>
              <w:pStyle w:val="105"/>
              <w:rPr>
                <w:rFonts w:cs="Arial"/>
              </w:rPr>
            </w:pPr>
            <w:r>
              <w:rPr>
                <w:rFonts w:cs="Arial"/>
              </w:rPr>
              <w:t>MHz</w:t>
            </w:r>
          </w:p>
        </w:tc>
        <w:tc>
          <w:tcPr>
            <w:tcW w:w="5106" w:type="dxa"/>
          </w:tcPr>
          <w:p>
            <w:pPr>
              <w:pStyle w:val="105"/>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Allocated resource blocks</w:t>
            </w:r>
          </w:p>
        </w:tc>
        <w:tc>
          <w:tcPr>
            <w:tcW w:w="1093" w:type="dxa"/>
          </w:tcPr>
          <w:p>
            <w:pPr>
              <w:pStyle w:val="105"/>
              <w:rPr>
                <w:rFonts w:cs="Arial"/>
              </w:rPr>
            </w:pPr>
          </w:p>
        </w:tc>
        <w:tc>
          <w:tcPr>
            <w:tcW w:w="5106" w:type="dxa"/>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Subcarriers per resource block</w:t>
            </w:r>
          </w:p>
        </w:tc>
        <w:tc>
          <w:tcPr>
            <w:tcW w:w="1093" w:type="dxa"/>
          </w:tcPr>
          <w:p>
            <w:pPr>
              <w:pStyle w:val="105"/>
              <w:rPr>
                <w:rFonts w:cs="Arial"/>
              </w:rPr>
            </w:pPr>
          </w:p>
        </w:tc>
        <w:tc>
          <w:tcPr>
            <w:tcW w:w="5106" w:type="dxa"/>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Allocated subframes per Radio Frame</w:t>
            </w:r>
          </w:p>
        </w:tc>
        <w:tc>
          <w:tcPr>
            <w:tcW w:w="1093" w:type="dxa"/>
          </w:tcPr>
          <w:p>
            <w:pPr>
              <w:pStyle w:val="105"/>
              <w:rPr>
                <w:rFonts w:cs="Arial"/>
              </w:rPr>
            </w:pPr>
          </w:p>
        </w:tc>
        <w:tc>
          <w:tcPr>
            <w:tcW w:w="5106" w:type="dxa"/>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Modulation</w:t>
            </w:r>
          </w:p>
        </w:tc>
        <w:tc>
          <w:tcPr>
            <w:tcW w:w="1093" w:type="dxa"/>
          </w:tcPr>
          <w:p>
            <w:pPr>
              <w:pStyle w:val="105"/>
              <w:rPr>
                <w:rFonts w:cs="Arial"/>
              </w:rPr>
            </w:pPr>
          </w:p>
        </w:tc>
        <w:tc>
          <w:tcPr>
            <w:tcW w:w="5106" w:type="dxa"/>
          </w:tcPr>
          <w:p>
            <w:pPr>
              <w:pStyle w:val="105"/>
              <w:rPr>
                <w:rFonts w:cs="Arial"/>
              </w:rPr>
            </w:pPr>
            <w:r>
              <w:rPr>
                <w:rFonts w:cs="Arial"/>
              </w:rPr>
              <w:t>16QAM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Target Coding Rate</w:t>
            </w:r>
          </w:p>
        </w:tc>
        <w:tc>
          <w:tcPr>
            <w:tcW w:w="1093" w:type="dxa"/>
          </w:tcPr>
          <w:p>
            <w:pPr>
              <w:pStyle w:val="105"/>
              <w:rPr>
                <w:rFonts w:cs="Arial"/>
              </w:rPr>
            </w:pPr>
          </w:p>
        </w:tc>
        <w:tc>
          <w:tcPr>
            <w:tcW w:w="5106" w:type="dxa"/>
          </w:tcPr>
          <w:p>
            <w:pPr>
              <w:pStyle w:val="105"/>
              <w:rPr>
                <w:rFonts w:cs="Arial"/>
              </w:rPr>
            </w:pPr>
            <w:r>
              <w:rPr>
                <w:rFonts w:cs="Arial"/>
              </w:rPr>
              <w:t>3/</w:t>
            </w:r>
            <w:r>
              <w:rPr>
                <w:rFonts w:cs="Arial"/>
                <w:lang w:eastAsia="ja-JP"/>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Number of HARQ Processes</w:t>
            </w:r>
          </w:p>
        </w:tc>
        <w:tc>
          <w:tcPr>
            <w:tcW w:w="1093" w:type="dxa"/>
          </w:tcPr>
          <w:p>
            <w:pPr>
              <w:pStyle w:val="105"/>
              <w:rPr>
                <w:rFonts w:cs="Arial"/>
              </w:rPr>
            </w:pPr>
            <w:r>
              <w:rPr>
                <w:rFonts w:cs="Arial"/>
              </w:rPr>
              <w:t>Processes</w:t>
            </w:r>
          </w:p>
        </w:tc>
        <w:tc>
          <w:tcPr>
            <w:tcW w:w="5106" w:type="dxa"/>
          </w:tcPr>
          <w:p>
            <w:pPr>
              <w:pStyle w:val="105"/>
              <w:rPr>
                <w:rFonts w:cs="Arial"/>
              </w:rPr>
            </w:pPr>
            <w:r>
              <w:rPr>
                <w:rFonts w:cs="Arial"/>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Maximum number of HARQ transmissions</w:t>
            </w:r>
          </w:p>
        </w:tc>
        <w:tc>
          <w:tcPr>
            <w:tcW w:w="1093" w:type="dxa"/>
          </w:tcPr>
          <w:p>
            <w:pPr>
              <w:pStyle w:val="105"/>
              <w:rPr>
                <w:rFonts w:cs="Arial"/>
              </w:rPr>
            </w:pPr>
          </w:p>
        </w:tc>
        <w:tc>
          <w:tcPr>
            <w:tcW w:w="5106" w:type="dxa"/>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Information Bit Payload</w:t>
            </w:r>
          </w:p>
        </w:tc>
        <w:tc>
          <w:tcPr>
            <w:tcW w:w="1093" w:type="dxa"/>
          </w:tcPr>
          <w:p>
            <w:pPr>
              <w:pStyle w:val="105"/>
              <w:rPr>
                <w:rFonts w:cs="Arial"/>
              </w:rPr>
            </w:pPr>
          </w:p>
        </w:tc>
        <w:tc>
          <w:tcPr>
            <w:tcW w:w="5106"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Sub-Frames 3,8</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lang w:eastAsia="ja-JP"/>
              </w:rPr>
              <w:t xml:space="preserve">  For Sub-Frames 0,1,2,5,7,9</w:t>
            </w:r>
          </w:p>
        </w:tc>
        <w:tc>
          <w:tcPr>
            <w:tcW w:w="1093" w:type="dxa"/>
          </w:tcPr>
          <w:p>
            <w:pPr>
              <w:pStyle w:val="105"/>
              <w:rPr>
                <w:rFonts w:cs="Arial"/>
              </w:rPr>
            </w:pPr>
            <w:r>
              <w:rPr>
                <w:rFonts w:cs="Arial"/>
                <w:lang w:eastAsia="ja-JP"/>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 4</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szCs w:val="22"/>
                <w:lang w:eastAsia="zh-CN"/>
              </w:rPr>
            </w:pPr>
            <w:r>
              <w:rPr>
                <w:rFonts w:cs="Arial"/>
              </w:rPr>
              <w:t xml:space="preserve">  For Sub-Frame 6</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szCs w:val="22"/>
              </w:rPr>
            </w:pPr>
            <w:r>
              <w:rPr>
                <w:rFonts w:cs="Arial"/>
                <w:szCs w:val="22"/>
              </w:rPr>
              <w:t>Transport block CRC</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szCs w:val="22"/>
                <w:lang w:eastAsia="zh-CN"/>
              </w:rPr>
            </w:pPr>
            <w:r>
              <w:rPr>
                <w:rFonts w:cs="Arial"/>
                <w:szCs w:val="22"/>
              </w:rPr>
              <w:t>Number of Code Blocks per Sub-Frame</w:t>
            </w:r>
          </w:p>
        </w:tc>
        <w:tc>
          <w:tcPr>
            <w:tcW w:w="1093" w:type="dxa"/>
          </w:tcPr>
          <w:p>
            <w:pPr>
              <w:pStyle w:val="105"/>
              <w:rPr>
                <w:rFonts w:cs="Arial"/>
              </w:rPr>
            </w:pPr>
          </w:p>
        </w:tc>
        <w:tc>
          <w:tcPr>
            <w:tcW w:w="5106"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For Sub-Frames 3, 8</w:t>
            </w:r>
          </w:p>
        </w:tc>
        <w:tc>
          <w:tcPr>
            <w:tcW w:w="1093" w:type="dxa"/>
          </w:tcPr>
          <w:p>
            <w:pPr>
              <w:pStyle w:val="105"/>
              <w:rPr>
                <w:rFonts w:cs="Arial"/>
              </w:rPr>
            </w:pPr>
          </w:p>
        </w:tc>
        <w:tc>
          <w:tcPr>
            <w:tcW w:w="5106" w:type="dxa"/>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lang w:eastAsia="ja-JP"/>
              </w:rPr>
              <w:t xml:space="preserve">  For Sub-Frames 0,1,2,5,7,9</w:t>
            </w:r>
          </w:p>
        </w:tc>
        <w:tc>
          <w:tcPr>
            <w:tcW w:w="1093" w:type="dxa"/>
          </w:tcPr>
          <w:p>
            <w:pPr>
              <w:pStyle w:val="105"/>
              <w:rPr>
                <w:rFonts w:cs="Arial"/>
              </w:rPr>
            </w:pPr>
          </w:p>
        </w:tc>
        <w:tc>
          <w:tcPr>
            <w:tcW w:w="5106" w:type="dxa"/>
          </w:tcPr>
          <w:p>
            <w:pPr>
              <w:pStyle w:val="105"/>
              <w:rPr>
                <w:rFonts w:cs="Arial"/>
              </w:rPr>
            </w:pPr>
            <w:r>
              <w:rPr>
                <w:rFonts w:cs="Arial"/>
                <w:lang w:eastAsia="ja-JP"/>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 4</w:t>
            </w:r>
          </w:p>
        </w:tc>
        <w:tc>
          <w:tcPr>
            <w:tcW w:w="1093" w:type="dxa"/>
          </w:tcPr>
          <w:p>
            <w:pPr>
              <w:pStyle w:val="105"/>
              <w:rPr>
                <w:rFonts w:cs="Arial"/>
              </w:rPr>
            </w:pP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szCs w:val="22"/>
              </w:rPr>
            </w:pPr>
            <w:r>
              <w:rPr>
                <w:rFonts w:cs="Arial"/>
              </w:rPr>
              <w:t xml:space="preserve">  For Sub-Frame 6</w:t>
            </w:r>
          </w:p>
        </w:tc>
        <w:tc>
          <w:tcPr>
            <w:tcW w:w="1093" w:type="dxa"/>
          </w:tcPr>
          <w:p>
            <w:pPr>
              <w:pStyle w:val="105"/>
              <w:rPr>
                <w:rFonts w:cs="Arial"/>
              </w:rPr>
            </w:pP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Binary Channel Bits Per Sub-Frame</w:t>
            </w:r>
          </w:p>
        </w:tc>
        <w:tc>
          <w:tcPr>
            <w:tcW w:w="1093" w:type="dxa"/>
          </w:tcPr>
          <w:p>
            <w:pPr>
              <w:pStyle w:val="105"/>
              <w:rPr>
                <w:rFonts w:cs="Arial"/>
              </w:rPr>
            </w:pPr>
          </w:p>
        </w:tc>
        <w:tc>
          <w:tcPr>
            <w:tcW w:w="5106"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Sub-Frames 1,2,3,4,6,7,8,9</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832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 5</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lang w:eastAsia="zh-CN"/>
              </w:rPr>
            </w:pPr>
            <w:r>
              <w:rPr>
                <w:rFonts w:cs="Arial"/>
              </w:rPr>
              <w:t xml:space="preserve">  For Sub-Frame 0</w:t>
            </w:r>
            <w:r>
              <w:rPr>
                <w:rFonts w:cs="Arial"/>
                <w:lang w:eastAsia="zh-CN"/>
              </w:rPr>
              <w:t xml:space="preserve"> </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3690" w:type="dxa"/>
          </w:tcPr>
          <w:p>
            <w:pPr>
              <w:pStyle w:val="103"/>
              <w:rPr>
                <w:rFonts w:cs="Arial"/>
              </w:rPr>
            </w:pPr>
            <w:r>
              <w:rPr>
                <w:rFonts w:cs="Arial"/>
              </w:rPr>
              <w:t>Max. Throughput averaged over 1 frame for FDD</w:t>
            </w:r>
          </w:p>
        </w:tc>
        <w:tc>
          <w:tcPr>
            <w:tcW w:w="1093" w:type="dxa"/>
          </w:tcPr>
          <w:p>
            <w:pPr>
              <w:pStyle w:val="105"/>
              <w:rPr>
                <w:rFonts w:cs="Arial"/>
              </w:rPr>
            </w:pPr>
            <w:r>
              <w:rPr>
                <w:rFonts w:cs="Arial"/>
              </w:rPr>
              <w:t>kbps</w:t>
            </w:r>
          </w:p>
        </w:tc>
        <w:tc>
          <w:tcPr>
            <w:tcW w:w="5106" w:type="dxa"/>
          </w:tcPr>
          <w:p>
            <w:pPr>
              <w:pStyle w:val="105"/>
              <w:rPr>
                <w:rFonts w:cs="Arial"/>
              </w:rPr>
            </w:pPr>
            <w:r>
              <w:rPr>
                <w:rFonts w:cs="Arial"/>
                <w:lang w:eastAsia="ja-JP"/>
              </w:rPr>
              <w:t>110.4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3690" w:type="dxa"/>
          </w:tcPr>
          <w:p>
            <w:pPr>
              <w:pStyle w:val="103"/>
              <w:rPr>
                <w:rFonts w:cs="Arial"/>
              </w:rPr>
            </w:pPr>
            <w:r>
              <w:rPr>
                <w:rFonts w:cs="Arial"/>
                <w:lang w:eastAsia="ja-JP"/>
              </w:rPr>
              <w:t>Max. Throughput averaged over 1 frame for HD-FDD</w:t>
            </w:r>
          </w:p>
        </w:tc>
        <w:tc>
          <w:tcPr>
            <w:tcW w:w="1093" w:type="dxa"/>
          </w:tcPr>
          <w:p>
            <w:pPr>
              <w:pStyle w:val="105"/>
              <w:rPr>
                <w:rFonts w:cs="Arial"/>
              </w:rPr>
            </w:pPr>
          </w:p>
        </w:tc>
        <w:tc>
          <w:tcPr>
            <w:tcW w:w="5106" w:type="dxa"/>
          </w:tcPr>
          <w:p>
            <w:pPr>
              <w:pStyle w:val="105"/>
              <w:rPr>
                <w:rFonts w:cs="Arial"/>
              </w:rPr>
            </w:pPr>
            <w:r>
              <w:rPr>
                <w:rFonts w:cs="Arial"/>
                <w:lang w:eastAsia="ja-JP"/>
              </w:rPr>
              <w:t>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9889" w:type="dxa"/>
            <w:gridSpan w:val="3"/>
          </w:tcPr>
          <w:p>
            <w:pPr>
              <w:pStyle w:val="118"/>
              <w:rPr>
                <w:rFonts w:cs="Arial"/>
              </w:rPr>
            </w:pPr>
            <w:r>
              <w:rPr>
                <w:rFonts w:cs="Arial"/>
              </w:rPr>
              <w:t>Note 1:</w:t>
            </w:r>
            <w:r>
              <w:rPr>
                <w:rFonts w:cs="Arial"/>
              </w:rPr>
              <w:tab/>
            </w:r>
            <w:r>
              <w:rPr>
                <w:rFonts w:cs="Arial"/>
              </w:rPr>
              <w:t>4 symbols allocated to PDCCH for all channel bandwidths.</w:t>
            </w:r>
          </w:p>
          <w:p>
            <w:pPr>
              <w:pStyle w:val="118"/>
              <w:rPr>
                <w:rFonts w:cs="Arial"/>
                <w:lang w:eastAsia="zh-CN"/>
              </w:rPr>
            </w:pPr>
            <w:r>
              <w:rPr>
                <w:rFonts w:cs="Arial"/>
              </w:rPr>
              <w:t>Note 2:</w:t>
            </w:r>
            <w:r>
              <w:rPr>
                <w:rFonts w:cs="Arial"/>
              </w:rPr>
              <w:tab/>
            </w:r>
            <w:r>
              <w:rPr>
                <w:rFonts w:cs="Arial"/>
              </w:rPr>
              <w:t xml:space="preserve">Reference signal, Synchronization signals and PBCH allocated as per </w:t>
            </w:r>
            <w:r>
              <w:rPr>
                <w:rFonts w:hint="eastAsia" w:eastAsia="宋体" w:cs="Arial"/>
                <w:lang w:eastAsia="zh-CN"/>
              </w:rPr>
              <w:t>TS 36.211 [3]</w:t>
            </w:r>
            <w:r>
              <w:rPr>
                <w:rFonts w:cs="Arial"/>
              </w:rPr>
              <w:t>.</w:t>
            </w:r>
          </w:p>
          <w:p>
            <w:pPr>
              <w:pStyle w:val="118"/>
              <w:rPr>
                <w:rFonts w:cs="Arial"/>
              </w:rPr>
            </w:pPr>
            <w:r>
              <w:rPr>
                <w:rFonts w:cs="Arial"/>
                <w:lang w:eastAsia="zh-CN"/>
              </w:rPr>
              <w:t>Note 3:</w:t>
            </w:r>
            <w:r>
              <w:rPr>
                <w:rFonts w:cs="Arial"/>
              </w:rPr>
              <w:tab/>
            </w:r>
            <w:r>
              <w:rPr>
                <w:rFonts w:cs="Arial"/>
              </w:rPr>
              <w:t xml:space="preserve">For HD-FDD UE, PDSCH are scheduled at the </w:t>
            </w:r>
            <w:r>
              <w:rPr>
                <w:rFonts w:cs="Arial"/>
                <w:lang w:eastAsia="ja-JP"/>
              </w:rPr>
              <w:t>3rd</w:t>
            </w:r>
            <w:r>
              <w:rPr>
                <w:rFonts w:cs="Arial"/>
              </w:rPr>
              <w:t xml:space="preserve"> subframe every 1 radio frame for 1.4MHz. Information bit payload is available if downlink subframe is scheduled. The corresponding MPDCCH is scheduled 2 subframes before the corresponding PDSCH transmission.</w:t>
            </w:r>
          </w:p>
          <w:p>
            <w:pPr>
              <w:pStyle w:val="118"/>
              <w:rPr>
                <w:rFonts w:cs="Arial"/>
                <w:lang w:eastAsia="zh-CN"/>
              </w:rPr>
            </w:pPr>
            <w:r>
              <w:rPr>
                <w:rFonts w:cs="Arial"/>
              </w:rPr>
              <w:t xml:space="preserve">Note </w:t>
            </w:r>
            <w:r>
              <w:rPr>
                <w:rFonts w:hint="eastAsia" w:eastAsia="宋体" w:cs="Arial"/>
                <w:lang w:val="en-US" w:eastAsia="zh-CN"/>
              </w:rPr>
              <w:t>4</w:t>
            </w:r>
            <w:r>
              <w:rPr>
                <w:rFonts w:cs="Arial"/>
              </w:rPr>
              <w:t>:</w:t>
            </w:r>
            <w:r>
              <w:rPr>
                <w:rFonts w:cs="Arial"/>
              </w:rPr>
              <w:tab/>
            </w:r>
            <w:r>
              <w:rPr>
                <w:rFonts w:cs="Arial"/>
              </w:rPr>
              <w:t>2 resource blocks allocated to MPDCCH.</w:t>
            </w:r>
          </w:p>
        </w:tc>
      </w:tr>
    </w:tbl>
    <w:p/>
    <w:p>
      <w:pPr>
        <w:pStyle w:val="4"/>
      </w:pPr>
      <w:bookmarkStart w:id="1755" w:name="_Toc1565"/>
      <w:bookmarkStart w:id="1756" w:name="_Toc13746"/>
      <w:bookmarkStart w:id="1757" w:name="_Toc25891"/>
      <w:bookmarkStart w:id="1758" w:name="_Toc1643"/>
      <w:bookmarkStart w:id="1759" w:name="_Toc30641"/>
      <w:bookmarkStart w:id="1760" w:name="_Toc232582116"/>
      <w:r>
        <w:t>A.3.2A</w:t>
      </w:r>
      <w:r>
        <w:tab/>
      </w:r>
      <w:r>
        <w:t>Downlink Reference measurement channel for TX characteristics</w:t>
      </w:r>
      <w:bookmarkEnd w:id="1755"/>
      <w:bookmarkEnd w:id="1756"/>
      <w:bookmarkEnd w:id="1757"/>
      <w:bookmarkEnd w:id="1758"/>
      <w:bookmarkEnd w:id="1759"/>
      <w:bookmarkEnd w:id="1760"/>
    </w:p>
    <w:p>
      <w:pPr>
        <w:rPr>
          <w:rFonts w:cs="v5.0.0"/>
        </w:rPr>
      </w:pPr>
      <w:r>
        <w:rPr>
          <w:rFonts w:cs="v5.0.0"/>
        </w:rPr>
        <w:t xml:space="preserve">Tables A.3.2A-1 </w:t>
      </w:r>
      <w:r>
        <w:rPr>
          <w:rFonts w:cs="v5.0.0"/>
          <w:lang w:eastAsia="zh-CN"/>
        </w:rPr>
        <w:t xml:space="preserve">and </w:t>
      </w:r>
      <w:r>
        <w:rPr>
          <w:rFonts w:cs="v5.0.0"/>
        </w:rPr>
        <w:t>A.3.2A-</w:t>
      </w:r>
      <w:r>
        <w:rPr>
          <w:rFonts w:cs="v5.0.0"/>
          <w:lang w:eastAsia="zh-CN"/>
        </w:rPr>
        <w:t>2</w:t>
      </w:r>
      <w:r>
        <w:rPr>
          <w:rFonts w:cs="v5.0.0"/>
        </w:rPr>
        <w:t xml:space="preserve"> describes the reference measurement channels to be used on the downlink during  Transmitter Characteristics (clause 6)</w:t>
      </w:r>
      <w:r>
        <w:rPr>
          <w:rFonts w:cs="v5.0.0"/>
          <w:lang w:eastAsia="zh-CN"/>
        </w:rPr>
        <w:t xml:space="preserve"> for FDD</w:t>
      </w:r>
      <w:r>
        <w:rPr>
          <w:rFonts w:cs="v5.0.0"/>
        </w:rPr>
        <w:t>. The number of allocated resource blocks have been defined (partial allocation) to allow the transmission of PBCH, PSS/SSS and system information mapped on PDSCH.</w:t>
      </w:r>
    </w:p>
    <w:p>
      <w:pPr>
        <w:pStyle w:val="113"/>
      </w:pPr>
      <w:r>
        <w:t>Table A.3.2A-1: Fixed DL PDSCH Dedicated Reference Channel for TX Requirements (FDD) for UE Category M1</w:t>
      </w:r>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2267"/>
        <w:gridCol w:w="1088"/>
        <w:gridCol w:w="5773"/>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4"/>
              <w:rPr>
                <w:rFonts w:cs="Arial"/>
                <w:lang w:eastAsia="zh-CN"/>
              </w:rPr>
            </w:pPr>
            <w:r>
              <w:rPr>
                <w:rFonts w:cs="Arial"/>
                <w:lang w:eastAsia="zh-CN"/>
              </w:rPr>
              <w:t>Parameter</w:t>
            </w:r>
          </w:p>
        </w:tc>
        <w:tc>
          <w:tcPr>
            <w:tcW w:w="1088" w:type="dxa"/>
            <w:tcMar>
              <w:top w:w="0" w:type="dxa"/>
              <w:left w:w="108" w:type="dxa"/>
              <w:bottom w:w="0" w:type="dxa"/>
              <w:right w:w="108" w:type="dxa"/>
            </w:tcMar>
          </w:tcPr>
          <w:p>
            <w:pPr>
              <w:pStyle w:val="104"/>
              <w:rPr>
                <w:rFonts w:cs="Arial"/>
                <w:lang w:eastAsia="zh-CN"/>
              </w:rPr>
            </w:pPr>
            <w:r>
              <w:rPr>
                <w:rFonts w:cs="Arial"/>
                <w:lang w:eastAsia="zh-CN"/>
              </w:rPr>
              <w:t>Unit</w:t>
            </w:r>
          </w:p>
        </w:tc>
        <w:tc>
          <w:tcPr>
            <w:tcW w:w="5773" w:type="dxa"/>
            <w:tcMar>
              <w:top w:w="0" w:type="dxa"/>
              <w:left w:w="108" w:type="dxa"/>
              <w:bottom w:w="0" w:type="dxa"/>
              <w:right w:w="108" w:type="dxa"/>
            </w:tcMar>
          </w:tcPr>
          <w:p>
            <w:pPr>
              <w:pStyle w:val="104"/>
              <w:rPr>
                <w:rFonts w:cs="Arial"/>
                <w:lang w:eastAsia="zh-CN"/>
              </w:rPr>
            </w:pPr>
            <w:r>
              <w:rPr>
                <w:rFonts w:cs="Arial"/>
                <w:lang w:eastAsia="zh-CN"/>
              </w:rPr>
              <w:t>Value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Channel bandwidth</w:t>
            </w:r>
          </w:p>
        </w:tc>
        <w:tc>
          <w:tcPr>
            <w:tcW w:w="1088" w:type="dxa"/>
            <w:tcMar>
              <w:top w:w="0" w:type="dxa"/>
              <w:left w:w="108" w:type="dxa"/>
              <w:bottom w:w="0" w:type="dxa"/>
              <w:right w:w="108" w:type="dxa"/>
            </w:tcMar>
          </w:tcPr>
          <w:p>
            <w:pPr>
              <w:pStyle w:val="105"/>
              <w:rPr>
                <w:rFonts w:cs="Arial"/>
              </w:rPr>
            </w:pPr>
            <w:r>
              <w:rPr>
                <w:rFonts w:cs="Arial"/>
              </w:rPr>
              <w:t>MHz</w:t>
            </w:r>
          </w:p>
        </w:tc>
        <w:tc>
          <w:tcPr>
            <w:tcW w:w="5773" w:type="dxa"/>
            <w:tcMar>
              <w:top w:w="0" w:type="dxa"/>
              <w:left w:w="108" w:type="dxa"/>
              <w:bottom w:w="0" w:type="dxa"/>
              <w:right w:w="108" w:type="dxa"/>
            </w:tcMar>
          </w:tcPr>
          <w:p>
            <w:pPr>
              <w:pStyle w:val="105"/>
              <w:rPr>
                <w:rFonts w:cs="Arial"/>
              </w:rPr>
            </w:pPr>
            <w:r>
              <w:rPr>
                <w:rFonts w:cs="Arial"/>
              </w:rPr>
              <w:t>1.4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Allocated resource blocks</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Subcarriers per resource block</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Allocated subframes per Radio Frame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lang w:eastAsia="ja-JP"/>
              </w:rPr>
            </w:pPr>
            <w:r>
              <w:rPr>
                <w:rFonts w:cs="Arial"/>
                <w:lang w:eastAsia="ja-JP"/>
              </w:rPr>
              <w:t>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Modulation</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QPSK</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Target Coding Rate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Number of HARQ Processes</w:t>
            </w:r>
          </w:p>
        </w:tc>
        <w:tc>
          <w:tcPr>
            <w:tcW w:w="1088" w:type="dxa"/>
            <w:tcMar>
              <w:top w:w="0" w:type="dxa"/>
              <w:left w:w="108" w:type="dxa"/>
              <w:bottom w:w="0" w:type="dxa"/>
              <w:right w:w="108" w:type="dxa"/>
            </w:tcMar>
          </w:tcPr>
          <w:p>
            <w:pPr>
              <w:pStyle w:val="105"/>
              <w:rPr>
                <w:rFonts w:cs="Arial"/>
              </w:rPr>
            </w:pPr>
            <w:r>
              <w:rPr>
                <w:rFonts w:cs="Arial"/>
              </w:rPr>
              <w:t>Processes</w:t>
            </w:r>
          </w:p>
        </w:tc>
        <w:tc>
          <w:tcPr>
            <w:tcW w:w="5773" w:type="dxa"/>
            <w:tcMar>
              <w:top w:w="0" w:type="dxa"/>
              <w:left w:w="108" w:type="dxa"/>
              <w:bottom w:w="0" w:type="dxa"/>
              <w:right w:w="108" w:type="dxa"/>
            </w:tcMar>
          </w:tcPr>
          <w:p>
            <w:pPr>
              <w:pStyle w:val="105"/>
              <w:rPr>
                <w:rFonts w:cs="Arial"/>
              </w:rPr>
            </w:pPr>
            <w:r>
              <w:rPr>
                <w:rFonts w:cs="Arial"/>
              </w:rPr>
              <w:t>[8]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Maximum number of HARQ transmissions</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Information Bit Payload per Sub-Frame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shd w:val="clear" w:color="auto" w:fill="auto"/>
            <w:tcMar>
              <w:top w:w="0" w:type="dxa"/>
              <w:left w:w="108" w:type="dxa"/>
              <w:bottom w:w="0" w:type="dxa"/>
              <w:right w:w="108" w:type="dxa"/>
            </w:tcMar>
          </w:tcPr>
          <w:p>
            <w:pPr>
              <w:pStyle w:val="105"/>
              <w:rPr>
                <w:rFonts w:cs="Arial"/>
              </w:rPr>
            </w:pPr>
            <w:r>
              <w:rPr>
                <w:rFonts w:cs="Arial"/>
              </w:rPr>
              <w:t>256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5773"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Transport block CRC</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24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Number of Code Blocks per Sub-Frame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5773"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Binary Channel Bits Per Sub-Frame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shd w:val="clear" w:color="auto" w:fill="auto"/>
            <w:tcMar>
              <w:top w:w="0" w:type="dxa"/>
              <w:left w:w="108" w:type="dxa"/>
              <w:bottom w:w="0" w:type="dxa"/>
              <w:right w:w="108" w:type="dxa"/>
            </w:tcMar>
          </w:tcPr>
          <w:p>
            <w:pPr>
              <w:pStyle w:val="105"/>
              <w:rPr>
                <w:rFonts w:cs="Arial"/>
              </w:rPr>
            </w:pPr>
            <w:r>
              <w:rPr>
                <w:rFonts w:cs="Arial"/>
              </w:rPr>
              <w:t>912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5773"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Mar>
              <w:top w:w="0" w:type="dxa"/>
              <w:left w:w="108" w:type="dxa"/>
              <w:bottom w:w="0" w:type="dxa"/>
              <w:right w:w="108" w:type="dxa"/>
            </w:tcMar>
          </w:tcPr>
          <w:p>
            <w:pPr>
              <w:pStyle w:val="103"/>
              <w:rPr>
                <w:rFonts w:cs="Arial"/>
              </w:rPr>
            </w:pPr>
            <w:r>
              <w:rPr>
                <w:rFonts w:cs="Arial"/>
              </w:rPr>
              <w:t>Max. Throughput averaged over 1 frame for FDD</w:t>
            </w:r>
          </w:p>
        </w:tc>
        <w:tc>
          <w:tcPr>
            <w:tcW w:w="1088" w:type="dxa"/>
            <w:tcMar>
              <w:top w:w="0" w:type="dxa"/>
              <w:left w:w="108" w:type="dxa"/>
              <w:bottom w:w="0" w:type="dxa"/>
              <w:right w:w="108" w:type="dxa"/>
            </w:tcMar>
          </w:tcPr>
          <w:p>
            <w:pPr>
              <w:pStyle w:val="105"/>
              <w:rPr>
                <w:rFonts w:cs="Arial"/>
              </w:rPr>
            </w:pPr>
            <w:r>
              <w:rPr>
                <w:rFonts w:cs="Arial"/>
              </w:rPr>
              <w:t>kbps</w:t>
            </w:r>
          </w:p>
        </w:tc>
        <w:tc>
          <w:tcPr>
            <w:tcW w:w="5773" w:type="dxa"/>
            <w:shd w:val="clear" w:color="auto" w:fill="auto"/>
            <w:tcMar>
              <w:top w:w="0" w:type="dxa"/>
              <w:left w:w="108" w:type="dxa"/>
              <w:bottom w:w="0" w:type="dxa"/>
              <w:right w:w="108" w:type="dxa"/>
            </w:tcMar>
          </w:tcPr>
          <w:p>
            <w:pPr>
              <w:pStyle w:val="105"/>
              <w:rPr>
                <w:rFonts w:cs="Arial"/>
              </w:rPr>
            </w:pPr>
            <w:r>
              <w:rPr>
                <w:rFonts w:cs="Arial"/>
              </w:rPr>
              <w:t>51.2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Max. Throughput averaged over 1 frames for HD-FDD</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kbps</w:t>
            </w:r>
          </w:p>
        </w:tc>
        <w:tc>
          <w:tcPr>
            <w:tcW w:w="5773"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25.6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Mar>
              <w:top w:w="0" w:type="dxa"/>
              <w:left w:w="108" w:type="dxa"/>
              <w:bottom w:w="0" w:type="dxa"/>
              <w:right w:w="108" w:type="dxa"/>
            </w:tcMar>
          </w:tcPr>
          <w:p>
            <w:pPr>
              <w:pStyle w:val="103"/>
              <w:rPr>
                <w:rFonts w:cs="Arial"/>
              </w:rPr>
            </w:pPr>
            <w:r>
              <w:rPr>
                <w:rFonts w:cs="Arial"/>
              </w:rPr>
              <w:t>UE DL Category</w:t>
            </w:r>
          </w:p>
        </w:tc>
        <w:tc>
          <w:tcPr>
            <w:tcW w:w="1088" w:type="dxa"/>
            <w:tcMar>
              <w:top w:w="0" w:type="dxa"/>
              <w:left w:w="108" w:type="dxa"/>
              <w:bottom w:w="0" w:type="dxa"/>
              <w:right w:w="108" w:type="dxa"/>
            </w:tcMar>
          </w:tcPr>
          <w:p>
            <w:pPr>
              <w:pStyle w:val="105"/>
              <w:rPr>
                <w:rFonts w:cs="Arial"/>
              </w:rPr>
            </w:pPr>
          </w:p>
        </w:tc>
        <w:tc>
          <w:tcPr>
            <w:tcW w:w="5773" w:type="dxa"/>
            <w:shd w:val="clear" w:color="auto" w:fill="auto"/>
            <w:tcMar>
              <w:top w:w="0" w:type="dxa"/>
              <w:left w:w="108" w:type="dxa"/>
              <w:bottom w:w="0" w:type="dxa"/>
              <w:right w:w="108" w:type="dxa"/>
            </w:tcMar>
          </w:tcPr>
          <w:p>
            <w:pPr>
              <w:pStyle w:val="105"/>
              <w:rPr>
                <w:rFonts w:cs="Arial"/>
              </w:rPr>
            </w:pPr>
            <w:r>
              <w:rPr>
                <w:rFonts w:cs="Arial"/>
              </w:rPr>
              <w:t>M1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9128" w:type="dxa"/>
            <w:gridSpan w:val="3"/>
            <w:tcMar>
              <w:top w:w="0" w:type="dxa"/>
              <w:left w:w="108" w:type="dxa"/>
              <w:bottom w:w="0" w:type="dxa"/>
              <w:right w:w="108" w:type="dxa"/>
            </w:tcMar>
          </w:tcPr>
          <w:p>
            <w:pPr>
              <w:pStyle w:val="118"/>
              <w:rPr>
                <w:rFonts w:cs="Arial"/>
              </w:rPr>
            </w:pPr>
            <w:r>
              <w:rPr>
                <w:rFonts w:cs="Arial"/>
              </w:rPr>
              <w:t>Note 1:</w:t>
            </w:r>
            <w:r>
              <w:rPr>
                <w:rFonts w:cs="Arial"/>
              </w:rPr>
              <w:tab/>
            </w:r>
            <w:r>
              <w:rPr>
                <w:rFonts w:cs="Arial"/>
              </w:rPr>
              <w:t>4 symbols allocated to PDCCH for 1.4 MHz</w:t>
            </w:r>
          </w:p>
          <w:p>
            <w:pPr>
              <w:pStyle w:val="118"/>
              <w:rPr>
                <w:rFonts w:cs="Arial"/>
              </w:rPr>
            </w:pPr>
            <w:r>
              <w:rPr>
                <w:rFonts w:cs="Arial"/>
              </w:rPr>
              <w:t>Note 2:</w:t>
            </w:r>
            <w:r>
              <w:rPr>
                <w:rFonts w:cs="Arial"/>
              </w:rPr>
              <w:tab/>
            </w:r>
            <w:r>
              <w:rPr>
                <w:rFonts w:cs="Arial"/>
              </w:rPr>
              <w:t>Reference signal, Synchronization signals and PBCH allocated as per TS 36.211</w:t>
            </w:r>
            <w:r>
              <w:rPr>
                <w:rFonts w:cs="Arial"/>
                <w:lang w:eastAsia="zh-TW"/>
              </w:rPr>
              <w:t xml:space="preserve"> [</w:t>
            </w:r>
            <w:r>
              <w:rPr>
                <w:rFonts w:hint="eastAsia" w:eastAsia="宋体" w:cs="Arial"/>
                <w:lang w:val="en-US" w:eastAsia="zh-CN"/>
              </w:rPr>
              <w:t>3</w:t>
            </w:r>
            <w:r>
              <w:rPr>
                <w:rFonts w:cs="Arial"/>
                <w:lang w:eastAsia="zh-TW"/>
              </w:rPr>
              <w:t>]</w:t>
            </w:r>
            <w:r>
              <w:rPr>
                <w:rFonts w:cs="Arial"/>
              </w:rPr>
              <w:t>.</w:t>
            </w:r>
          </w:p>
          <w:p>
            <w:pPr>
              <w:pStyle w:val="118"/>
              <w:rPr>
                <w:rFonts w:cs="Arial"/>
              </w:rPr>
            </w:pPr>
            <w:r>
              <w:rPr>
                <w:rFonts w:cs="Arial"/>
              </w:rPr>
              <w:t>Note 3:</w:t>
            </w:r>
            <w:r>
              <w:rPr>
                <w:rFonts w:cs="Arial"/>
              </w:rPr>
              <w:tab/>
            </w:r>
            <w:r>
              <w:rPr>
                <w:rFonts w:cs="Arial"/>
              </w:rPr>
              <w:t>For HD-FDD UE, PDSCH are scheduled at the [3rd] subframe every 1 radio frame for 1.4MHz channel BW.</w:t>
            </w:r>
            <w:r>
              <w:t xml:space="preserve"> </w:t>
            </w:r>
            <w:r>
              <w:rPr>
                <w:rFonts w:cs="Arial"/>
              </w:rPr>
              <w:t>Information bit payload is available if downlink subframe is scheduled. The corresponding M-PDCCH is scheduled 2 subframes before the corresponding PDSCH transmission.</w:t>
            </w:r>
          </w:p>
          <w:p>
            <w:pPr>
              <w:pStyle w:val="118"/>
              <w:rPr>
                <w:rFonts w:cs="Arial"/>
              </w:rPr>
            </w:pPr>
            <w:r>
              <w:rPr>
                <w:rFonts w:cs="Arial"/>
              </w:rPr>
              <w:t xml:space="preserve">Note </w:t>
            </w:r>
            <w:r>
              <w:rPr>
                <w:rFonts w:hint="eastAsia" w:eastAsia="宋体" w:cs="Arial"/>
                <w:lang w:val="en-US" w:eastAsia="zh-CN"/>
              </w:rPr>
              <w:t>3</w:t>
            </w:r>
            <w:r>
              <w:rPr>
                <w:rFonts w:cs="Arial"/>
              </w:rPr>
              <w:t>:</w:t>
            </w:r>
            <w:r>
              <w:rPr>
                <w:rFonts w:cs="Arial"/>
              </w:rPr>
              <w:tab/>
            </w:r>
            <w:r>
              <w:rPr>
                <w:rFonts w:cs="Arial"/>
              </w:rPr>
              <w:t>2 resource blocks allocated to M-PDCCH</w:t>
            </w:r>
          </w:p>
        </w:tc>
      </w:tr>
    </w:tbl>
    <w:p/>
    <w:p>
      <w:pPr>
        <w:pStyle w:val="4"/>
      </w:pPr>
      <w:bookmarkStart w:id="1761" w:name="_Toc5828"/>
      <w:bookmarkStart w:id="1762" w:name="_Toc21128"/>
      <w:bookmarkStart w:id="1763" w:name="_Toc21450"/>
      <w:bookmarkStart w:id="1764" w:name="_Toc232582117"/>
      <w:bookmarkStart w:id="1765" w:name="_Toc28064"/>
      <w:bookmarkStart w:id="1766" w:name="_Toc202"/>
      <w:r>
        <w:t>A.3.3</w:t>
      </w:r>
      <w:r>
        <w:tab/>
      </w:r>
      <w:r>
        <w:t>Reference measurement channel for PDSCH performance requirements (FDD)</w:t>
      </w:r>
      <w:bookmarkEnd w:id="1761"/>
      <w:bookmarkEnd w:id="1762"/>
      <w:bookmarkEnd w:id="1763"/>
      <w:bookmarkEnd w:id="1764"/>
      <w:bookmarkEnd w:id="1765"/>
      <w:bookmarkEnd w:id="1766"/>
    </w:p>
    <w:p>
      <w:pPr>
        <w:pStyle w:val="5"/>
      </w:pPr>
      <w:bookmarkStart w:id="1767" w:name="_Toc232582118"/>
      <w:bookmarkStart w:id="1768" w:name="_Toc18914"/>
      <w:bookmarkStart w:id="1769" w:name="_Toc26808"/>
      <w:bookmarkStart w:id="1770" w:name="_Toc21274"/>
      <w:bookmarkStart w:id="1771" w:name="_Toc19455"/>
      <w:bookmarkStart w:id="1772" w:name="_Toc1179"/>
      <w:r>
        <w:rPr>
          <w:lang w:eastAsia="en-GB"/>
        </w:rPr>
        <w:t>A.3.3.1</w:t>
      </w:r>
      <w:r>
        <w:rPr>
          <w:lang w:eastAsia="en-GB"/>
        </w:rPr>
        <w:tab/>
      </w:r>
      <w:r>
        <w:rPr>
          <w:lang w:eastAsia="en-GB"/>
        </w:rPr>
        <w:t>Single-antenna transmission (Common Reference Symbols)</w:t>
      </w:r>
      <w:bookmarkEnd w:id="1767"/>
      <w:bookmarkEnd w:id="1768"/>
      <w:bookmarkEnd w:id="1769"/>
      <w:bookmarkEnd w:id="1770"/>
      <w:bookmarkEnd w:id="1771"/>
      <w:bookmarkEnd w:id="1772"/>
    </w:p>
    <w:p>
      <w:pPr>
        <w:pStyle w:val="113"/>
        <w:rPr>
          <w:lang w:val="en-US"/>
        </w:rPr>
      </w:pPr>
      <w:r>
        <w:t xml:space="preserve">Table A.3.3.1-1: Fixed Reference Channel </w:t>
      </w:r>
      <w:r>
        <w:rPr>
          <w:rFonts w:hint="eastAsia" w:eastAsia="宋体"/>
          <w:lang w:val="en-US" w:eastAsia="zh-CN"/>
        </w:rPr>
        <w:t>Single Antenna Port</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4"/>
        <w:gridCol w:w="1843"/>
        <w:gridCol w:w="1701"/>
        <w:gridCol w:w="1559"/>
        <w:gridCol w:w="14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114" w:type="dxa"/>
          </w:tcPr>
          <w:p>
            <w:pPr>
              <w:pStyle w:val="104"/>
            </w:pPr>
            <w:r>
              <w:t>Parameter</w:t>
            </w:r>
          </w:p>
        </w:tc>
        <w:tc>
          <w:tcPr>
            <w:tcW w:w="1843" w:type="dxa"/>
          </w:tcPr>
          <w:p>
            <w:pPr>
              <w:pStyle w:val="104"/>
            </w:pPr>
            <w:r>
              <w:rPr>
                <w:spacing w:val="-4"/>
              </w:rPr>
              <w:t>Unit</w:t>
            </w:r>
          </w:p>
        </w:tc>
        <w:tc>
          <w:tcPr>
            <w:tcW w:w="4674" w:type="dxa"/>
            <w:gridSpan w:val="3"/>
          </w:tcPr>
          <w:p>
            <w:pPr>
              <w:pStyle w:val="104"/>
            </w:pPr>
            <w: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Reference</w:t>
            </w:r>
            <w:r>
              <w:rPr>
                <w:spacing w:val="-4"/>
              </w:rPr>
              <w:t xml:space="preserve"> </w:t>
            </w:r>
            <w:r>
              <w:rPr>
                <w:spacing w:val="-2"/>
              </w:rPr>
              <w:t>channel</w:t>
            </w:r>
          </w:p>
        </w:tc>
        <w:tc>
          <w:tcPr>
            <w:tcW w:w="1843" w:type="dxa"/>
          </w:tcPr>
          <w:p>
            <w:pPr>
              <w:pStyle w:val="105"/>
            </w:pPr>
          </w:p>
        </w:tc>
        <w:tc>
          <w:tcPr>
            <w:tcW w:w="1701" w:type="dxa"/>
          </w:tcPr>
          <w:p>
            <w:pPr>
              <w:pStyle w:val="105"/>
            </w:pPr>
            <w:r>
              <w:t>R.1</w:t>
            </w:r>
            <w:r>
              <w:rPr>
                <w:spacing w:val="-1"/>
              </w:rPr>
              <w:t xml:space="preserve"> </w:t>
            </w:r>
            <w:r>
              <w:rPr>
                <w:spacing w:val="-5"/>
              </w:rPr>
              <w:t>FDD</w:t>
            </w:r>
          </w:p>
        </w:tc>
        <w:tc>
          <w:tcPr>
            <w:tcW w:w="1559" w:type="dxa"/>
          </w:tcPr>
          <w:p>
            <w:pPr>
              <w:pStyle w:val="105"/>
            </w:pPr>
            <w:r>
              <w:t>R.2 FDD</w:t>
            </w:r>
          </w:p>
        </w:tc>
        <w:tc>
          <w:tcPr>
            <w:tcW w:w="1414" w:type="dxa"/>
          </w:tcPr>
          <w:p>
            <w:pPr>
              <w:pStyle w:val="105"/>
            </w:pPr>
            <w:r>
              <w:t>R.3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Channel</w:t>
            </w:r>
            <w:r>
              <w:rPr>
                <w:spacing w:val="-2"/>
              </w:rPr>
              <w:t xml:space="preserve"> bandwidth</w:t>
            </w:r>
          </w:p>
        </w:tc>
        <w:tc>
          <w:tcPr>
            <w:tcW w:w="1843" w:type="dxa"/>
          </w:tcPr>
          <w:p>
            <w:pPr>
              <w:pStyle w:val="105"/>
            </w:pPr>
            <w:r>
              <w:rPr>
                <w:spacing w:val="-5"/>
              </w:rPr>
              <w:t>MHz</w:t>
            </w:r>
          </w:p>
        </w:tc>
        <w:tc>
          <w:tcPr>
            <w:tcW w:w="1701" w:type="dxa"/>
          </w:tcPr>
          <w:p>
            <w:pPr>
              <w:pStyle w:val="105"/>
            </w:pPr>
            <w:r>
              <w:rPr>
                <w:spacing w:val="-5"/>
              </w:rPr>
              <w:t>1.4</w:t>
            </w:r>
          </w:p>
        </w:tc>
        <w:tc>
          <w:tcPr>
            <w:tcW w:w="1559" w:type="dxa"/>
          </w:tcPr>
          <w:p>
            <w:pPr>
              <w:pStyle w:val="105"/>
            </w:pPr>
            <w:r>
              <w:rPr>
                <w:spacing w:val="-5"/>
              </w:rPr>
              <w:t>1.4</w:t>
            </w:r>
          </w:p>
        </w:tc>
        <w:tc>
          <w:tcPr>
            <w:tcW w:w="1414" w:type="dxa"/>
          </w:tcPr>
          <w:p>
            <w:pPr>
              <w:pStyle w:val="105"/>
            </w:pPr>
            <w:r>
              <w:rPr>
                <w:spacing w:val="-5"/>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Allocated resource blocks</w:t>
            </w:r>
          </w:p>
        </w:tc>
        <w:tc>
          <w:tcPr>
            <w:tcW w:w="1843" w:type="dxa"/>
          </w:tcPr>
          <w:p>
            <w:pPr>
              <w:pStyle w:val="105"/>
            </w:pPr>
          </w:p>
        </w:tc>
        <w:tc>
          <w:tcPr>
            <w:tcW w:w="1701" w:type="dxa"/>
          </w:tcPr>
          <w:p>
            <w:pPr>
              <w:pStyle w:val="105"/>
            </w:pPr>
            <w:r>
              <w:t>Note3</w:t>
            </w:r>
          </w:p>
        </w:tc>
        <w:tc>
          <w:tcPr>
            <w:tcW w:w="1559" w:type="dxa"/>
          </w:tcPr>
          <w:p>
            <w:pPr>
              <w:pStyle w:val="105"/>
            </w:pPr>
            <w:r>
              <w:t>6</w:t>
            </w:r>
          </w:p>
        </w:tc>
        <w:tc>
          <w:tcPr>
            <w:tcW w:w="1414" w:type="dxa"/>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Allocated</w:t>
            </w:r>
            <w:r>
              <w:rPr>
                <w:spacing w:val="-4"/>
              </w:rPr>
              <w:t xml:space="preserve"> </w:t>
            </w:r>
            <w:r>
              <w:t>DL</w:t>
            </w:r>
            <w:r>
              <w:rPr>
                <w:spacing w:val="-2"/>
              </w:rPr>
              <w:t xml:space="preserve"> </w:t>
            </w:r>
            <w:r>
              <w:t>subframes</w:t>
            </w:r>
            <w:r>
              <w:rPr>
                <w:spacing w:val="-2"/>
              </w:rPr>
              <w:t xml:space="preserve"> </w:t>
            </w:r>
            <w:r>
              <w:t>per</w:t>
            </w:r>
            <w:r>
              <w:rPr>
                <w:spacing w:val="-5"/>
              </w:rPr>
              <w:t xml:space="preserve"> </w:t>
            </w:r>
            <w:r>
              <w:t>Radio</w:t>
            </w:r>
            <w:r>
              <w:rPr>
                <w:spacing w:val="-3"/>
              </w:rPr>
              <w:t xml:space="preserve"> </w:t>
            </w:r>
            <w:r>
              <w:rPr>
                <w:spacing w:val="-2"/>
              </w:rPr>
              <w:t>Frame</w:t>
            </w:r>
          </w:p>
        </w:tc>
        <w:tc>
          <w:tcPr>
            <w:tcW w:w="1843" w:type="dxa"/>
          </w:tcPr>
          <w:p>
            <w:pPr>
              <w:pStyle w:val="105"/>
            </w:pPr>
          </w:p>
        </w:tc>
        <w:tc>
          <w:tcPr>
            <w:tcW w:w="1701" w:type="dxa"/>
          </w:tcPr>
          <w:p>
            <w:pPr>
              <w:pStyle w:val="105"/>
            </w:pPr>
            <w:r>
              <w:t xml:space="preserve">Note </w:t>
            </w:r>
            <w:r>
              <w:rPr>
                <w:spacing w:val="-10"/>
              </w:rPr>
              <w:t>4</w:t>
            </w:r>
          </w:p>
        </w:tc>
        <w:tc>
          <w:tcPr>
            <w:tcW w:w="1559" w:type="dxa"/>
          </w:tcPr>
          <w:p>
            <w:pPr>
              <w:pStyle w:val="105"/>
            </w:pPr>
            <w:r>
              <w:t>Note 5</w:t>
            </w:r>
          </w:p>
        </w:tc>
        <w:tc>
          <w:tcPr>
            <w:tcW w:w="1414" w:type="dxa"/>
          </w:tcPr>
          <w:p>
            <w:pPr>
              <w:pStyle w:val="105"/>
            </w:pPr>
            <w:r>
              <w:t xml:space="preserve">Note </w:t>
            </w:r>
            <w:r>
              <w:rPr>
                <w:spacing w:val="-10"/>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rPr>
                <w:spacing w:val="-2"/>
              </w:rPr>
              <w:t>Modulation</w:t>
            </w:r>
          </w:p>
        </w:tc>
        <w:tc>
          <w:tcPr>
            <w:tcW w:w="1843" w:type="dxa"/>
          </w:tcPr>
          <w:p>
            <w:pPr>
              <w:pStyle w:val="105"/>
            </w:pPr>
          </w:p>
        </w:tc>
        <w:tc>
          <w:tcPr>
            <w:tcW w:w="1701" w:type="dxa"/>
          </w:tcPr>
          <w:p>
            <w:pPr>
              <w:pStyle w:val="105"/>
            </w:pPr>
            <w:r>
              <w:rPr>
                <w:spacing w:val="-4"/>
              </w:rPr>
              <w:t>16QAM</w:t>
            </w:r>
          </w:p>
        </w:tc>
        <w:tc>
          <w:tcPr>
            <w:tcW w:w="1559" w:type="dxa"/>
          </w:tcPr>
          <w:p>
            <w:pPr>
              <w:pStyle w:val="105"/>
            </w:pPr>
            <w:r>
              <w:rPr>
                <w:spacing w:val="-4"/>
              </w:rPr>
              <w:t>QPSK</w:t>
            </w:r>
          </w:p>
        </w:tc>
        <w:tc>
          <w:tcPr>
            <w:tcW w:w="1414" w:type="dxa"/>
          </w:tcPr>
          <w:p>
            <w:pPr>
              <w:pStyle w:val="105"/>
            </w:pPr>
            <w:r>
              <w:rPr>
                <w:spacing w:val="-4"/>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Target</w:t>
            </w:r>
            <w:r>
              <w:rPr>
                <w:spacing w:val="-5"/>
              </w:rPr>
              <w:t xml:space="preserve"> </w:t>
            </w:r>
            <w:r>
              <w:t>Coding</w:t>
            </w:r>
            <w:r>
              <w:rPr>
                <w:spacing w:val="-1"/>
              </w:rPr>
              <w:t xml:space="preserve"> </w:t>
            </w:r>
            <w:r>
              <w:rPr>
                <w:spacing w:val="-4"/>
              </w:rPr>
              <w:t>Rate</w:t>
            </w:r>
          </w:p>
        </w:tc>
        <w:tc>
          <w:tcPr>
            <w:tcW w:w="1843" w:type="dxa"/>
          </w:tcPr>
          <w:p>
            <w:pPr>
              <w:pStyle w:val="105"/>
            </w:pPr>
          </w:p>
        </w:tc>
        <w:tc>
          <w:tcPr>
            <w:tcW w:w="1701" w:type="dxa"/>
          </w:tcPr>
          <w:p>
            <w:pPr>
              <w:pStyle w:val="105"/>
            </w:pPr>
            <w:r>
              <w:rPr>
                <w:spacing w:val="-5"/>
              </w:rPr>
              <w:t>1/2</w:t>
            </w:r>
          </w:p>
        </w:tc>
        <w:tc>
          <w:tcPr>
            <w:tcW w:w="1559" w:type="dxa"/>
          </w:tcPr>
          <w:p>
            <w:pPr>
              <w:pStyle w:val="105"/>
            </w:pPr>
            <w:r>
              <w:rPr>
                <w:spacing w:val="-5"/>
              </w:rPr>
              <w:t>1/3</w:t>
            </w:r>
          </w:p>
        </w:tc>
        <w:tc>
          <w:tcPr>
            <w:tcW w:w="1414" w:type="dxa"/>
          </w:tcPr>
          <w:p>
            <w:pPr>
              <w:pStyle w:val="105"/>
            </w:pPr>
            <w:r>
              <w:rPr>
                <w:spacing w:val="-5"/>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Information</w:t>
            </w:r>
            <w:r>
              <w:rPr>
                <w:spacing w:val="-3"/>
              </w:rPr>
              <w:t xml:space="preserve"> </w:t>
            </w:r>
            <w:r>
              <w:t>Bit</w:t>
            </w:r>
            <w:r>
              <w:rPr>
                <w:spacing w:val="-3"/>
              </w:rPr>
              <w:t xml:space="preserve"> </w:t>
            </w:r>
            <w:r>
              <w:rPr>
                <w:spacing w:val="-2"/>
              </w:rPr>
              <w:t>Payload</w:t>
            </w:r>
          </w:p>
        </w:tc>
        <w:tc>
          <w:tcPr>
            <w:tcW w:w="1843" w:type="dxa"/>
          </w:tcPr>
          <w:p>
            <w:pPr>
              <w:pStyle w:val="105"/>
            </w:pPr>
          </w:p>
        </w:tc>
        <w:tc>
          <w:tcPr>
            <w:tcW w:w="1701" w:type="dxa"/>
          </w:tcPr>
          <w:p>
            <w:pPr>
              <w:pStyle w:val="105"/>
            </w:pPr>
          </w:p>
        </w:tc>
        <w:tc>
          <w:tcPr>
            <w:tcW w:w="1559" w:type="dxa"/>
          </w:tcPr>
          <w:p>
            <w:pPr>
              <w:pStyle w:val="105"/>
            </w:pPr>
          </w:p>
        </w:tc>
        <w:tc>
          <w:tcPr>
            <w:tcW w:w="141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For</w:t>
            </w:r>
            <w:r>
              <w:rPr>
                <w:spacing w:val="-2"/>
              </w:rPr>
              <w:t xml:space="preserve"> </w:t>
            </w:r>
            <w:r>
              <w:t xml:space="preserve">Sub-Frames </w:t>
            </w:r>
            <w:r>
              <w:rPr>
                <w:spacing w:val="-2"/>
              </w:rPr>
              <w:t>0,1,2,3,4,5,6,7,8,9</w:t>
            </w:r>
          </w:p>
        </w:tc>
        <w:tc>
          <w:tcPr>
            <w:tcW w:w="1843" w:type="dxa"/>
          </w:tcPr>
          <w:p>
            <w:pPr>
              <w:pStyle w:val="105"/>
            </w:pPr>
            <w:r>
              <w:rPr>
                <w:spacing w:val="-4"/>
              </w:rPr>
              <w:t>Bits</w:t>
            </w:r>
          </w:p>
        </w:tc>
        <w:tc>
          <w:tcPr>
            <w:tcW w:w="1701" w:type="dxa"/>
          </w:tcPr>
          <w:p>
            <w:pPr>
              <w:pStyle w:val="105"/>
            </w:pPr>
            <w:r>
              <w:rPr>
                <w:spacing w:val="-5"/>
              </w:rPr>
              <w:t>744</w:t>
            </w:r>
          </w:p>
        </w:tc>
        <w:tc>
          <w:tcPr>
            <w:tcW w:w="1559" w:type="dxa"/>
          </w:tcPr>
          <w:p>
            <w:pPr>
              <w:pStyle w:val="105"/>
            </w:pPr>
            <w:r>
              <w:rPr>
                <w:spacing w:val="-5"/>
              </w:rPr>
              <w:t>504</w:t>
            </w:r>
          </w:p>
        </w:tc>
        <w:tc>
          <w:tcPr>
            <w:tcW w:w="1414" w:type="dxa"/>
          </w:tcPr>
          <w:p>
            <w:pPr>
              <w:pStyle w:val="105"/>
            </w:pPr>
            <w:r>
              <w:rPr>
                <w:spacing w:val="-5"/>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Number</w:t>
            </w:r>
            <w:r>
              <w:rPr>
                <w:spacing w:val="-4"/>
              </w:rPr>
              <w:t xml:space="preserve"> </w:t>
            </w:r>
            <w:r>
              <w:t>of</w:t>
            </w:r>
            <w:r>
              <w:rPr>
                <w:spacing w:val="-1"/>
              </w:rPr>
              <w:t xml:space="preserve"> </w:t>
            </w:r>
            <w:r>
              <w:t xml:space="preserve">Code </w:t>
            </w:r>
            <w:r>
              <w:rPr>
                <w:spacing w:val="-2"/>
              </w:rPr>
              <w:t>Blocks</w:t>
            </w:r>
          </w:p>
        </w:tc>
        <w:tc>
          <w:tcPr>
            <w:tcW w:w="1843" w:type="dxa"/>
          </w:tcPr>
          <w:p>
            <w:pPr>
              <w:pStyle w:val="105"/>
            </w:pPr>
          </w:p>
        </w:tc>
        <w:tc>
          <w:tcPr>
            <w:tcW w:w="1701" w:type="dxa"/>
          </w:tcPr>
          <w:p>
            <w:pPr>
              <w:pStyle w:val="105"/>
            </w:pPr>
          </w:p>
        </w:tc>
        <w:tc>
          <w:tcPr>
            <w:tcW w:w="1559" w:type="dxa"/>
          </w:tcPr>
          <w:p>
            <w:pPr>
              <w:pStyle w:val="105"/>
            </w:pPr>
          </w:p>
        </w:tc>
        <w:tc>
          <w:tcPr>
            <w:tcW w:w="141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For</w:t>
            </w:r>
            <w:r>
              <w:rPr>
                <w:spacing w:val="-2"/>
              </w:rPr>
              <w:t xml:space="preserve"> </w:t>
            </w:r>
            <w:r>
              <w:t xml:space="preserve">Sub-Frames </w:t>
            </w:r>
            <w:r>
              <w:rPr>
                <w:spacing w:val="-2"/>
              </w:rPr>
              <w:t>0,1,2,3,4,5,6,7,8,9</w:t>
            </w:r>
          </w:p>
        </w:tc>
        <w:tc>
          <w:tcPr>
            <w:tcW w:w="1843" w:type="dxa"/>
          </w:tcPr>
          <w:p>
            <w:pPr>
              <w:pStyle w:val="105"/>
            </w:pPr>
            <w:r>
              <w:rPr>
                <w:spacing w:val="-4"/>
              </w:rPr>
              <w:t xml:space="preserve">Code </w:t>
            </w:r>
            <w:r>
              <w:rPr>
                <w:spacing w:val="-2"/>
              </w:rPr>
              <w:t>blocks</w:t>
            </w:r>
          </w:p>
        </w:tc>
        <w:tc>
          <w:tcPr>
            <w:tcW w:w="1701" w:type="dxa"/>
          </w:tcPr>
          <w:p>
            <w:pPr>
              <w:pStyle w:val="105"/>
            </w:pPr>
            <w:r>
              <w:t>1</w:t>
            </w:r>
          </w:p>
        </w:tc>
        <w:tc>
          <w:tcPr>
            <w:tcW w:w="1559" w:type="dxa"/>
          </w:tcPr>
          <w:p>
            <w:pPr>
              <w:pStyle w:val="105"/>
            </w:pPr>
            <w:r>
              <w:t>1</w:t>
            </w:r>
          </w:p>
        </w:tc>
        <w:tc>
          <w:tcPr>
            <w:tcW w:w="1414" w:type="dxa"/>
          </w:tcPr>
          <w:p>
            <w:pPr>
              <w:pStyle w:val="105"/>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Binary</w:t>
            </w:r>
            <w:r>
              <w:rPr>
                <w:spacing w:val="-5"/>
              </w:rPr>
              <w:t xml:space="preserve"> </w:t>
            </w:r>
            <w:r>
              <w:t>Channel</w:t>
            </w:r>
            <w:r>
              <w:rPr>
                <w:spacing w:val="-1"/>
              </w:rPr>
              <w:t xml:space="preserve"> </w:t>
            </w:r>
            <w:r>
              <w:rPr>
                <w:spacing w:val="-4"/>
              </w:rPr>
              <w:t>Bits</w:t>
            </w:r>
          </w:p>
        </w:tc>
        <w:tc>
          <w:tcPr>
            <w:tcW w:w="1843" w:type="dxa"/>
          </w:tcPr>
          <w:p>
            <w:pPr>
              <w:pStyle w:val="105"/>
            </w:pPr>
          </w:p>
        </w:tc>
        <w:tc>
          <w:tcPr>
            <w:tcW w:w="1701" w:type="dxa"/>
          </w:tcPr>
          <w:p>
            <w:pPr>
              <w:pStyle w:val="105"/>
            </w:pPr>
          </w:p>
        </w:tc>
        <w:tc>
          <w:tcPr>
            <w:tcW w:w="1559" w:type="dxa"/>
          </w:tcPr>
          <w:p>
            <w:pPr>
              <w:pStyle w:val="105"/>
            </w:pPr>
          </w:p>
        </w:tc>
        <w:tc>
          <w:tcPr>
            <w:tcW w:w="141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For</w:t>
            </w:r>
            <w:r>
              <w:rPr>
                <w:spacing w:val="-2"/>
              </w:rPr>
              <w:t xml:space="preserve"> </w:t>
            </w:r>
            <w:r>
              <w:t>Sub-Frames 0,</w:t>
            </w:r>
            <w:r>
              <w:rPr>
                <w:spacing w:val="-2"/>
              </w:rPr>
              <w:t>1,2,3,4,5,6,7,8,9</w:t>
            </w:r>
          </w:p>
        </w:tc>
        <w:tc>
          <w:tcPr>
            <w:tcW w:w="1843" w:type="dxa"/>
          </w:tcPr>
          <w:p>
            <w:pPr>
              <w:pStyle w:val="105"/>
            </w:pPr>
            <w:r>
              <w:rPr>
                <w:spacing w:val="-4"/>
              </w:rPr>
              <w:t>Bits</w:t>
            </w:r>
          </w:p>
        </w:tc>
        <w:tc>
          <w:tcPr>
            <w:tcW w:w="1701" w:type="dxa"/>
          </w:tcPr>
          <w:p>
            <w:pPr>
              <w:pStyle w:val="105"/>
              <w:rPr>
                <w:spacing w:val="-4"/>
              </w:rPr>
            </w:pPr>
            <w:r>
              <w:rPr>
                <w:spacing w:val="-4"/>
              </w:rPr>
              <w:t xml:space="preserve">1656 </w:t>
            </w:r>
          </w:p>
          <w:p>
            <w:pPr>
              <w:pStyle w:val="105"/>
            </w:pPr>
            <w:r>
              <w:rPr>
                <w:spacing w:val="-4"/>
              </w:rPr>
              <w:t>(Note 7, 8)</w:t>
            </w:r>
          </w:p>
        </w:tc>
        <w:tc>
          <w:tcPr>
            <w:tcW w:w="1559" w:type="dxa"/>
          </w:tcPr>
          <w:p>
            <w:pPr>
              <w:pStyle w:val="105"/>
            </w:pPr>
            <w:r>
              <w:rPr>
                <w:spacing w:val="-4"/>
              </w:rPr>
              <w:t>1656 (Note 7, 8)</w:t>
            </w:r>
          </w:p>
        </w:tc>
        <w:tc>
          <w:tcPr>
            <w:tcW w:w="1414" w:type="dxa"/>
          </w:tcPr>
          <w:p>
            <w:pPr>
              <w:pStyle w:val="105"/>
              <w:rPr>
                <w:spacing w:val="-4"/>
              </w:rPr>
            </w:pPr>
            <w:r>
              <w:rPr>
                <w:spacing w:val="-4"/>
              </w:rPr>
              <w:t xml:space="preserve">1656 </w:t>
            </w:r>
          </w:p>
          <w:p>
            <w:pPr>
              <w:pStyle w:val="105"/>
            </w:pPr>
            <w:r>
              <w:rPr>
                <w:spacing w:val="-4"/>
              </w:rPr>
              <w:t>(Note 7,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Max.</w:t>
            </w:r>
            <w:r>
              <w:rPr>
                <w:spacing w:val="-3"/>
              </w:rPr>
              <w:t xml:space="preserve"> </w:t>
            </w:r>
            <w:r>
              <w:t>Throughput</w:t>
            </w:r>
            <w:r>
              <w:rPr>
                <w:spacing w:val="-2"/>
              </w:rPr>
              <w:t xml:space="preserve"> </w:t>
            </w:r>
            <w:r>
              <w:t>averaged</w:t>
            </w:r>
            <w:r>
              <w:rPr>
                <w:spacing w:val="-5"/>
              </w:rPr>
              <w:t xml:space="preserve"> </w:t>
            </w:r>
            <w:r>
              <w:t>over</w:t>
            </w:r>
            <w:r>
              <w:rPr>
                <w:spacing w:val="-2"/>
              </w:rPr>
              <w:t xml:space="preserve"> </w:t>
            </w:r>
            <w:r>
              <w:t>one</w:t>
            </w:r>
            <w:r>
              <w:rPr>
                <w:spacing w:val="-4"/>
              </w:rPr>
              <w:t xml:space="preserve"> </w:t>
            </w:r>
            <w:r>
              <w:rPr>
                <w:spacing w:val="-2"/>
              </w:rPr>
              <w:t>period</w:t>
            </w:r>
          </w:p>
        </w:tc>
        <w:tc>
          <w:tcPr>
            <w:tcW w:w="1843" w:type="dxa"/>
          </w:tcPr>
          <w:p>
            <w:pPr>
              <w:pStyle w:val="105"/>
            </w:pPr>
            <w:r>
              <w:rPr>
                <w:spacing w:val="-4"/>
              </w:rPr>
              <w:t>Kbps</w:t>
            </w:r>
          </w:p>
        </w:tc>
        <w:tc>
          <w:tcPr>
            <w:tcW w:w="1701" w:type="dxa"/>
          </w:tcPr>
          <w:p>
            <w:pPr>
              <w:pStyle w:val="105"/>
            </w:pPr>
            <w:r>
              <w:rPr>
                <w:spacing w:val="-2"/>
              </w:rPr>
              <w:t>149</w:t>
            </w:r>
          </w:p>
        </w:tc>
        <w:tc>
          <w:tcPr>
            <w:tcW w:w="1559" w:type="dxa"/>
          </w:tcPr>
          <w:p>
            <w:pPr>
              <w:pStyle w:val="105"/>
            </w:pPr>
            <w:r>
              <w:rPr>
                <w:spacing w:val="-4"/>
              </w:rPr>
              <w:t>15.75</w:t>
            </w:r>
          </w:p>
        </w:tc>
        <w:tc>
          <w:tcPr>
            <w:tcW w:w="1414" w:type="dxa"/>
          </w:tcPr>
          <w:p>
            <w:pPr>
              <w:pStyle w:val="105"/>
            </w:pPr>
            <w:r>
              <w:rPr>
                <w:spacing w:val="-4"/>
              </w:rPr>
              <w:t>0.950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UE</w:t>
            </w:r>
            <w:r>
              <w:rPr>
                <w:spacing w:val="-1"/>
              </w:rPr>
              <w:t xml:space="preserve"> </w:t>
            </w:r>
            <w:r>
              <w:t xml:space="preserve">DL </w:t>
            </w:r>
            <w:r>
              <w:rPr>
                <w:spacing w:val="-2"/>
              </w:rPr>
              <w:t>Category</w:t>
            </w:r>
          </w:p>
        </w:tc>
        <w:tc>
          <w:tcPr>
            <w:tcW w:w="1843" w:type="dxa"/>
          </w:tcPr>
          <w:p>
            <w:pPr>
              <w:pStyle w:val="105"/>
            </w:pPr>
          </w:p>
        </w:tc>
        <w:tc>
          <w:tcPr>
            <w:tcW w:w="1701" w:type="dxa"/>
          </w:tcPr>
          <w:p>
            <w:pPr>
              <w:pStyle w:val="105"/>
            </w:pPr>
            <w:r>
              <w:t>M1</w:t>
            </w:r>
          </w:p>
        </w:tc>
        <w:tc>
          <w:tcPr>
            <w:tcW w:w="1559" w:type="dxa"/>
          </w:tcPr>
          <w:p>
            <w:pPr>
              <w:pStyle w:val="105"/>
            </w:pPr>
            <w:r>
              <w:t>M1</w:t>
            </w:r>
          </w:p>
        </w:tc>
        <w:tc>
          <w:tcPr>
            <w:tcW w:w="1414" w:type="dxa"/>
          </w:tcPr>
          <w:p>
            <w:pPr>
              <w:pStyle w:val="105"/>
            </w:pPr>
            <w: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1" w:type="dxa"/>
            <w:gridSpan w:val="5"/>
          </w:tcPr>
          <w:p>
            <w:pPr>
              <w:pStyle w:val="118"/>
              <w:rPr>
                <w:rFonts w:eastAsia="MS Mincho" w:cs="Arial"/>
                <w:lang w:eastAsia="ja-JP"/>
              </w:rPr>
            </w:pPr>
            <w:r>
              <w:rPr>
                <w:rFonts w:eastAsia="MS Mincho" w:cs="Arial"/>
                <w:lang w:eastAsia="ja-JP"/>
              </w:rPr>
              <w:t xml:space="preserve">Note </w:t>
            </w:r>
            <w:r>
              <w:rPr>
                <w:rFonts w:cs="Arial"/>
                <w:lang w:eastAsia="zh-CN"/>
              </w:rPr>
              <w:t>1</w:t>
            </w:r>
            <w:r>
              <w:rPr>
                <w:rFonts w:eastAsia="MS Mincho" w:cs="Arial"/>
                <w:lang w:eastAsia="ja-JP"/>
              </w:rPr>
              <w:t>:</w:t>
            </w:r>
            <w:r>
              <w:rPr>
                <w:szCs w:val="24"/>
                <w:lang w:eastAsia="zh-CN"/>
              </w:rPr>
              <w:tab/>
            </w:r>
            <w:r>
              <w:rPr>
                <w:spacing w:val="-2"/>
              </w:rPr>
              <w:t xml:space="preserve">2 </w:t>
            </w:r>
            <w:r>
              <w:t>symbols</w:t>
            </w:r>
            <w:r>
              <w:rPr>
                <w:spacing w:val="-2"/>
              </w:rPr>
              <w:t xml:space="preserve"> are </w:t>
            </w:r>
            <w:r>
              <w:t>allocated</w:t>
            </w:r>
            <w:r>
              <w:rPr>
                <w:spacing w:val="-3"/>
              </w:rPr>
              <w:t xml:space="preserve"> </w:t>
            </w:r>
            <w:r>
              <w:t xml:space="preserve">to </w:t>
            </w:r>
            <w:r>
              <w:rPr>
                <w:spacing w:val="-2"/>
              </w:rPr>
              <w:t>PDCCH.</w:t>
            </w:r>
          </w:p>
          <w:p>
            <w:pPr>
              <w:pStyle w:val="118"/>
              <w:rPr>
                <w:spacing w:val="-4"/>
              </w:rPr>
            </w:pPr>
            <w:r>
              <w:rPr>
                <w:rFonts w:eastAsia="MS Mincho" w:cs="Arial"/>
                <w:lang w:eastAsia="ja-JP"/>
              </w:rPr>
              <w:t xml:space="preserve">Note </w:t>
            </w:r>
            <w:r>
              <w:rPr>
                <w:rFonts w:cs="Arial"/>
                <w:lang w:eastAsia="zh-CN"/>
              </w:rPr>
              <w:t>2</w:t>
            </w:r>
            <w:r>
              <w:rPr>
                <w:rFonts w:eastAsia="MS Mincho" w:cs="Arial"/>
                <w:lang w:eastAsia="ja-JP"/>
              </w:rPr>
              <w:t>:</w:t>
            </w:r>
            <w:r>
              <w:rPr>
                <w:szCs w:val="24"/>
                <w:lang w:eastAsia="zh-CN"/>
              </w:rPr>
              <w:tab/>
            </w:r>
            <w:r>
              <w:t>Reference</w:t>
            </w:r>
            <w:r>
              <w:rPr>
                <w:spacing w:val="-4"/>
              </w:rPr>
              <w:t xml:space="preserve"> </w:t>
            </w:r>
            <w:r>
              <w:t>signal,</w:t>
            </w:r>
            <w:r>
              <w:rPr>
                <w:spacing w:val="-4"/>
              </w:rPr>
              <w:t xml:space="preserve"> </w:t>
            </w:r>
            <w:r>
              <w:t>synchronization</w:t>
            </w:r>
            <w:r>
              <w:rPr>
                <w:spacing w:val="-4"/>
              </w:rPr>
              <w:t xml:space="preserve"> </w:t>
            </w:r>
            <w:r>
              <w:t>signals</w:t>
            </w:r>
            <w:r>
              <w:rPr>
                <w:spacing w:val="-1"/>
              </w:rPr>
              <w:t xml:space="preserve"> </w:t>
            </w:r>
            <w:r>
              <w:t>and</w:t>
            </w:r>
            <w:r>
              <w:rPr>
                <w:spacing w:val="-2"/>
              </w:rPr>
              <w:t xml:space="preserve"> </w:t>
            </w:r>
            <w:r>
              <w:t>PBCH</w:t>
            </w:r>
            <w:r>
              <w:rPr>
                <w:spacing w:val="-3"/>
              </w:rPr>
              <w:t xml:space="preserve"> are </w:t>
            </w:r>
            <w:r>
              <w:t>allocated</w:t>
            </w:r>
            <w:r>
              <w:rPr>
                <w:spacing w:val="-2"/>
              </w:rPr>
              <w:t xml:space="preserve"> </w:t>
            </w:r>
            <w:r>
              <w:t>as</w:t>
            </w:r>
            <w:r>
              <w:rPr>
                <w:spacing w:val="-1"/>
              </w:rPr>
              <w:t xml:space="preserve"> </w:t>
            </w:r>
            <w:r>
              <w:t>per</w:t>
            </w:r>
            <w:r>
              <w:rPr>
                <w:spacing w:val="-2"/>
              </w:rPr>
              <w:t xml:space="preserve"> </w:t>
            </w:r>
            <w:r>
              <w:t>TS</w:t>
            </w:r>
            <w:r>
              <w:rPr>
                <w:spacing w:val="-2"/>
              </w:rPr>
              <w:t xml:space="preserve"> </w:t>
            </w:r>
            <w:r>
              <w:t>36.211</w:t>
            </w:r>
            <w:r>
              <w:rPr>
                <w:spacing w:val="-3"/>
              </w:rPr>
              <w:t xml:space="preserve"> </w:t>
            </w:r>
            <w:r>
              <w:rPr>
                <w:spacing w:val="-4"/>
              </w:rPr>
              <w:t>[3].</w:t>
            </w:r>
          </w:p>
          <w:p>
            <w:pPr>
              <w:pStyle w:val="118"/>
              <w:rPr>
                <w:rFonts w:eastAsia="MS Mincho" w:cs="Arial"/>
                <w:lang w:eastAsia="ja-JP"/>
              </w:rPr>
            </w:pPr>
            <w:r>
              <w:rPr>
                <w:rFonts w:eastAsia="MS Mincho" w:cs="Arial"/>
                <w:lang w:eastAsia="ja-JP"/>
              </w:rPr>
              <w:t xml:space="preserve">Note </w:t>
            </w:r>
            <w:r>
              <w:rPr>
                <w:rFonts w:cs="Arial"/>
                <w:lang w:eastAsia="zh-CN"/>
              </w:rPr>
              <w:t>3</w:t>
            </w:r>
            <w:r>
              <w:rPr>
                <w:rFonts w:eastAsia="MS Mincho" w:cs="Arial"/>
                <w:lang w:eastAsia="ja-JP"/>
              </w:rPr>
              <w:t>:</w:t>
            </w:r>
            <w:r>
              <w:rPr>
                <w:szCs w:val="24"/>
                <w:lang w:eastAsia="zh-CN"/>
              </w:rPr>
              <w:tab/>
            </w:r>
            <w:r>
              <w:rPr>
                <w:spacing w:val="-2"/>
              </w:rPr>
              <w:t xml:space="preserve">2 </w:t>
            </w:r>
            <w:r>
              <w:t>symbols</w:t>
            </w:r>
            <w:r>
              <w:rPr>
                <w:spacing w:val="-2"/>
              </w:rPr>
              <w:t xml:space="preserve"> are </w:t>
            </w:r>
            <w:r>
              <w:t>allocated</w:t>
            </w:r>
            <w:r>
              <w:rPr>
                <w:spacing w:val="-3"/>
              </w:rPr>
              <w:t xml:space="preserve"> </w:t>
            </w:r>
            <w:r>
              <w:t xml:space="preserve">to </w:t>
            </w:r>
            <w:r>
              <w:rPr>
                <w:spacing w:val="-2"/>
              </w:rPr>
              <w:t>PDCCH.</w:t>
            </w:r>
          </w:p>
          <w:p>
            <w:pPr>
              <w:pStyle w:val="118"/>
              <w:rPr>
                <w:rFonts w:cs="Arial"/>
                <w:lang w:eastAsia="zh-CN"/>
              </w:rPr>
            </w:pPr>
            <w:r>
              <w:rPr>
                <w:rFonts w:eastAsia="MS Mincho" w:cs="Arial"/>
                <w:lang w:eastAsia="ja-JP"/>
              </w:rPr>
              <w:t xml:space="preserve">Note </w:t>
            </w:r>
            <w:r>
              <w:rPr>
                <w:rFonts w:cs="Arial"/>
                <w:lang w:eastAsia="zh-CN"/>
              </w:rPr>
              <w:t>4</w:t>
            </w:r>
            <w:r>
              <w:rPr>
                <w:rFonts w:eastAsia="MS Mincho" w:cs="Arial"/>
                <w:lang w:eastAsia="ja-JP"/>
              </w:rPr>
              <w:t>:</w:t>
            </w:r>
            <w:r>
              <w:rPr>
                <w:szCs w:val="24"/>
                <w:lang w:eastAsia="zh-CN"/>
              </w:rPr>
              <w:tab/>
            </w:r>
            <w:r>
              <w:rPr>
                <w:lang w:val="en-US" w:eastAsia="zh-CN"/>
              </w:rPr>
              <w:t>The downlink subframes are scheduled at the 8</w:t>
            </w:r>
            <w:r>
              <w:rPr>
                <w:vertAlign w:val="superscript"/>
                <w:lang w:val="en-US" w:eastAsia="zh-CN"/>
              </w:rPr>
              <w:t>th</w:t>
            </w:r>
            <w:r>
              <w:rPr>
                <w:lang w:val="en-US" w:eastAsia="zh-CN"/>
              </w:rPr>
              <w:t xml:space="preserve"> and 9</w:t>
            </w:r>
            <w:r>
              <w:rPr>
                <w:vertAlign w:val="superscript"/>
                <w:lang w:val="en-US" w:eastAsia="zh-CN"/>
              </w:rPr>
              <w:t>th</w:t>
            </w:r>
            <w:r>
              <w:rPr>
                <w:lang w:val="en-US" w:eastAsia="zh-CN"/>
              </w:rPr>
              <w:t xml:space="preserve"> subframes every 10ms (starting from 0th </w:t>
            </w:r>
            <w:r>
              <w:rPr>
                <w:rFonts w:cs="Arial"/>
                <w:lang w:eastAsia="zh-CN"/>
              </w:rPr>
              <w:t>subframe). Information</w:t>
            </w:r>
            <w:r>
              <w:rPr>
                <w:rFonts w:cs="Arial"/>
                <w:lang w:val="en-US" w:eastAsia="zh-CN"/>
              </w:rPr>
              <w:t xml:space="preserve"> </w:t>
            </w:r>
            <w:r>
              <w:rPr>
                <w:rFonts w:cs="Arial"/>
                <w:lang w:eastAsia="zh-CN"/>
              </w:rPr>
              <w:t xml:space="preserve">bit payload is available from the </w:t>
            </w:r>
            <w:r>
              <w:rPr>
                <w:lang w:val="en-US" w:eastAsia="zh-CN"/>
              </w:rPr>
              <w:t>8</w:t>
            </w:r>
            <w:r>
              <w:rPr>
                <w:vertAlign w:val="superscript"/>
                <w:lang w:val="en-US" w:eastAsia="zh-CN"/>
              </w:rPr>
              <w:t>th</w:t>
            </w:r>
            <w:r>
              <w:rPr>
                <w:rFonts w:cs="Arial"/>
                <w:lang w:eastAsia="zh-CN"/>
              </w:rPr>
              <w:t xml:space="preserve"> to</w:t>
            </w:r>
            <w:r>
              <w:rPr>
                <w:rFonts w:cs="Arial"/>
                <w:lang w:val="en-US" w:eastAsia="zh-CN"/>
              </w:rPr>
              <w:t xml:space="preserve"> </w:t>
            </w:r>
            <w:r>
              <w:rPr>
                <w:lang w:val="en-US" w:eastAsia="zh-CN"/>
              </w:rPr>
              <w:t>9</w:t>
            </w:r>
            <w:r>
              <w:rPr>
                <w:vertAlign w:val="superscript"/>
                <w:lang w:val="en-US" w:eastAsia="zh-CN"/>
              </w:rPr>
              <w:t>th</w:t>
            </w:r>
            <w:r>
              <w:rPr>
                <w:rFonts w:cs="Arial"/>
                <w:lang w:eastAsia="zh-CN"/>
              </w:rPr>
              <w:t xml:space="preserve"> subframes</w:t>
            </w:r>
            <w:r>
              <w:rPr>
                <w:rFonts w:cs="Arial"/>
                <w:lang w:eastAsia="zh-TW"/>
              </w:rPr>
              <w:t>.</w:t>
            </w:r>
            <w:r>
              <w:rPr>
                <w:rFonts w:cs="Arial"/>
                <w:lang w:eastAsia="zh-CN"/>
              </w:rPr>
              <w:t xml:space="preserve"> The corresponding MPDCCH is scheduled 2 subframes before the corresponding PDSCH transmissions.</w:t>
            </w:r>
          </w:p>
          <w:p>
            <w:pPr>
              <w:pStyle w:val="118"/>
              <w:rPr>
                <w:rFonts w:eastAsia="MS Mincho" w:cs="Arial"/>
                <w:lang w:eastAsia="ja-JP"/>
              </w:rPr>
            </w:pPr>
            <w:r>
              <w:rPr>
                <w:rFonts w:eastAsia="MS Mincho" w:cs="Arial"/>
                <w:lang w:eastAsia="ja-JP"/>
              </w:rPr>
              <w:t xml:space="preserve">Note </w:t>
            </w:r>
            <w:r>
              <w:rPr>
                <w:rFonts w:cs="Arial"/>
                <w:lang w:eastAsia="zh-CN"/>
              </w:rPr>
              <w:t>5</w:t>
            </w:r>
            <w:r>
              <w:rPr>
                <w:rFonts w:eastAsia="MS Mincho" w:cs="Arial"/>
                <w:lang w:eastAsia="ja-JP"/>
              </w:rPr>
              <w:t>:</w:t>
            </w:r>
            <w:r>
              <w:rPr>
                <w:szCs w:val="24"/>
                <w:lang w:eastAsia="zh-CN"/>
              </w:rPr>
              <w:tab/>
            </w:r>
            <w:r>
              <w:rPr>
                <w:szCs w:val="24"/>
                <w:lang w:eastAsia="zh-CN"/>
              </w:rPr>
              <w:t>PDSCH subframes are scheduled at the 10</w:t>
            </w:r>
            <w:r>
              <w:rPr>
                <w:szCs w:val="24"/>
                <w:vertAlign w:val="superscript"/>
                <w:lang w:eastAsia="zh-CN"/>
              </w:rPr>
              <w:t>th</w:t>
            </w:r>
            <w:r>
              <w:rPr>
                <w:szCs w:val="24"/>
                <w:lang w:eastAsia="zh-CN"/>
              </w:rPr>
              <w:t xml:space="preserve"> to 17</w:t>
            </w:r>
            <w:r>
              <w:rPr>
                <w:szCs w:val="24"/>
                <w:vertAlign w:val="superscript"/>
                <w:lang w:eastAsia="zh-CN"/>
              </w:rPr>
              <w:t>th</w:t>
            </w:r>
            <w:r>
              <w:rPr>
                <w:szCs w:val="24"/>
                <w:lang w:eastAsia="zh-CN"/>
              </w:rPr>
              <w:t xml:space="preserve"> subframes every period (32ms). Information bit payload is available from the 10</w:t>
            </w:r>
            <w:r>
              <w:rPr>
                <w:szCs w:val="24"/>
                <w:vertAlign w:val="superscript"/>
                <w:lang w:eastAsia="zh-CN"/>
              </w:rPr>
              <w:t>th</w:t>
            </w:r>
            <w:r>
              <w:rPr>
                <w:szCs w:val="24"/>
                <w:lang w:eastAsia="zh-CN"/>
              </w:rPr>
              <w:t xml:space="preserve"> to 17</w:t>
            </w:r>
            <w:r>
              <w:rPr>
                <w:szCs w:val="24"/>
                <w:vertAlign w:val="superscript"/>
                <w:lang w:eastAsia="zh-CN"/>
              </w:rPr>
              <w:t>th</w:t>
            </w:r>
            <w:r>
              <w:rPr>
                <w:szCs w:val="24"/>
                <w:lang w:eastAsia="zh-CN"/>
              </w:rPr>
              <w:t xml:space="preserve"> subframes with repetition. (Starting from the 0</w:t>
            </w:r>
            <w:r>
              <w:rPr>
                <w:szCs w:val="24"/>
                <w:vertAlign w:val="superscript"/>
                <w:lang w:eastAsia="zh-CN"/>
              </w:rPr>
              <w:t>th</w:t>
            </w:r>
            <w:r>
              <w:rPr>
                <w:szCs w:val="24"/>
                <w:lang w:eastAsia="zh-CN"/>
              </w:rPr>
              <w:t xml:space="preserve"> subframe)</w:t>
            </w:r>
            <w:r>
              <w:rPr>
                <w:szCs w:val="24"/>
                <w:lang w:val="en-US" w:eastAsia="zh-CN"/>
              </w:rPr>
              <w:t>. The corresponding MPDCCH is scheduled from 1</w:t>
            </w:r>
            <w:r>
              <w:rPr>
                <w:szCs w:val="24"/>
                <w:vertAlign w:val="superscript"/>
                <w:lang w:val="en-US" w:eastAsia="zh-CN"/>
              </w:rPr>
              <w:t>st</w:t>
            </w:r>
            <w:r>
              <w:rPr>
                <w:szCs w:val="24"/>
                <w:lang w:val="en-US" w:eastAsia="zh-CN"/>
              </w:rPr>
              <w:t xml:space="preserve"> to 8</w:t>
            </w:r>
            <w:r>
              <w:rPr>
                <w:szCs w:val="24"/>
                <w:vertAlign w:val="superscript"/>
                <w:lang w:val="en-US" w:eastAsia="zh-CN"/>
              </w:rPr>
              <w:t>th</w:t>
            </w:r>
            <w:r>
              <w:rPr>
                <w:szCs w:val="24"/>
                <w:lang w:val="en-US" w:eastAsia="zh-CN"/>
              </w:rPr>
              <w:t xml:space="preserve"> subframe every 32ms (starting from 0</w:t>
            </w:r>
            <w:r>
              <w:rPr>
                <w:szCs w:val="24"/>
                <w:vertAlign w:val="superscript"/>
                <w:lang w:val="en-US" w:eastAsia="zh-CN"/>
              </w:rPr>
              <w:t>th</w:t>
            </w:r>
            <w:r>
              <w:rPr>
                <w:szCs w:val="24"/>
                <w:lang w:val="en-US" w:eastAsia="zh-CN"/>
              </w:rPr>
              <w:t xml:space="preserve"> subframe).</w:t>
            </w:r>
          </w:p>
          <w:p>
            <w:pPr>
              <w:pStyle w:val="118"/>
              <w:rPr>
                <w:rFonts w:eastAsiaTheme="minorEastAsia"/>
                <w:szCs w:val="24"/>
                <w:lang w:val="en-US" w:eastAsia="zh-CN"/>
              </w:rPr>
            </w:pPr>
            <w:r>
              <w:rPr>
                <w:rFonts w:eastAsia="MS Mincho" w:cs="Arial"/>
                <w:lang w:eastAsia="ja-JP"/>
              </w:rPr>
              <w:t xml:space="preserve">Note </w:t>
            </w:r>
            <w:r>
              <w:rPr>
                <w:rFonts w:cs="Arial"/>
                <w:lang w:eastAsia="zh-CN"/>
              </w:rPr>
              <w:t>6</w:t>
            </w:r>
            <w:r>
              <w:rPr>
                <w:rFonts w:eastAsia="MS Mincho" w:cs="Arial"/>
                <w:lang w:eastAsia="ja-JP"/>
              </w:rPr>
              <w:t>:</w:t>
            </w:r>
            <w:r>
              <w:rPr>
                <w:szCs w:val="24"/>
                <w:lang w:eastAsia="zh-CN"/>
              </w:rPr>
              <w:tab/>
            </w:r>
            <w:r>
              <w:rPr>
                <w:szCs w:val="24"/>
                <w:lang w:val="en-US" w:eastAsia="zh-CN"/>
              </w:rPr>
              <w:t>PDSCH subframes are scheduled at the 96</w:t>
            </w:r>
            <w:r>
              <w:rPr>
                <w:szCs w:val="24"/>
                <w:vertAlign w:val="superscript"/>
                <w:lang w:eastAsia="zh-CN"/>
              </w:rPr>
              <w:t>th</w:t>
            </w:r>
            <w:r>
              <w:rPr>
                <w:szCs w:val="24"/>
                <w:lang w:val="en-US" w:eastAsia="zh-CN"/>
              </w:rPr>
              <w:t xml:space="preserve"> to 159</w:t>
            </w:r>
            <w:r>
              <w:rPr>
                <w:szCs w:val="24"/>
                <w:vertAlign w:val="superscript"/>
                <w:lang w:eastAsia="zh-CN"/>
              </w:rPr>
              <w:t>th</w:t>
            </w:r>
            <w:r>
              <w:rPr>
                <w:szCs w:val="24"/>
                <w:lang w:val="en-US" w:eastAsia="zh-CN"/>
              </w:rPr>
              <w:t xml:space="preserve"> subframes every period (160ms). Information bit payload is available at the 96</w:t>
            </w:r>
            <w:r>
              <w:rPr>
                <w:szCs w:val="24"/>
                <w:vertAlign w:val="superscript"/>
                <w:lang w:eastAsia="zh-CN"/>
              </w:rPr>
              <w:t>th</w:t>
            </w:r>
            <w:r>
              <w:rPr>
                <w:szCs w:val="24"/>
                <w:lang w:val="en-US" w:eastAsia="zh-CN"/>
              </w:rPr>
              <w:t xml:space="preserve"> to 159</w:t>
            </w:r>
            <w:r>
              <w:rPr>
                <w:szCs w:val="24"/>
                <w:vertAlign w:val="superscript"/>
                <w:lang w:eastAsia="zh-CN"/>
              </w:rPr>
              <w:t>th</w:t>
            </w:r>
            <w:r>
              <w:rPr>
                <w:szCs w:val="24"/>
                <w:lang w:val="en-US" w:eastAsia="zh-CN"/>
              </w:rPr>
              <w:t xml:space="preserve"> subframes with repetition. (Starting from the 0th subframe) The corresponding MPDCCH is scheduled from 31</w:t>
            </w:r>
            <w:r>
              <w:rPr>
                <w:szCs w:val="24"/>
                <w:vertAlign w:val="superscript"/>
                <w:lang w:val="en-US" w:eastAsia="zh-CN"/>
              </w:rPr>
              <w:t>st</w:t>
            </w:r>
            <w:r>
              <w:rPr>
                <w:szCs w:val="24"/>
                <w:lang w:val="en-US" w:eastAsia="zh-CN"/>
              </w:rPr>
              <w:t xml:space="preserve"> to 94</w:t>
            </w:r>
            <w:r>
              <w:rPr>
                <w:szCs w:val="24"/>
                <w:vertAlign w:val="superscript"/>
                <w:lang w:val="en-US" w:eastAsia="zh-CN"/>
              </w:rPr>
              <w:t>th</w:t>
            </w:r>
            <w:r>
              <w:rPr>
                <w:szCs w:val="24"/>
                <w:lang w:val="en-US" w:eastAsia="zh-CN"/>
              </w:rPr>
              <w:t xml:space="preserve"> subframe every 160ms (starting from 0</w:t>
            </w:r>
            <w:r>
              <w:rPr>
                <w:szCs w:val="24"/>
                <w:vertAlign w:val="superscript"/>
                <w:lang w:val="en-US" w:eastAsia="zh-CN"/>
              </w:rPr>
              <w:t>th</w:t>
            </w:r>
            <w:r>
              <w:rPr>
                <w:szCs w:val="24"/>
                <w:lang w:val="en-US" w:eastAsia="zh-CN"/>
              </w:rPr>
              <w:t xml:space="preserve"> subframe).</w:t>
            </w:r>
          </w:p>
          <w:p>
            <w:pPr>
              <w:pStyle w:val="118"/>
              <w:rPr>
                <w:rFonts w:eastAsia="MS Mincho" w:cs="Arial"/>
                <w:lang w:eastAsia="ja-JP"/>
              </w:rPr>
            </w:pPr>
            <w:r>
              <w:rPr>
                <w:rFonts w:eastAsia="MS Mincho" w:cs="Arial"/>
                <w:lang w:eastAsia="ja-JP"/>
              </w:rPr>
              <w:t xml:space="preserve">Note </w:t>
            </w:r>
            <w:r>
              <w:rPr>
                <w:rFonts w:cs="Arial"/>
                <w:lang w:eastAsia="zh-CN"/>
              </w:rPr>
              <w:t>7</w:t>
            </w:r>
            <w:r>
              <w:rPr>
                <w:rFonts w:eastAsia="MS Mincho" w:cs="Arial"/>
                <w:lang w:eastAsia="ja-JP"/>
              </w:rPr>
              <w:t>:</w:t>
            </w:r>
            <w:r>
              <w:rPr>
                <w:szCs w:val="24"/>
                <w:lang w:eastAsia="zh-CN"/>
              </w:rPr>
              <w:tab/>
            </w:r>
            <w:r>
              <w:t>MPDCCH, and PDSCH are dropped when overlapped with SIB1-BR, or SIB2 or SIB3.</w:t>
            </w:r>
          </w:p>
          <w:p>
            <w:pPr>
              <w:pStyle w:val="118"/>
            </w:pPr>
            <w:r>
              <w:rPr>
                <w:rFonts w:eastAsia="MS Mincho" w:cs="Arial"/>
                <w:lang w:eastAsia="ja-JP"/>
              </w:rPr>
              <w:t xml:space="preserve">Note </w:t>
            </w:r>
            <w:r>
              <w:rPr>
                <w:rFonts w:cs="Arial"/>
                <w:lang w:eastAsia="zh-CN"/>
              </w:rPr>
              <w:t>8</w:t>
            </w:r>
            <w:r>
              <w:rPr>
                <w:rFonts w:eastAsia="MS Mincho" w:cs="Arial"/>
                <w:lang w:eastAsia="ja-JP"/>
              </w:rPr>
              <w:t>:</w:t>
            </w:r>
            <w:r>
              <w:rPr>
                <w:szCs w:val="24"/>
                <w:lang w:eastAsia="zh-CN"/>
              </w:rPr>
              <w:tab/>
            </w:r>
            <w:r>
              <w:t>MPDCCH, and PDSCH are punctured in overlapping Resource Elements (RE)s with PSS/SSS/PBCH.</w:t>
            </w:r>
          </w:p>
        </w:tc>
      </w:tr>
    </w:tbl>
    <w:p>
      <w:pPr>
        <w:jc w:val="center"/>
      </w:pPr>
    </w:p>
    <w:p>
      <w:bookmarkStart w:id="1773" w:name="_Toc232582119"/>
    </w:p>
    <w:bookmarkEnd w:id="1773"/>
    <w:p>
      <w:pPr>
        <w:pStyle w:val="4"/>
        <w:rPr>
          <w:rFonts w:eastAsia="宋体"/>
          <w:lang w:val="en-US" w:eastAsia="zh-CN"/>
        </w:rPr>
      </w:pPr>
      <w:bookmarkStart w:id="1774" w:name="_Toc232582128"/>
      <w:bookmarkStart w:id="1775" w:name="_Toc22977"/>
      <w:bookmarkStart w:id="1776" w:name="_Toc13975"/>
      <w:bookmarkStart w:id="1777" w:name="_Toc32075"/>
      <w:bookmarkStart w:id="1778" w:name="_Toc14936"/>
      <w:bookmarkStart w:id="1779" w:name="_Toc20977"/>
      <w:r>
        <w:t>A.3.5</w:t>
      </w:r>
      <w:r>
        <w:tab/>
      </w:r>
      <w:bookmarkEnd w:id="1774"/>
      <w:bookmarkStart w:id="1780" w:name="_Toc232582130"/>
      <w:r>
        <w:rPr>
          <w:rFonts w:eastAsia="宋体"/>
          <w:lang w:val="en-US" w:eastAsia="zh-CN"/>
        </w:rPr>
        <w:t>FFS</w:t>
      </w:r>
      <w:bookmarkEnd w:id="1775"/>
      <w:bookmarkEnd w:id="1776"/>
      <w:bookmarkEnd w:id="1777"/>
      <w:bookmarkEnd w:id="1778"/>
      <w:bookmarkEnd w:id="1779"/>
    </w:p>
    <w:bookmarkEnd w:id="1780"/>
    <w:p>
      <w:pPr>
        <w:rPr>
          <w:rFonts w:eastAsia="宋体"/>
          <w:lang w:val="en-US" w:eastAsia="zh-CN"/>
        </w:rPr>
      </w:pPr>
    </w:p>
    <w:p>
      <w:pPr>
        <w:pStyle w:val="4"/>
      </w:pPr>
      <w:bookmarkStart w:id="1781" w:name="_Toc9138"/>
      <w:bookmarkStart w:id="1782" w:name="_Toc22541"/>
      <w:bookmarkStart w:id="1783" w:name="_Toc11012"/>
      <w:bookmarkStart w:id="1784" w:name="_Toc16078"/>
      <w:bookmarkStart w:id="1785" w:name="_Toc16402"/>
      <w:r>
        <w:t>A.3.7</w:t>
      </w:r>
      <w:r>
        <w:tab/>
      </w:r>
      <w:r>
        <w:t>FFS</w:t>
      </w:r>
      <w:bookmarkEnd w:id="1781"/>
      <w:bookmarkEnd w:id="1782"/>
      <w:bookmarkEnd w:id="1783"/>
      <w:bookmarkEnd w:id="1784"/>
      <w:bookmarkEnd w:id="1785"/>
    </w:p>
    <w:p/>
    <w:p>
      <w:pPr>
        <w:pStyle w:val="4"/>
      </w:pPr>
      <w:bookmarkStart w:id="1786" w:name="_Toc3995"/>
      <w:bookmarkStart w:id="1787" w:name="_Toc10341"/>
      <w:bookmarkStart w:id="1788" w:name="_Toc14977"/>
      <w:bookmarkStart w:id="1789" w:name="_Toc13778"/>
      <w:bookmarkStart w:id="1790" w:name="_Toc11870"/>
      <w:r>
        <w:t>A.3.8</w:t>
      </w:r>
      <w:r>
        <w:tab/>
      </w:r>
      <w:r>
        <w:t>FFS</w:t>
      </w:r>
      <w:bookmarkEnd w:id="1786"/>
      <w:bookmarkEnd w:id="1787"/>
      <w:bookmarkEnd w:id="1788"/>
      <w:bookmarkEnd w:id="1789"/>
      <w:bookmarkEnd w:id="1790"/>
    </w:p>
    <w:p>
      <w:pPr>
        <w:rPr>
          <w:rFonts w:eastAsia="MS Mincho"/>
        </w:rPr>
      </w:pPr>
    </w:p>
    <w:p>
      <w:pPr>
        <w:pStyle w:val="4"/>
        <w:rPr>
          <w:rFonts w:eastAsia="宋体"/>
          <w:lang w:val="en-US" w:eastAsia="zh-CN"/>
        </w:rPr>
      </w:pPr>
      <w:bookmarkStart w:id="1791" w:name="_Toc28150"/>
      <w:bookmarkStart w:id="1792" w:name="_Toc14928"/>
      <w:bookmarkStart w:id="1793" w:name="_Toc22973"/>
      <w:bookmarkStart w:id="1794" w:name="_Toc3728"/>
      <w:bookmarkStart w:id="1795" w:name="_Toc28305"/>
      <w:r>
        <w:rPr>
          <w:rFonts w:eastAsia="MS Mincho"/>
        </w:rPr>
        <w:t>A.3.9</w:t>
      </w:r>
      <w:r>
        <w:rPr>
          <w:rFonts w:eastAsia="MS Mincho"/>
        </w:rPr>
        <w:tab/>
      </w:r>
      <w:r>
        <w:rPr>
          <w:rFonts w:hint="eastAsia" w:eastAsia="宋体"/>
          <w:lang w:val="en-US" w:eastAsia="zh-CN"/>
        </w:rPr>
        <w:t>FFS</w:t>
      </w:r>
      <w:bookmarkEnd w:id="1791"/>
      <w:bookmarkEnd w:id="1792"/>
      <w:bookmarkEnd w:id="1793"/>
      <w:bookmarkEnd w:id="1794"/>
      <w:bookmarkEnd w:id="1795"/>
    </w:p>
    <w:p>
      <w:pPr>
        <w:rPr>
          <w:lang w:eastAsia="ja-JP"/>
        </w:rPr>
      </w:pPr>
    </w:p>
    <w:p>
      <w:pPr>
        <w:pStyle w:val="4"/>
        <w:rPr>
          <w:rFonts w:eastAsia="宋体"/>
          <w:lang w:val="en-US" w:eastAsia="zh-CN"/>
        </w:rPr>
      </w:pPr>
      <w:bookmarkStart w:id="1796" w:name="_Toc319859985"/>
      <w:bookmarkStart w:id="1797" w:name="_Toc19913"/>
      <w:bookmarkStart w:id="1798" w:name="_Toc21945"/>
      <w:bookmarkStart w:id="1799" w:name="_Toc1285"/>
      <w:bookmarkStart w:id="1800" w:name="_Toc29822"/>
      <w:bookmarkStart w:id="1801" w:name="_Toc19801"/>
      <w:r>
        <w:t>A</w:t>
      </w:r>
      <w:r>
        <w:rPr>
          <w:lang w:eastAsia="zh-CN"/>
        </w:rPr>
        <w:t>.</w:t>
      </w:r>
      <w:r>
        <w:t>3.10</w:t>
      </w:r>
      <w:r>
        <w:tab/>
      </w:r>
      <w:bookmarkEnd w:id="1796"/>
      <w:r>
        <w:rPr>
          <w:rFonts w:hint="eastAsia" w:eastAsia="宋体"/>
          <w:lang w:val="en-US" w:eastAsia="zh-CN"/>
        </w:rPr>
        <w:t>FFS</w:t>
      </w:r>
      <w:bookmarkEnd w:id="1797"/>
      <w:bookmarkEnd w:id="1798"/>
      <w:bookmarkEnd w:id="1799"/>
      <w:bookmarkEnd w:id="1800"/>
      <w:bookmarkEnd w:id="1801"/>
    </w:p>
    <w:p>
      <w:pPr>
        <w:rPr>
          <w:lang w:val="en-US" w:eastAsia="zh-CN"/>
        </w:rPr>
      </w:pPr>
    </w:p>
    <w:p>
      <w:pPr>
        <w:pStyle w:val="4"/>
      </w:pPr>
      <w:bookmarkStart w:id="1802" w:name="_Toc17968"/>
      <w:bookmarkStart w:id="1803" w:name="_Toc24384"/>
      <w:bookmarkStart w:id="1804" w:name="_Toc31810"/>
      <w:bookmarkStart w:id="1805" w:name="_Toc17683"/>
      <w:bookmarkStart w:id="1806" w:name="_Toc3556"/>
      <w:r>
        <w:t>A.3.</w:t>
      </w:r>
      <w:r>
        <w:rPr>
          <w:lang w:eastAsia="zh-CN"/>
        </w:rPr>
        <w:t>11</w:t>
      </w:r>
      <w:r>
        <w:tab/>
      </w:r>
      <w:r>
        <w:t xml:space="preserve">Reference Measurement Channels for </w:t>
      </w:r>
      <w:r>
        <w:rPr>
          <w:lang w:eastAsia="zh-CN"/>
        </w:rPr>
        <w:t>M</w:t>
      </w:r>
      <w:r>
        <w:t>PDCCH performance requirements</w:t>
      </w:r>
      <w:bookmarkEnd w:id="1802"/>
      <w:bookmarkEnd w:id="1803"/>
      <w:bookmarkEnd w:id="1804"/>
      <w:bookmarkEnd w:id="1805"/>
      <w:bookmarkEnd w:id="1806"/>
    </w:p>
    <w:p>
      <w:pPr>
        <w:pStyle w:val="5"/>
        <w:rPr>
          <w:rFonts w:eastAsia="MS Mincho"/>
        </w:rPr>
      </w:pPr>
      <w:bookmarkStart w:id="1807" w:name="_Toc30063"/>
      <w:bookmarkStart w:id="1808" w:name="_Toc26489"/>
      <w:bookmarkStart w:id="1809" w:name="_Toc14987"/>
      <w:bookmarkStart w:id="1810" w:name="_Toc17290"/>
      <w:bookmarkStart w:id="1811" w:name="_Toc27095"/>
      <w:r>
        <w:rPr>
          <w:rFonts w:eastAsia="MS Mincho"/>
        </w:rPr>
        <w:t>A.3.</w:t>
      </w:r>
      <w:r>
        <w:rPr>
          <w:lang w:eastAsia="zh-CN"/>
        </w:rPr>
        <w:t>11</w:t>
      </w:r>
      <w:r>
        <w:rPr>
          <w:rFonts w:eastAsia="MS Mincho"/>
        </w:rPr>
        <w:t>.1</w:t>
      </w:r>
      <w:r>
        <w:rPr>
          <w:rFonts w:eastAsia="MS Mincho"/>
        </w:rPr>
        <w:tab/>
      </w:r>
      <w:r>
        <w:rPr>
          <w:rFonts w:eastAsia="MS Mincho"/>
        </w:rPr>
        <w:t>FDD and half-duplex FDD</w:t>
      </w:r>
      <w:bookmarkEnd w:id="1807"/>
      <w:bookmarkEnd w:id="1808"/>
      <w:bookmarkEnd w:id="1809"/>
      <w:bookmarkEnd w:id="1810"/>
      <w:bookmarkEnd w:id="1811"/>
    </w:p>
    <w:p>
      <w:pPr>
        <w:rPr>
          <w:lang w:val="en-US" w:eastAsia="zh-CN"/>
        </w:rPr>
      </w:pPr>
      <w:r>
        <w:rPr>
          <w:rFonts w:hint="eastAsia"/>
          <w:lang w:val="en-US" w:eastAsia="zh-CN"/>
        </w:rPr>
        <w:t>FFS</w:t>
      </w:r>
    </w:p>
    <w:p>
      <w:pPr>
        <w:pStyle w:val="4"/>
      </w:pPr>
      <w:bookmarkStart w:id="1812" w:name="_Toc15461"/>
      <w:bookmarkStart w:id="1813" w:name="_Toc16999"/>
      <w:bookmarkStart w:id="1814" w:name="_Toc11073"/>
      <w:bookmarkStart w:id="1815" w:name="_Toc27107"/>
      <w:bookmarkStart w:id="1816" w:name="_Toc24704"/>
      <w:r>
        <w:t>A.3.12</w:t>
      </w:r>
      <w:r>
        <w:tab/>
      </w:r>
      <w:r>
        <w:t>Reference measurement channels for NPDSCH performance requirements</w:t>
      </w:r>
      <w:bookmarkEnd w:id="1812"/>
      <w:bookmarkEnd w:id="1813"/>
      <w:bookmarkEnd w:id="1814"/>
      <w:bookmarkEnd w:id="1815"/>
      <w:bookmarkEnd w:id="1816"/>
    </w:p>
    <w:p>
      <w:pPr>
        <w:pStyle w:val="112"/>
        <w:rPr>
          <w:lang w:eastAsia="zh-CN"/>
        </w:rPr>
      </w:pPr>
      <w:r>
        <w:rPr>
          <w:lang w:eastAsia="zh-CN"/>
        </w:rPr>
        <w:t>Editor’s note: The note 2 in Table A.3.12.1.2-1 and note 1 in Table A.3.12.2.1-1 are still under discussion with RAN4.</w:t>
      </w:r>
    </w:p>
    <w:p>
      <w:pPr>
        <w:keepNext/>
        <w:keepLines/>
        <w:overflowPunct w:val="0"/>
        <w:autoSpaceDE w:val="0"/>
        <w:autoSpaceDN w:val="0"/>
        <w:adjustRightInd w:val="0"/>
        <w:spacing w:before="120"/>
        <w:ind w:left="1134" w:hanging="1134"/>
        <w:textAlignment w:val="baseline"/>
        <w:outlineLvl w:val="2"/>
        <w:rPr>
          <w:rFonts w:ascii="Arial" w:hAnsi="Arial"/>
          <w:snapToGrid w:val="0"/>
          <w:sz w:val="28"/>
          <w:lang w:eastAsia="zh-CN"/>
        </w:rPr>
      </w:pPr>
      <w:r>
        <w:rPr>
          <w:rFonts w:ascii="Arial" w:hAnsi="Arial"/>
          <w:snapToGrid w:val="0"/>
          <w:sz w:val="28"/>
          <w:lang w:eastAsia="zh-CN"/>
        </w:rPr>
        <w:t>A.3.12.1</w:t>
      </w:r>
      <w:r>
        <w:rPr>
          <w:rFonts w:ascii="Arial" w:hAnsi="Arial"/>
          <w:snapToGrid w:val="0"/>
          <w:sz w:val="28"/>
          <w:lang w:eastAsia="zh-CN"/>
        </w:rPr>
        <w:tab/>
      </w:r>
      <w:r>
        <w:rPr>
          <w:rFonts w:ascii="Arial" w:hAnsi="Arial"/>
          <w:snapToGrid w:val="0"/>
          <w:sz w:val="28"/>
          <w:lang w:eastAsia="zh-CN"/>
        </w:rPr>
        <w:tab/>
      </w:r>
      <w:r>
        <w:rPr>
          <w:rFonts w:ascii="Arial" w:hAnsi="Arial"/>
          <w:snapToGrid w:val="0"/>
          <w:sz w:val="28"/>
          <w:lang w:eastAsia="zh-CN"/>
        </w:rPr>
        <w:t>Standalone</w:t>
      </w:r>
    </w:p>
    <w:p>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zh-CN"/>
        </w:rPr>
      </w:pPr>
      <w:r>
        <w:rPr>
          <w:rFonts w:ascii="Arial" w:hAnsi="Arial"/>
          <w:snapToGrid w:val="0"/>
          <w:sz w:val="24"/>
          <w:lang w:eastAsia="zh-CN"/>
        </w:rPr>
        <w:t>A.3.12.</w:t>
      </w:r>
      <w:r>
        <w:rPr>
          <w:rFonts w:ascii="Arial" w:hAnsi="Arial"/>
          <w:snapToGrid w:val="0"/>
          <w:sz w:val="24"/>
          <w:lang w:val="en-US" w:eastAsia="zh-CN"/>
        </w:rPr>
        <w:t>1</w:t>
      </w:r>
      <w:r>
        <w:rPr>
          <w:rFonts w:ascii="Arial" w:hAnsi="Arial"/>
          <w:snapToGrid w:val="0"/>
          <w:sz w:val="24"/>
          <w:lang w:eastAsia="zh-CN"/>
        </w:rPr>
        <w:t>.1 Single-antenna transmission</w:t>
      </w:r>
    </w:p>
    <w:p>
      <w:pPr>
        <w:pStyle w:val="113"/>
        <w:rPr>
          <w:lang w:val="en-US"/>
        </w:rPr>
      </w:pPr>
      <w:r>
        <w:t>Table A.3.12.</w:t>
      </w:r>
      <w:r>
        <w:rPr>
          <w:rFonts w:eastAsia="宋体"/>
          <w:lang w:val="en-US" w:eastAsia="zh-CN"/>
        </w:rPr>
        <w:t>1</w:t>
      </w:r>
      <w:r>
        <w:rPr>
          <w:lang w:eastAsia="zh-CN"/>
        </w:rPr>
        <w:t>.1</w:t>
      </w:r>
      <w:r>
        <w:t xml:space="preserve">-1: NPDSCH Reference Channel with </w:t>
      </w:r>
      <w:r>
        <w:rPr>
          <w:lang w:eastAsia="zh-CN"/>
        </w:rPr>
        <w:t>1</w:t>
      </w:r>
      <w:r>
        <w:t xml:space="preserve">Tx Antenna </w:t>
      </w:r>
      <w:r>
        <w:rPr>
          <w:bCs/>
          <w:lang w:eastAsia="zh-CN"/>
        </w:rPr>
        <w:t>for UE Category NB1 and NB2</w:t>
      </w:r>
      <w:r>
        <w:rPr>
          <w:bCs/>
          <w:lang w:val="en-US" w:eastAsia="zh-CN"/>
        </w:rPr>
        <w:t xml:space="preserve"> for FDD</w:t>
      </w:r>
    </w:p>
    <w:tbl>
      <w:tblPr>
        <w:tblStyle w:val="89"/>
        <w:tblW w:w="83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57"/>
        <w:gridCol w:w="938"/>
        <w:gridCol w:w="1530"/>
        <w:gridCol w:w="1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Parameter</w:t>
            </w:r>
          </w:p>
        </w:tc>
        <w:tc>
          <w:tcPr>
            <w:tcW w:w="938"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Unit</w:t>
            </w:r>
          </w:p>
        </w:tc>
        <w:tc>
          <w:tcPr>
            <w:tcW w:w="1530"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Value</w:t>
            </w:r>
          </w:p>
        </w:tc>
        <w:tc>
          <w:tcPr>
            <w:tcW w:w="1422"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Reference channel</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rPr>
              <w:t>R.NB.</w:t>
            </w:r>
            <w:r>
              <w:rPr>
                <w:rFonts w:ascii="Arial" w:hAnsi="Arial" w:cs="Arial"/>
                <w:sz w:val="18"/>
                <w:szCs w:val="18"/>
                <w:lang w:val="en-US" w:eastAsia="zh-CN"/>
              </w:rPr>
              <w:t>1</w:t>
            </w:r>
            <w:r>
              <w:rPr>
                <w:rFonts w:ascii="Arial" w:hAnsi="Arial" w:cs="Arial"/>
                <w:sz w:val="18"/>
                <w:szCs w:val="18"/>
                <w:lang w:eastAsia="zh-CN"/>
              </w:rPr>
              <w:t xml:space="preserve"> FDD</w:t>
            </w:r>
          </w:p>
        </w:tc>
        <w:tc>
          <w:tcPr>
            <w:tcW w:w="1422"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R.NB.</w:t>
            </w:r>
            <w:r>
              <w:rPr>
                <w:rFonts w:ascii="Arial" w:hAnsi="Arial" w:cs="Arial"/>
                <w:sz w:val="18"/>
                <w:szCs w:val="18"/>
                <w:lang w:val="en-US" w:eastAsia="zh-CN"/>
              </w:rPr>
              <w:t>2</w:t>
            </w:r>
            <w:r>
              <w:rPr>
                <w:rFonts w:ascii="Arial" w:hAnsi="Arial" w:cs="Arial"/>
                <w:sz w:val="18"/>
                <w:szCs w:val="18"/>
                <w:lang w:eastAsia="zh-CN"/>
              </w:rPr>
              <w:t xml:space="preserve">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zh-CN"/>
              </w:rPr>
              <w:t>Carrier Type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lang w:eastAsia="zh-CN"/>
              </w:rPr>
              <w:t>Anchor</w:t>
            </w:r>
          </w:p>
        </w:tc>
        <w:tc>
          <w:tcPr>
            <w:tcW w:w="1422"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lang w:eastAsia="zh-CN"/>
              </w:rPr>
              <w:t>Non-anchor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Channel bandwidth</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KHz</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Allocated subframes per Radio Frame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Modulation</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QPSK</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I</w:t>
            </w:r>
            <w:r>
              <w:rPr>
                <w:rFonts w:cs="Arial"/>
                <w:vertAlign w:val="subscript"/>
                <w:lang w:eastAsia="zh-CN"/>
              </w:rPr>
              <w:t>TBS</w:t>
            </w:r>
            <w:r>
              <w:rPr>
                <w:rFonts w:cs="Arial"/>
                <w:lang w:eastAsia="ko-KR"/>
              </w:rPr>
              <w:t>/I</w:t>
            </w:r>
            <w:r>
              <w:rPr>
                <w:rFonts w:cs="Arial"/>
                <w:vertAlign w:val="subscript"/>
                <w:lang w:eastAsia="zh-CN"/>
              </w:rPr>
              <w:t>SF</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9/3</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Target Coding Rate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1/</w:t>
            </w:r>
            <w:r>
              <w:rPr>
                <w:rFonts w:cs="Arial"/>
              </w:rPr>
              <w:t>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1/</w:t>
            </w:r>
            <w:r>
              <w:rPr>
                <w:rFonts w:cs="Aria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zh-CN"/>
              </w:rPr>
              <w:t>Coding Rate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0.5</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0.33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Information Bit Payload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vertAlign w:val="superscript"/>
              </w:rPr>
            </w:pPr>
            <w:r>
              <w:rPr>
                <w:rFonts w:cs="Arial"/>
              </w:rPr>
              <w:t>616</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N/A</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Number of Code Blocks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N/A</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3</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Binary Channel Bits</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N/A</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4</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Max. Average Throughput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B</w:t>
            </w:r>
            <w:r>
              <w:rPr>
                <w:rFonts w:cs="Arial"/>
                <w:lang w:eastAsia="ko-KR"/>
              </w:rPr>
              <w:t>ps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Note 5</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UE Category</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NB1</w:t>
            </w:r>
            <w:r>
              <w:rPr>
                <w:rFonts w:cs="Arial"/>
              </w:rPr>
              <w:t>,NB2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NB1,NB2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347" w:type="dxa"/>
            <w:gridSpan w:val="4"/>
            <w:tcBorders>
              <w:top w:val="single" w:color="auto" w:sz="4" w:space="0"/>
              <w:left w:val="single" w:color="auto" w:sz="4" w:space="0"/>
              <w:bottom w:val="single" w:color="auto" w:sz="4" w:space="0"/>
              <w:right w:val="single" w:color="auto" w:sz="4" w:space="0"/>
            </w:tcBorders>
          </w:tcPr>
          <w:p>
            <w:pPr>
              <w:pStyle w:val="118"/>
              <w:rPr>
                <w:rFonts w:cs="Arial"/>
                <w:lang w:eastAsia="ja-JP"/>
              </w:rPr>
            </w:pPr>
            <w:r>
              <w:rPr>
                <w:rFonts w:cs="Arial"/>
                <w:lang w:eastAsia="ja-JP"/>
              </w:rPr>
              <w:t xml:space="preserve">Note </w:t>
            </w:r>
            <w:r>
              <w:rPr>
                <w:rFonts w:cs="Arial"/>
                <w:lang w:eastAsia="zh-CN"/>
              </w:rPr>
              <w:t>1</w:t>
            </w:r>
            <w:r>
              <w:rPr>
                <w:rFonts w:cs="Arial"/>
                <w:lang w:eastAsia="ja-JP"/>
              </w:rPr>
              <w:t>:</w:t>
            </w:r>
            <w:r>
              <w:rPr>
                <w:szCs w:val="24"/>
                <w:lang w:eastAsia="zh-CN"/>
              </w:rPr>
              <w:tab/>
            </w:r>
            <w:r>
              <w:rPr>
                <w:rFonts w:cs="Arial"/>
                <w:lang w:eastAsia="zh-CN"/>
              </w:rPr>
              <w:t>It shall depend on the specific NPDSCH scheduling</w:t>
            </w:r>
            <w:r>
              <w:rPr>
                <w:rFonts w:cs="Arial"/>
                <w:lang w:eastAsia="ja-JP"/>
              </w:rPr>
              <w:t>.</w:t>
            </w:r>
          </w:p>
          <w:p>
            <w:pPr>
              <w:pStyle w:val="118"/>
              <w:rPr>
                <w:rFonts w:cs="Arial"/>
                <w:lang w:eastAsia="zh-CN"/>
              </w:rPr>
            </w:pPr>
            <w:r>
              <w:rPr>
                <w:rFonts w:cs="Arial"/>
                <w:lang w:eastAsia="ja-JP"/>
              </w:rPr>
              <w:t xml:space="preserve">Note </w:t>
            </w:r>
            <w:r>
              <w:rPr>
                <w:rFonts w:cs="Arial"/>
                <w:lang w:eastAsia="zh-CN"/>
              </w:rPr>
              <w:t>2</w:t>
            </w:r>
            <w:r>
              <w:rPr>
                <w:rFonts w:cs="Arial"/>
                <w:lang w:eastAsia="ja-JP"/>
              </w:rPr>
              <w:t>:</w:t>
            </w:r>
            <w:r>
              <w:rPr>
                <w:szCs w:val="24"/>
                <w:lang w:eastAsia="zh-CN"/>
              </w:rPr>
              <w:tab/>
            </w:r>
            <w:r>
              <w:rPr>
                <w:rFonts w:cs="Arial"/>
                <w:lang w:eastAsia="zh-CN"/>
              </w:rPr>
              <w:t>N/A</w:t>
            </w:r>
            <w:r>
              <w:rPr>
                <w:rFonts w:cs="Arial"/>
                <w:lang w:eastAsia="ja-JP"/>
              </w:rPr>
              <w:t xml:space="preserve"> when </w:t>
            </w:r>
            <w:r>
              <w:rPr>
                <w:rFonts w:cs="Arial"/>
                <w:position w:val="-10"/>
                <w:lang w:eastAsia="ko-KR"/>
              </w:rPr>
              <w:object>
                <v:shape id="_x0000_i1102" o:spt="75" type="#_x0000_t75" style="height:15pt;width:12pt;" o:ole="t" filled="f" o:preferrelative="t" stroked="f" coordsize="21600,21600">
                  <v:path/>
                  <v:fill on="f" focussize="0,0"/>
                  <v:stroke on="f" joinstyle="miter"/>
                  <v:imagedata r:id="rId147" o:title=""/>
                  <o:lock v:ext="edit" aspectratio="t"/>
                  <w10:wrap type="none"/>
                  <w10:anchorlock/>
                </v:shape>
                <o:OLEObject Type="Embed" ProgID="Equation.3" ShapeID="_x0000_i1102" DrawAspect="Content" ObjectID="_1468075802" r:id="rId146">
                  <o:LockedField>false</o:LockedField>
                </o:OLEObject>
              </w:object>
            </w:r>
            <w:r>
              <w:rPr>
                <w:rFonts w:cs="Arial"/>
                <w:lang w:eastAsia="ja-JP"/>
              </w:rPr>
              <w:t xml:space="preserve">mod 2 = 0, otherwise </w:t>
            </w:r>
            <w:r>
              <w:rPr>
                <w:rFonts w:cs="Arial"/>
                <w:lang w:eastAsia="zh-CN"/>
              </w:rPr>
              <w:t>616</w:t>
            </w:r>
            <w:r>
              <w:rPr>
                <w:rFonts w:cs="Arial"/>
                <w:lang w:eastAsia="ja-JP"/>
              </w:rPr>
              <w:t>.</w:t>
            </w:r>
          </w:p>
          <w:p>
            <w:pPr>
              <w:pStyle w:val="118"/>
              <w:rPr>
                <w:rFonts w:cs="Arial"/>
                <w:lang w:eastAsia="zh-CN"/>
              </w:rPr>
            </w:pPr>
            <w:r>
              <w:rPr>
                <w:rFonts w:cs="Arial"/>
                <w:lang w:eastAsia="ja-JP"/>
              </w:rPr>
              <w:t xml:space="preserve">Note </w:t>
            </w:r>
            <w:r>
              <w:rPr>
                <w:rFonts w:cs="Arial"/>
                <w:lang w:eastAsia="zh-CN"/>
              </w:rPr>
              <w:t>3</w:t>
            </w:r>
            <w:r>
              <w:rPr>
                <w:rFonts w:cs="Arial"/>
                <w:lang w:eastAsia="ja-JP"/>
              </w:rPr>
              <w:t>:</w:t>
            </w:r>
            <w:r>
              <w:rPr>
                <w:szCs w:val="24"/>
                <w:lang w:eastAsia="zh-CN"/>
              </w:rPr>
              <w:tab/>
            </w:r>
            <w:r>
              <w:rPr>
                <w:rFonts w:cs="Arial"/>
                <w:lang w:eastAsia="zh-CN"/>
              </w:rPr>
              <w:t>N/A</w:t>
            </w:r>
            <w:r>
              <w:rPr>
                <w:rFonts w:cs="Arial"/>
                <w:lang w:eastAsia="ja-JP"/>
              </w:rPr>
              <w:t xml:space="preserve"> when </w:t>
            </w:r>
            <w:r>
              <w:rPr>
                <w:rFonts w:cs="Arial"/>
                <w:position w:val="-10"/>
                <w:lang w:eastAsia="ko-KR"/>
              </w:rPr>
              <w:object>
                <v:shape id="_x0000_i1103" o:spt="75" type="#_x0000_t75" style="height:15pt;width:12pt;" o:ole="t" filled="f" o:preferrelative="t" stroked="f" coordsize="21600,21600">
                  <v:path/>
                  <v:fill on="f" focussize="0,0"/>
                  <v:stroke on="f" joinstyle="miter"/>
                  <v:imagedata r:id="rId147" o:title=""/>
                  <o:lock v:ext="edit" aspectratio="t"/>
                  <w10:wrap type="none"/>
                  <w10:anchorlock/>
                </v:shape>
                <o:OLEObject Type="Embed" ProgID="Equation.3" ShapeID="_x0000_i1103" DrawAspect="Content" ObjectID="_1468075803" r:id="rId148">
                  <o:LockedField>false</o:LockedField>
                </o:OLEObject>
              </w:object>
            </w:r>
            <w:r>
              <w:rPr>
                <w:rFonts w:cs="Arial"/>
                <w:lang w:eastAsia="ja-JP"/>
              </w:rPr>
              <w:t>mod 2 = 0, otherwise 1.</w:t>
            </w:r>
          </w:p>
          <w:p>
            <w:pPr>
              <w:pStyle w:val="118"/>
              <w:rPr>
                <w:rFonts w:cs="Arial"/>
                <w:lang w:eastAsia="ja-JP"/>
              </w:rPr>
            </w:pPr>
            <w:r>
              <w:rPr>
                <w:rFonts w:cs="Arial"/>
                <w:lang w:eastAsia="ja-JP"/>
              </w:rPr>
              <w:t xml:space="preserve">Note </w:t>
            </w:r>
            <w:r>
              <w:rPr>
                <w:rFonts w:cs="Arial"/>
                <w:lang w:eastAsia="zh-CN"/>
              </w:rPr>
              <w:t>4</w:t>
            </w:r>
            <w:r>
              <w:rPr>
                <w:rFonts w:cs="Arial"/>
                <w:lang w:eastAsia="ja-JP"/>
              </w:rPr>
              <w:t>:</w:t>
            </w:r>
            <w:r>
              <w:rPr>
                <w:szCs w:val="24"/>
                <w:lang w:eastAsia="zh-CN"/>
              </w:rPr>
              <w:tab/>
            </w:r>
            <w:r>
              <w:rPr>
                <w:rFonts w:cs="Arial"/>
                <w:lang w:eastAsia="zh-CN"/>
              </w:rPr>
              <w:t>N/A</w:t>
            </w:r>
            <w:r>
              <w:rPr>
                <w:rFonts w:cs="Arial"/>
                <w:lang w:eastAsia="ja-JP"/>
              </w:rPr>
              <w:t xml:space="preserve"> when </w:t>
            </w:r>
            <w:r>
              <w:rPr>
                <w:rFonts w:cs="Arial"/>
                <w:position w:val="-10"/>
                <w:lang w:eastAsia="ko-KR"/>
              </w:rPr>
              <w:object>
                <v:shape id="_x0000_i1104" o:spt="75" type="#_x0000_t75" style="height:15pt;width:12pt;" o:ole="t" filled="f" o:preferrelative="t" stroked="f" coordsize="21600,21600">
                  <v:path/>
                  <v:fill on="f" focussize="0,0"/>
                  <v:stroke on="f" joinstyle="miter"/>
                  <v:imagedata r:id="rId147" o:title=""/>
                  <o:lock v:ext="edit" aspectratio="t"/>
                  <w10:wrap type="none"/>
                  <w10:anchorlock/>
                </v:shape>
                <o:OLEObject Type="Embed" ProgID="Equation.3" ShapeID="_x0000_i1104" DrawAspect="Content" ObjectID="_1468075804" r:id="rId149">
                  <o:LockedField>false</o:LockedField>
                </o:OLEObject>
              </w:object>
            </w:r>
            <w:r>
              <w:rPr>
                <w:rFonts w:cs="Arial"/>
                <w:lang w:eastAsia="ja-JP"/>
              </w:rPr>
              <w:t xml:space="preserve">mod 2 = 0, otherwise </w:t>
            </w:r>
            <w:r>
              <w:rPr>
                <w:rFonts w:cs="Arial"/>
                <w:lang w:eastAsia="zh-CN"/>
              </w:rPr>
              <w:t>320</w:t>
            </w:r>
            <w:r>
              <w:rPr>
                <w:rFonts w:cs="Arial"/>
                <w:lang w:eastAsia="ja-JP"/>
              </w:rPr>
              <w:t>.</w:t>
            </w:r>
          </w:p>
          <w:p>
            <w:pPr>
              <w:pStyle w:val="118"/>
              <w:rPr>
                <w:rFonts w:cs="Arial"/>
                <w:lang w:eastAsia="zh-CN"/>
              </w:rPr>
            </w:pPr>
            <w:r>
              <w:rPr>
                <w:rFonts w:cs="Arial"/>
                <w:lang w:eastAsia="zh-CN"/>
              </w:rPr>
              <w:t>Note 5:</w:t>
            </w:r>
            <w:r>
              <w:rPr>
                <w:szCs w:val="24"/>
                <w:lang w:eastAsia="zh-CN"/>
              </w:rPr>
              <w:tab/>
            </w:r>
            <w:r>
              <w:rPr>
                <w:rFonts w:cs="Arial"/>
                <w:lang w:eastAsia="zh-CN"/>
              </w:rPr>
              <w:t>Maximum Average Throughput equals to sum of TB(i) divided by sum of T(i), where TB(i) is the TB size of NPDSCH over i</w:t>
            </w:r>
            <w:r>
              <w:rPr>
                <w:rFonts w:cs="Arial"/>
                <w:vertAlign w:val="superscript"/>
                <w:lang w:eastAsia="zh-CN"/>
              </w:rPr>
              <w:t>th</w:t>
            </w:r>
            <w:r>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Pr>
                <w:rFonts w:cs="Arial"/>
                <w:vertAlign w:val="superscript"/>
                <w:lang w:eastAsia="zh-CN"/>
              </w:rPr>
              <w:t>th</w:t>
            </w:r>
            <w:r>
              <w:rPr>
                <w:rFonts w:cs="Arial"/>
                <w:lang w:eastAsia="zh-CN"/>
              </w:rPr>
              <w:t xml:space="preserve"> NPDSCH scheduling period.</w:t>
            </w:r>
          </w:p>
        </w:tc>
      </w:tr>
    </w:tbl>
    <w:p/>
    <w:p>
      <w:pPr>
        <w:pStyle w:val="113"/>
        <w:rPr>
          <w:bCs/>
          <w:lang w:eastAsia="zh-CN"/>
        </w:rPr>
      </w:pPr>
      <w:r>
        <w:rPr>
          <w:bCs/>
        </w:rPr>
        <w:t>Table A.3.12.2</w:t>
      </w:r>
      <w:r>
        <w:rPr>
          <w:bCs/>
          <w:lang w:eastAsia="zh-CN"/>
        </w:rPr>
        <w:t>.1</w:t>
      </w:r>
      <w:r>
        <w:rPr>
          <w:bCs/>
        </w:rPr>
        <w:t>-</w:t>
      </w:r>
      <w:r>
        <w:rPr>
          <w:bCs/>
          <w:lang w:eastAsia="zh-CN"/>
        </w:rPr>
        <w:t>2</w:t>
      </w:r>
      <w:r>
        <w:rPr>
          <w:bCs/>
        </w:rPr>
        <w:t xml:space="preserve">: NPDSCH Reference Channel with </w:t>
      </w:r>
      <w:r>
        <w:rPr>
          <w:bCs/>
          <w:lang w:eastAsia="zh-CN"/>
        </w:rPr>
        <w:t>1</w:t>
      </w:r>
      <w:r>
        <w:rPr>
          <w:bCs/>
        </w:rPr>
        <w:t>Tx Antenna</w:t>
      </w:r>
      <w:r>
        <w:rPr>
          <w:bCs/>
          <w:lang w:eastAsia="zh-CN"/>
        </w:rPr>
        <w:t xml:space="preserve"> for UE Category NB2</w:t>
      </w:r>
    </w:p>
    <w:tbl>
      <w:tblPr>
        <w:tblStyle w:val="89"/>
        <w:tblW w:w="83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57"/>
        <w:gridCol w:w="938"/>
        <w:gridCol w:w="1530"/>
        <w:gridCol w:w="1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Parameter</w:t>
            </w:r>
          </w:p>
        </w:tc>
        <w:tc>
          <w:tcPr>
            <w:tcW w:w="938"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Unit</w:t>
            </w:r>
          </w:p>
        </w:tc>
        <w:tc>
          <w:tcPr>
            <w:tcW w:w="1530"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Value</w:t>
            </w:r>
          </w:p>
        </w:tc>
        <w:tc>
          <w:tcPr>
            <w:tcW w:w="1422"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Reference channel</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rPr>
              <w:t>R.NB.</w:t>
            </w:r>
            <w:r>
              <w:rPr>
                <w:rFonts w:ascii="Arial" w:hAnsi="Arial" w:cs="Arial"/>
                <w:sz w:val="18"/>
                <w:szCs w:val="18"/>
                <w:lang w:eastAsia="zh-CN"/>
              </w:rPr>
              <w:t>7 FDD</w:t>
            </w:r>
          </w:p>
        </w:tc>
        <w:tc>
          <w:tcPr>
            <w:tcW w:w="1422"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zh-CN"/>
              </w:rPr>
              <w:t>Carrier Type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lang w:eastAsia="zh-CN"/>
              </w:rPr>
              <w:t>Non-anchor</w:t>
            </w:r>
          </w:p>
        </w:tc>
        <w:tc>
          <w:tcPr>
            <w:tcW w:w="1422"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Channel bandwidth</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KHz</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Allocated subframes per Radio Frame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Modulation</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QPSK</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I</w:t>
            </w:r>
            <w:r>
              <w:rPr>
                <w:rFonts w:cs="Arial"/>
                <w:vertAlign w:val="subscript"/>
                <w:lang w:eastAsia="zh-CN"/>
              </w:rPr>
              <w:t>TBS</w:t>
            </w:r>
            <w:r>
              <w:rPr>
                <w:rFonts w:cs="Arial"/>
                <w:lang w:eastAsia="ko-KR"/>
              </w:rPr>
              <w:t>/I</w:t>
            </w:r>
            <w:r>
              <w:rPr>
                <w:rFonts w:cs="Arial"/>
                <w:vertAlign w:val="subscript"/>
                <w:lang w:eastAsia="zh-CN"/>
              </w:rPr>
              <w:t>SF</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9/5</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Target Coding Rate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1/</w:t>
            </w:r>
            <w:r>
              <w:rPr>
                <w:rFonts w:cs="Arial"/>
              </w:rPr>
              <w:t>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zh-CN"/>
              </w:rPr>
              <w:t>Coding Rate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0.5</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Information Bit Payload</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vertAlign w:val="superscript"/>
              </w:rPr>
            </w:pPr>
            <w:r>
              <w:rPr>
                <w:rFonts w:cs="Arial"/>
              </w:rPr>
              <w:t>936</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936</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936</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Number of Code Blocks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Binary Channel Bits</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320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Max. Average Throughput</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B</w:t>
            </w:r>
            <w:r>
              <w:rPr>
                <w:rFonts w:cs="Arial"/>
                <w:lang w:eastAsia="ko-KR"/>
              </w:rPr>
              <w:t>ps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 xml:space="preserve">Note </w:t>
            </w:r>
            <w:r>
              <w:rPr>
                <w:rFonts w:cs="Arial"/>
              </w:rPr>
              <w:t>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UE Category</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NB2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347" w:type="dxa"/>
            <w:gridSpan w:val="4"/>
            <w:tcBorders>
              <w:top w:val="single" w:color="auto" w:sz="4" w:space="0"/>
              <w:left w:val="single" w:color="auto" w:sz="4" w:space="0"/>
              <w:bottom w:val="single" w:color="auto" w:sz="4" w:space="0"/>
              <w:right w:val="single" w:color="auto" w:sz="4" w:space="0"/>
            </w:tcBorders>
          </w:tcPr>
          <w:p>
            <w:pPr>
              <w:pStyle w:val="118"/>
              <w:rPr>
                <w:rFonts w:cs="Arial"/>
                <w:lang w:eastAsia="ja-JP"/>
              </w:rPr>
            </w:pPr>
            <w:r>
              <w:rPr>
                <w:rFonts w:cs="Arial"/>
                <w:lang w:eastAsia="ja-JP"/>
              </w:rPr>
              <w:t xml:space="preserve">Note </w:t>
            </w:r>
            <w:r>
              <w:rPr>
                <w:rFonts w:cs="Arial"/>
                <w:lang w:eastAsia="zh-CN"/>
              </w:rPr>
              <w:t>1</w:t>
            </w:r>
            <w:r>
              <w:rPr>
                <w:rFonts w:cs="Arial"/>
                <w:lang w:eastAsia="ja-JP"/>
              </w:rPr>
              <w:t>:</w:t>
            </w:r>
            <w:r>
              <w:rPr>
                <w:szCs w:val="24"/>
                <w:lang w:eastAsia="zh-CN"/>
              </w:rPr>
              <w:tab/>
            </w:r>
            <w:r>
              <w:rPr>
                <w:rFonts w:cs="Arial"/>
                <w:lang w:eastAsia="zh-CN"/>
              </w:rPr>
              <w:t>It shall depend on the specific NPDSCH scheduling</w:t>
            </w:r>
            <w:r>
              <w:rPr>
                <w:rFonts w:cs="Arial"/>
                <w:lang w:eastAsia="ja-JP"/>
              </w:rPr>
              <w:t>.</w:t>
            </w:r>
          </w:p>
          <w:p>
            <w:pPr>
              <w:pStyle w:val="118"/>
              <w:rPr>
                <w:rFonts w:cs="Arial"/>
                <w:lang w:eastAsia="zh-CN"/>
              </w:rPr>
            </w:pPr>
            <w:r>
              <w:rPr>
                <w:rFonts w:cs="Arial"/>
                <w:lang w:eastAsia="zh-CN"/>
              </w:rPr>
              <w:t>Note 2:</w:t>
            </w:r>
            <w:r>
              <w:rPr>
                <w:szCs w:val="24"/>
                <w:lang w:eastAsia="zh-CN"/>
              </w:rPr>
              <w:tab/>
            </w:r>
            <w:r>
              <w:rPr>
                <w:rFonts w:cs="Arial"/>
                <w:lang w:eastAsia="zh-CN"/>
              </w:rPr>
              <w:t>Maximum Average Throughput equals to sum of TB(i) divided by sum of T(i), where TB(i) is the TB size of NPDSCH over i</w:t>
            </w:r>
            <w:r>
              <w:rPr>
                <w:rFonts w:cs="Arial"/>
                <w:vertAlign w:val="superscript"/>
                <w:lang w:eastAsia="zh-CN"/>
              </w:rPr>
              <w:t>th</w:t>
            </w:r>
            <w:r>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Pr>
                <w:rFonts w:cs="Arial"/>
                <w:vertAlign w:val="superscript"/>
                <w:lang w:eastAsia="zh-CN"/>
              </w:rPr>
              <w:t>th</w:t>
            </w:r>
            <w:r>
              <w:rPr>
                <w:rFonts w:cs="Arial"/>
                <w:lang w:eastAsia="zh-CN"/>
              </w:rPr>
              <w:t xml:space="preserve"> NPDSCH scheduling period.</w:t>
            </w:r>
          </w:p>
        </w:tc>
      </w:tr>
    </w:tbl>
    <w:p>
      <w:pPr>
        <w:overflowPunct w:val="0"/>
        <w:autoSpaceDE w:val="0"/>
        <w:autoSpaceDN w:val="0"/>
        <w:adjustRightInd w:val="0"/>
        <w:textAlignment w:val="baseline"/>
        <w:rPr>
          <w:lang w:eastAsia="ja-JP"/>
        </w:rPr>
      </w:pPr>
    </w:p>
    <w:p>
      <w:pPr>
        <w:keepNext/>
        <w:keepLines/>
        <w:overflowPunct w:val="0"/>
        <w:autoSpaceDE w:val="0"/>
        <w:autoSpaceDN w:val="0"/>
        <w:adjustRightInd w:val="0"/>
        <w:spacing w:before="180"/>
        <w:ind w:left="1134" w:hanging="1134"/>
        <w:textAlignment w:val="baseline"/>
        <w:outlineLvl w:val="1"/>
        <w:rPr>
          <w:rFonts w:ascii="Arial" w:hAnsi="Arial" w:eastAsia="MS Mincho"/>
          <w:sz w:val="32"/>
          <w:lang w:eastAsia="zh-CN"/>
        </w:rPr>
      </w:pPr>
      <w:r>
        <w:rPr>
          <w:rFonts w:ascii="Arial" w:hAnsi="Arial" w:eastAsia="MS Mincho"/>
          <w:sz w:val="32"/>
          <w:lang w:eastAsia="zh-CN"/>
        </w:rPr>
        <w:t>A.3.13</w:t>
      </w:r>
      <w:r>
        <w:rPr>
          <w:rFonts w:ascii="Arial" w:hAnsi="Arial" w:eastAsia="MS Mincho"/>
          <w:sz w:val="32"/>
          <w:lang w:eastAsia="zh-CN"/>
        </w:rPr>
        <w:tab/>
      </w:r>
      <w:r>
        <w:rPr>
          <w:rFonts w:ascii="Arial" w:hAnsi="Arial"/>
          <w:sz w:val="32"/>
          <w:lang w:eastAsia="zh-CN"/>
        </w:rPr>
        <w:t xml:space="preserve">Reference measurement channels </w:t>
      </w:r>
      <w:r>
        <w:rPr>
          <w:rFonts w:ascii="Arial" w:hAnsi="Arial" w:eastAsia="MS Mincho"/>
          <w:sz w:val="32"/>
          <w:lang w:eastAsia="zh-CN"/>
        </w:rPr>
        <w:t>for NPDCCH performance requirements</w:t>
      </w:r>
    </w:p>
    <w:p>
      <w:pPr>
        <w:keepNext/>
        <w:keepLines/>
        <w:overflowPunct w:val="0"/>
        <w:autoSpaceDE w:val="0"/>
        <w:autoSpaceDN w:val="0"/>
        <w:adjustRightInd w:val="0"/>
        <w:spacing w:before="120"/>
        <w:ind w:left="1134" w:hanging="1134"/>
        <w:textAlignment w:val="baseline"/>
        <w:outlineLvl w:val="2"/>
        <w:rPr>
          <w:rFonts w:ascii="Arial" w:hAnsi="Arial" w:eastAsia="MS Mincho"/>
          <w:sz w:val="28"/>
          <w:lang w:eastAsia="zh-CN"/>
        </w:rPr>
      </w:pPr>
      <w:r>
        <w:rPr>
          <w:rFonts w:ascii="Arial" w:hAnsi="Arial" w:eastAsia="MS Mincho"/>
          <w:sz w:val="28"/>
          <w:lang w:eastAsia="zh-CN"/>
        </w:rPr>
        <w:t>A.3.13.1</w:t>
      </w:r>
      <w:r>
        <w:rPr>
          <w:rFonts w:ascii="Arial" w:hAnsi="Arial" w:eastAsia="MS Mincho"/>
          <w:sz w:val="28"/>
          <w:lang w:eastAsia="zh-CN"/>
        </w:rPr>
        <w:tab/>
      </w:r>
      <w:r>
        <w:rPr>
          <w:rFonts w:ascii="Arial" w:hAnsi="Arial" w:eastAsia="MS Mincho"/>
          <w:sz w:val="28"/>
          <w:lang w:eastAsia="zh-CN"/>
        </w:rPr>
        <w:t>Half-duplex FDD</w:t>
      </w:r>
    </w:p>
    <w:p>
      <w:pPr>
        <w:pStyle w:val="113"/>
      </w:pPr>
      <w:r>
        <w:t xml:space="preserve">Table A.3.13.1-1 </w:t>
      </w:r>
      <w:r>
        <w:rPr>
          <w:rFonts w:hint="eastAsia" w:eastAsia="宋体"/>
          <w:lang w:val="en-US" w:eastAsia="zh-CN"/>
        </w:rPr>
        <w:t xml:space="preserve">NPDCCH </w:t>
      </w:r>
      <w:r>
        <w:t xml:space="preserve">Reference Channel for Category NB1 </w:t>
      </w:r>
      <w:r>
        <w:rPr>
          <w:rFonts w:hint="eastAsia" w:eastAsia="宋体"/>
          <w:lang w:val="en-US" w:eastAsia="zh-CN"/>
        </w:rPr>
        <w:t xml:space="preserve">and NB2 </w:t>
      </w:r>
      <w:r>
        <w:t>UE</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538"/>
        <w:gridCol w:w="1270"/>
        <w:gridCol w:w="13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3538" w:type="dxa"/>
          </w:tcPr>
          <w:p>
            <w:pPr>
              <w:pStyle w:val="104"/>
            </w:pPr>
            <w:r>
              <w:t>Parameter</w:t>
            </w:r>
          </w:p>
        </w:tc>
        <w:tc>
          <w:tcPr>
            <w:tcW w:w="1270" w:type="dxa"/>
          </w:tcPr>
          <w:p>
            <w:pPr>
              <w:pStyle w:val="104"/>
            </w:pPr>
            <w:r>
              <w:rPr>
                <w:spacing w:val="-4"/>
              </w:rPr>
              <w:t>Unit</w:t>
            </w:r>
          </w:p>
        </w:tc>
        <w:tc>
          <w:tcPr>
            <w:tcW w:w="1312" w:type="dxa"/>
          </w:tcPr>
          <w:p>
            <w:pPr>
              <w:pStyle w:val="104"/>
            </w:pPr>
            <w:r>
              <w:rPr>
                <w:spacing w:val="-4"/>
              </w:rPr>
              <w:t>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jc w:val="center"/>
        </w:trPr>
        <w:tc>
          <w:tcPr>
            <w:tcW w:w="3538" w:type="dxa"/>
          </w:tcPr>
          <w:p>
            <w:pPr>
              <w:pStyle w:val="103"/>
            </w:pPr>
            <w:r>
              <w:t>Reference</w:t>
            </w:r>
            <w:r>
              <w:rPr>
                <w:spacing w:val="-6"/>
              </w:rPr>
              <w:t xml:space="preserve"> </w:t>
            </w:r>
            <w:r>
              <w:rPr>
                <w:spacing w:val="-2"/>
              </w:rPr>
              <w:t>channel</w:t>
            </w:r>
          </w:p>
        </w:tc>
        <w:tc>
          <w:tcPr>
            <w:tcW w:w="1270" w:type="dxa"/>
          </w:tcPr>
          <w:p>
            <w:pPr>
              <w:pStyle w:val="105"/>
            </w:pPr>
          </w:p>
        </w:tc>
        <w:tc>
          <w:tcPr>
            <w:tcW w:w="1312" w:type="dxa"/>
          </w:tcPr>
          <w:p>
            <w:pPr>
              <w:pStyle w:val="105"/>
            </w:pPr>
            <w:r>
              <w:t>R.NB.3 FDD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6" w:hRule="atLeast"/>
          <w:jc w:val="center"/>
        </w:trPr>
        <w:tc>
          <w:tcPr>
            <w:tcW w:w="3538" w:type="dxa"/>
          </w:tcPr>
          <w:p>
            <w:pPr>
              <w:pStyle w:val="103"/>
            </w:pPr>
            <w:r>
              <w:t>Number</w:t>
            </w:r>
            <w:r>
              <w:rPr>
                <w:spacing w:val="-3"/>
              </w:rPr>
              <w:t xml:space="preserve"> </w:t>
            </w:r>
            <w:r>
              <w:t>of</w:t>
            </w:r>
            <w:r>
              <w:rPr>
                <w:spacing w:val="-1"/>
              </w:rPr>
              <w:t xml:space="preserve"> </w:t>
            </w:r>
            <w:r>
              <w:t>NRS</w:t>
            </w:r>
            <w:r>
              <w:rPr>
                <w:spacing w:val="-1"/>
              </w:rPr>
              <w:t xml:space="preserve"> </w:t>
            </w:r>
            <w:r>
              <w:rPr>
                <w:spacing w:val="-2"/>
              </w:rPr>
              <w:t>ports</w:t>
            </w:r>
          </w:p>
        </w:tc>
        <w:tc>
          <w:tcPr>
            <w:tcW w:w="1270" w:type="dxa"/>
          </w:tcPr>
          <w:p>
            <w:pPr>
              <w:pStyle w:val="105"/>
            </w:pPr>
          </w:p>
        </w:tc>
        <w:tc>
          <w:tcPr>
            <w:tcW w:w="1312" w:type="dxa"/>
          </w:tcPr>
          <w:p>
            <w:pPr>
              <w:pStyle w:val="105"/>
            </w:pPr>
            <w: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3538" w:type="dxa"/>
          </w:tcPr>
          <w:p>
            <w:pPr>
              <w:pStyle w:val="103"/>
            </w:pPr>
            <w:bookmarkStart w:id="1817" w:name="A.3.13.1_Half-duplex_FDD"/>
            <w:bookmarkEnd w:id="1817"/>
            <w:r>
              <w:t>Channel</w:t>
            </w:r>
            <w:r>
              <w:rPr>
                <w:spacing w:val="-5"/>
              </w:rPr>
              <w:t xml:space="preserve"> </w:t>
            </w:r>
            <w:r>
              <w:rPr>
                <w:spacing w:val="-2"/>
              </w:rPr>
              <w:t>bandwidth</w:t>
            </w:r>
          </w:p>
        </w:tc>
        <w:tc>
          <w:tcPr>
            <w:tcW w:w="1270" w:type="dxa"/>
          </w:tcPr>
          <w:p>
            <w:pPr>
              <w:pStyle w:val="105"/>
            </w:pPr>
            <w:r>
              <w:rPr>
                <w:spacing w:val="-5"/>
              </w:rPr>
              <w:t>MHz</w:t>
            </w:r>
          </w:p>
        </w:tc>
        <w:tc>
          <w:tcPr>
            <w:tcW w:w="1312" w:type="dxa"/>
          </w:tcPr>
          <w:p>
            <w:pPr>
              <w:pStyle w:val="105"/>
            </w:pPr>
            <w:r>
              <w:rPr>
                <w:spacing w:val="-5"/>
              </w:rPr>
              <w:t>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6" w:hRule="atLeast"/>
          <w:jc w:val="center"/>
        </w:trPr>
        <w:tc>
          <w:tcPr>
            <w:tcW w:w="3538" w:type="dxa"/>
          </w:tcPr>
          <w:p>
            <w:pPr>
              <w:pStyle w:val="103"/>
            </w:pPr>
            <w:r>
              <w:t>Aggregation</w:t>
            </w:r>
            <w:r>
              <w:rPr>
                <w:spacing w:val="-6"/>
              </w:rPr>
              <w:t xml:space="preserve"> </w:t>
            </w:r>
            <w:r>
              <w:rPr>
                <w:spacing w:val="-2"/>
              </w:rPr>
              <w:t>level</w:t>
            </w:r>
          </w:p>
        </w:tc>
        <w:tc>
          <w:tcPr>
            <w:tcW w:w="1270" w:type="dxa"/>
          </w:tcPr>
          <w:p>
            <w:pPr>
              <w:pStyle w:val="105"/>
            </w:pPr>
            <w:r>
              <w:rPr>
                <w:spacing w:val="-4"/>
              </w:rPr>
              <w:t>NCCE</w:t>
            </w:r>
          </w:p>
        </w:tc>
        <w:tc>
          <w:tcPr>
            <w:tcW w:w="1312" w:type="dxa"/>
          </w:tcPr>
          <w:p>
            <w:pPr>
              <w:pStyle w:val="105"/>
            </w:pPr>
            <w: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3538" w:type="dxa"/>
          </w:tcPr>
          <w:p>
            <w:pPr>
              <w:pStyle w:val="103"/>
            </w:pPr>
            <w:r>
              <w:t>DCI</w:t>
            </w:r>
            <w:r>
              <w:rPr>
                <w:spacing w:val="-4"/>
              </w:rPr>
              <w:t xml:space="preserve"> </w:t>
            </w:r>
            <w:r>
              <w:rPr>
                <w:spacing w:val="-2"/>
              </w:rPr>
              <w:t>Format</w:t>
            </w:r>
          </w:p>
        </w:tc>
        <w:tc>
          <w:tcPr>
            <w:tcW w:w="1270" w:type="dxa"/>
          </w:tcPr>
          <w:p>
            <w:pPr>
              <w:pStyle w:val="105"/>
            </w:pPr>
          </w:p>
        </w:tc>
        <w:tc>
          <w:tcPr>
            <w:tcW w:w="1312" w:type="dxa"/>
          </w:tcPr>
          <w:p>
            <w:pPr>
              <w:pStyle w:val="105"/>
            </w:pPr>
            <w:r>
              <w:rPr>
                <w:spacing w:val="-5"/>
              </w:rPr>
              <w:t>N1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6" w:hRule="atLeast"/>
          <w:jc w:val="center"/>
        </w:trPr>
        <w:tc>
          <w:tcPr>
            <w:tcW w:w="3538" w:type="dxa"/>
          </w:tcPr>
          <w:p>
            <w:pPr>
              <w:pStyle w:val="103"/>
            </w:pPr>
            <w:r>
              <w:t>Payload</w:t>
            </w:r>
            <w:r>
              <w:rPr>
                <w:spacing w:val="-3"/>
              </w:rPr>
              <w:t xml:space="preserve"> </w:t>
            </w:r>
            <w:r>
              <w:t>(without</w:t>
            </w:r>
            <w:r>
              <w:rPr>
                <w:spacing w:val="-4"/>
              </w:rPr>
              <w:t xml:space="preserve"> CRC)</w:t>
            </w:r>
          </w:p>
        </w:tc>
        <w:tc>
          <w:tcPr>
            <w:tcW w:w="1270" w:type="dxa"/>
          </w:tcPr>
          <w:p>
            <w:pPr>
              <w:pStyle w:val="105"/>
            </w:pPr>
            <w:r>
              <w:rPr>
                <w:spacing w:val="-4"/>
              </w:rPr>
              <w:t>Bits</w:t>
            </w:r>
          </w:p>
        </w:tc>
        <w:tc>
          <w:tcPr>
            <w:tcW w:w="1312" w:type="dxa"/>
          </w:tcPr>
          <w:p>
            <w:pPr>
              <w:pStyle w:val="105"/>
            </w:pPr>
            <w:r>
              <w:rPr>
                <w:spacing w:val="-5"/>
              </w:rPr>
              <w:t>23</w:t>
            </w:r>
          </w:p>
        </w:tc>
      </w:tr>
    </w:tbl>
    <w:p>
      <w:pPr>
        <w:rPr>
          <w:rFonts w:ascii="Arial" w:hAnsi="Arial" w:eastAsia="MS Mincho"/>
          <w:sz w:val="32"/>
          <w:lang w:eastAsia="zh-CN"/>
        </w:rPr>
      </w:pPr>
    </w:p>
    <w:p>
      <w:pPr>
        <w:keepNext/>
        <w:keepLines/>
        <w:overflowPunct w:val="0"/>
        <w:autoSpaceDE w:val="0"/>
        <w:autoSpaceDN w:val="0"/>
        <w:adjustRightInd w:val="0"/>
        <w:spacing w:before="180"/>
        <w:ind w:left="1134" w:hanging="1134"/>
        <w:textAlignment w:val="baseline"/>
        <w:outlineLvl w:val="1"/>
        <w:rPr>
          <w:rFonts w:ascii="Arial" w:hAnsi="Arial" w:eastAsia="MS Mincho"/>
          <w:sz w:val="32"/>
          <w:lang w:eastAsia="zh-CN"/>
        </w:rPr>
      </w:pPr>
      <w:r>
        <w:rPr>
          <w:rFonts w:ascii="Arial" w:hAnsi="Arial" w:eastAsia="MS Mincho"/>
          <w:sz w:val="32"/>
          <w:lang w:eastAsia="zh-CN"/>
        </w:rPr>
        <w:t>A.3.14</w:t>
      </w:r>
      <w:r>
        <w:rPr>
          <w:rFonts w:ascii="Arial" w:hAnsi="Arial" w:eastAsia="MS Mincho"/>
          <w:sz w:val="32"/>
          <w:lang w:eastAsia="zh-CN"/>
        </w:rPr>
        <w:tab/>
      </w:r>
      <w:r>
        <w:rPr>
          <w:rFonts w:ascii="Arial" w:hAnsi="Arial"/>
          <w:sz w:val="32"/>
          <w:lang w:eastAsia="zh-CN"/>
        </w:rPr>
        <w:t xml:space="preserve">Reference measurement channels </w:t>
      </w:r>
      <w:r>
        <w:rPr>
          <w:rFonts w:ascii="Arial" w:hAnsi="Arial" w:eastAsia="MS Mincho"/>
          <w:sz w:val="32"/>
          <w:lang w:eastAsia="zh-CN"/>
        </w:rPr>
        <w:t>for NPBCH performance requirements for Cat NB1 UEs</w:t>
      </w:r>
    </w:p>
    <w:p>
      <w:pPr>
        <w:pStyle w:val="113"/>
      </w:pPr>
      <w:r>
        <w:t>Table A.3.14-1: Reference Channel for Category NB1 UE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46"/>
        <w:gridCol w:w="900"/>
        <w:gridCol w:w="2269"/>
        <w:gridCol w:w="20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Parameter</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Unit</w:t>
            </w:r>
          </w:p>
        </w:tc>
        <w:tc>
          <w:tcPr>
            <w:tcW w:w="430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Reference channel</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R.NB.1</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R.NB.2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Number of transmitter antennas</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1</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Channel bandwidth</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KHz</w:t>
            </w: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200</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 xml:space="preserve">Modulation </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QPSK</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Target coding rate</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lang w:eastAsia="zh-CN"/>
              </w:rPr>
              <w:t>50/1600</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lang w:eastAsia="zh-CN"/>
              </w:rPr>
              <w:t>50/1600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Payload (without CRC)</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Bits</w:t>
            </w: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34</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34</w:t>
            </w:r>
          </w:p>
        </w:tc>
      </w:tr>
    </w:tbl>
    <w:p/>
    <w:p>
      <w:pPr>
        <w:pStyle w:val="3"/>
      </w:pPr>
      <w:bookmarkStart w:id="1818" w:name="_Toc22599"/>
      <w:bookmarkStart w:id="1819" w:name="_Toc8862"/>
      <w:bookmarkStart w:id="1820" w:name="_Toc5145"/>
      <w:bookmarkStart w:id="1821" w:name="_Toc232582131"/>
      <w:bookmarkStart w:id="1822" w:name="_Toc23161"/>
      <w:bookmarkStart w:id="1823" w:name="_Toc32028"/>
      <w:r>
        <w:t>A.4</w:t>
      </w:r>
      <w:r>
        <w:tab/>
      </w:r>
      <w:r>
        <w:t>CQI reference measurement channels</w:t>
      </w:r>
      <w:bookmarkEnd w:id="1818"/>
      <w:bookmarkEnd w:id="1819"/>
      <w:bookmarkEnd w:id="1820"/>
      <w:bookmarkEnd w:id="1821"/>
      <w:bookmarkEnd w:id="1822"/>
      <w:bookmarkEnd w:id="1823"/>
    </w:p>
    <w:p>
      <w:pPr>
        <w:rPr>
          <w:rFonts w:eastAsia="宋体"/>
          <w:lang w:val="en-US" w:eastAsia="zh-CN"/>
        </w:rPr>
      </w:pPr>
      <w:r>
        <w:rPr>
          <w:rFonts w:hint="eastAsia" w:eastAsia="宋体"/>
          <w:lang w:val="en-US" w:eastAsia="zh-CN"/>
        </w:rPr>
        <w:t>FFS</w:t>
      </w:r>
    </w:p>
    <w:p>
      <w:pPr>
        <w:pStyle w:val="3"/>
      </w:pPr>
      <w:bookmarkStart w:id="1824" w:name="_Toc25502"/>
      <w:bookmarkStart w:id="1825" w:name="_Toc14142"/>
      <w:bookmarkStart w:id="1826" w:name="_Toc24127"/>
      <w:bookmarkStart w:id="1827" w:name="_Toc7126"/>
      <w:bookmarkStart w:id="1828" w:name="_Toc18597"/>
      <w:r>
        <w:t>A.5</w:t>
      </w:r>
      <w:r>
        <w:tab/>
      </w:r>
      <w:r>
        <w:t>OFDMA Channel Noise Generator (OCNG)</w:t>
      </w:r>
      <w:bookmarkEnd w:id="1824"/>
      <w:bookmarkEnd w:id="1825"/>
      <w:bookmarkEnd w:id="1826"/>
      <w:bookmarkEnd w:id="1827"/>
      <w:bookmarkEnd w:id="1828"/>
    </w:p>
    <w:p>
      <w:pPr>
        <w:pStyle w:val="4"/>
      </w:pPr>
      <w:bookmarkStart w:id="1829" w:name="_Toc17860"/>
      <w:bookmarkStart w:id="1830" w:name="_Toc24763"/>
      <w:bookmarkStart w:id="1831" w:name="_Toc15833"/>
      <w:bookmarkStart w:id="1832" w:name="_Toc272"/>
      <w:bookmarkStart w:id="1833" w:name="_Toc6695"/>
      <w:r>
        <w:t>A.5.1</w:t>
      </w:r>
      <w:r>
        <w:tab/>
      </w:r>
      <w:r>
        <w:t>OCNG Patterns for FDD</w:t>
      </w:r>
      <w:bookmarkEnd w:id="1829"/>
      <w:bookmarkEnd w:id="1830"/>
      <w:bookmarkEnd w:id="1831"/>
      <w:bookmarkEnd w:id="1832"/>
      <w:bookmarkEnd w:id="1833"/>
    </w:p>
    <w:p>
      <w:pPr>
        <w:rPr>
          <w:rFonts w:eastAsia="宋体"/>
          <w:lang w:eastAsia="zh-CN"/>
        </w:rPr>
      </w:pPr>
      <w:r>
        <w:rPr>
          <w:rFonts w:eastAsia="宋体"/>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pPr>
        <w:rPr>
          <w:rFonts w:eastAsia="宋体"/>
          <w:lang w:eastAsia="zh-CN"/>
        </w:rPr>
      </w:pPr>
      <w:r>
        <w:rPr>
          <w:rFonts w:eastAsia="宋体"/>
          <w:lang w:eastAsia="zh-CN"/>
        </w:rPr>
        <w:t>In each test case the OCNG is expressed by parameters OCNG_RA and OCNG_RB which together with a relative power level (</w:t>
      </w:r>
      <w:r>
        <w:rPr>
          <w:rFonts w:eastAsia="宋体"/>
          <w:position w:val="-10"/>
          <w:lang w:eastAsia="zh-CN"/>
        </w:rPr>
        <w:object>
          <v:shape id="_x0000_i1105" o:spt="75" type="#_x0000_t75" style="height:13.2pt;width:10.2pt;" o:ole="t" filled="f" o:preferrelative="t" stroked="f" coordsize="21600,21600">
            <v:path/>
            <v:fill on="f" focussize="0,0"/>
            <v:stroke on="f" joinstyle="miter"/>
            <v:imagedata r:id="rId151" o:title=""/>
            <o:lock v:ext="edit" aspectratio="t"/>
            <w10:wrap type="none"/>
            <w10:anchorlock/>
          </v:shape>
          <o:OLEObject Type="Embed" ProgID="Equation.3" ShapeID="_x0000_i1105" DrawAspect="Content" ObjectID="_1468075805" r:id="rId150">
            <o:LockedField>false</o:LockedField>
          </o:OLEObject>
        </w:object>
      </w:r>
      <w:r>
        <w:rPr>
          <w:rFonts w:eastAsia="宋体"/>
          <w:lang w:eastAsia="zh-CN"/>
        </w:rPr>
        <w:t>) specifies the PDSCH EPRE-to-RS EPRE ratios in OFDM symbols with and without reference symbols, respectively. The relative power, which is used for modelling boosting per virtual UE allocation, is expressed by:</w:t>
      </w:r>
    </w:p>
    <w:p>
      <w:pPr>
        <w:pStyle w:val="95"/>
        <w:jc w:val="center"/>
      </w:pPr>
      <w:r>
        <w:rPr>
          <w:position w:val="-12"/>
        </w:rPr>
        <w:object>
          <v:shape id="_x0000_i1106" o:spt="75" type="#_x0000_t75" style="height:19.2pt;width:308.4pt;" o:ole="t" filled="f" o:preferrelative="t" stroked="f" coordsize="21600,21600">
            <v:path/>
            <v:fill on="f" focussize="0,0"/>
            <v:stroke on="f" joinstyle="miter"/>
            <v:imagedata r:id="rId153" o:title=""/>
            <o:lock v:ext="edit" aspectratio="t"/>
            <w10:wrap type="none"/>
            <w10:anchorlock/>
          </v:shape>
          <o:OLEObject Type="Embed" ProgID="Equation.3" ShapeID="_x0000_i1106" DrawAspect="Content" ObjectID="_1468075806" r:id="rId152">
            <o:LockedField>false</o:LockedField>
          </o:OLEObject>
        </w:object>
      </w:r>
    </w:p>
    <w:p>
      <w:pPr>
        <w:rPr>
          <w:rFonts w:eastAsia="宋体"/>
          <w:lang w:eastAsia="zh-CN"/>
        </w:rPr>
      </w:pPr>
      <w:r>
        <w:rPr>
          <w:rFonts w:eastAsia="宋体"/>
          <w:lang w:eastAsia="zh-CN"/>
        </w:rPr>
        <w:t xml:space="preserve">where </w:t>
      </w:r>
      <w:r>
        <w:rPr>
          <w:rFonts w:eastAsia="宋体"/>
          <w:position w:val="-12"/>
          <w:lang w:eastAsia="zh-CN"/>
        </w:rPr>
        <w:object>
          <v:shape id="_x0000_i1107" o:spt="75" type="#_x0000_t75" style="height:19.2pt;width:12pt;" o:ole="t" filled="f" o:preferrelative="t" stroked="f" coordsize="21600,21600">
            <v:path/>
            <v:fill on="f" focussize="0,0"/>
            <v:stroke on="f" joinstyle="miter"/>
            <v:imagedata r:id="rId155" o:title=""/>
            <o:lock v:ext="edit" aspectratio="t"/>
            <w10:wrap type="none"/>
            <w10:anchorlock/>
          </v:shape>
          <o:OLEObject Type="Embed" ProgID="Equation.3" ShapeID="_x0000_i1107" DrawAspect="Content" ObjectID="_1468075807" r:id="rId154">
            <o:LockedField>false</o:LockedField>
          </o:OLEObject>
        </w:object>
      </w:r>
      <w:r>
        <w:rPr>
          <w:rFonts w:eastAsia="宋体"/>
          <w:lang w:eastAsia="zh-CN"/>
        </w:rPr>
        <w:t xml:space="preserve"> denotes the relative power level of the </w:t>
      </w:r>
      <w:r>
        <w:rPr>
          <w:rFonts w:eastAsia="宋体"/>
          <w:i/>
          <w:iCs/>
          <w:lang w:eastAsia="zh-CN"/>
        </w:rPr>
        <w:t xml:space="preserve">i:th </w:t>
      </w:r>
      <w:r>
        <w:rPr>
          <w:rFonts w:eastAsia="宋体"/>
          <w:lang w:eastAsia="zh-CN"/>
        </w:rPr>
        <w:t xml:space="preserve">virtual UE. The parameter settings of OCNG_RA, OCNG_RB, and the set of relative power levels </w:t>
      </w:r>
      <w:r>
        <w:rPr>
          <w:rFonts w:eastAsia="宋体"/>
          <w:position w:val="-10"/>
          <w:lang w:eastAsia="zh-CN"/>
        </w:rPr>
        <w:object>
          <v:shape id="_x0000_i1108" o:spt="75" type="#_x0000_t75" style="height:13.2pt;width:10.2pt;" o:ole="t" filled="f" o:preferrelative="t" stroked="f" coordsize="21600,21600">
            <v:path/>
            <v:fill on="f" focussize="0,0"/>
            <v:stroke on="f" joinstyle="miter"/>
            <v:imagedata r:id="rId157" o:title=""/>
            <o:lock v:ext="edit" aspectratio="t"/>
            <w10:wrap type="none"/>
            <w10:anchorlock/>
          </v:shape>
          <o:OLEObject Type="Embed" ProgID="Equation.3" ShapeID="_x0000_i1108" DrawAspect="Content" ObjectID="_1468075808" r:id="rId156">
            <o:LockedField>false</o:LockedField>
          </o:OLEObject>
        </w:object>
      </w:r>
      <w:r>
        <w:rPr>
          <w:rFonts w:eastAsia="宋体"/>
          <w:lang w:eastAsia="zh-CN"/>
        </w:rPr>
        <w:t>are chosen such that when also taking allocations to the UE under test into account, as given by a PDSCH reference channel, a transmitted power spectral density that is constant on an OFDM symbol basis is targeted.</w:t>
      </w:r>
    </w:p>
    <w:p>
      <w:pPr>
        <w:rPr>
          <w:rFonts w:eastAsia="宋体"/>
          <w:lang w:eastAsia="zh-CN"/>
        </w:rPr>
      </w:pPr>
      <w:r>
        <w:rPr>
          <w:rFonts w:eastAsia="宋体"/>
          <w:lang w:eastAsia="zh-CN"/>
        </w:rPr>
        <w:t>Moreover</w:t>
      </w:r>
      <w:r>
        <w:rPr>
          <w:rFonts w:hint="eastAsia" w:eastAsia="宋体"/>
          <w:lang w:val="en-US" w:eastAsia="zh-CN"/>
        </w:rPr>
        <w:t>,</w:t>
      </w:r>
      <w:r>
        <w:rPr>
          <w:rFonts w:eastAsia="宋体"/>
          <w:lang w:eastAsia="zh-CN"/>
        </w:rPr>
        <w:t xml:space="preserve">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pPr>
        <w:pStyle w:val="5"/>
        <w:rPr>
          <w:snapToGrid w:val="0"/>
        </w:rPr>
      </w:pPr>
      <w:bookmarkStart w:id="1834" w:name="_Toc17799"/>
      <w:bookmarkStart w:id="1835" w:name="_Toc29276"/>
      <w:bookmarkStart w:id="1836" w:name="_Toc249799615"/>
      <w:bookmarkStart w:id="1837" w:name="_Toc29624"/>
      <w:bookmarkStart w:id="1838" w:name="_Toc3996"/>
      <w:bookmarkStart w:id="1839" w:name="_Toc9399"/>
      <w:r>
        <w:rPr>
          <w:snapToGrid w:val="0"/>
        </w:rPr>
        <w:t>A.5.1.1</w:t>
      </w:r>
      <w:r>
        <w:rPr>
          <w:snapToGrid w:val="0"/>
        </w:rPr>
        <w:tab/>
      </w:r>
      <w:r>
        <w:rPr>
          <w:snapToGrid w:val="0"/>
        </w:rPr>
        <w:t>OCNG FDD pattern 1: One sided dynamic OCNG FDD pattern</w:t>
      </w:r>
      <w:bookmarkEnd w:id="1834"/>
      <w:bookmarkEnd w:id="1835"/>
      <w:bookmarkEnd w:id="1836"/>
      <w:bookmarkEnd w:id="1837"/>
      <w:bookmarkEnd w:id="1838"/>
      <w:bookmarkEnd w:id="1839"/>
    </w:p>
    <w:p>
      <w:pPr>
        <w:rPr>
          <w:rFonts w:ascii="Arial" w:hAnsi="Arial" w:cs="Arial"/>
          <w:sz w:val="18"/>
          <w:szCs w:val="18"/>
        </w:rPr>
      </w:pPr>
      <w:r>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pPr>
        <w:pStyle w:val="113"/>
      </w:pPr>
      <w:r>
        <w:t>Table A.5.1.1-1: OP.1 FDD: One sided dynamic OCNG FDD Pattern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4"/>
        <w:gridCol w:w="2464"/>
        <w:gridCol w:w="2464"/>
        <w:gridCol w:w="9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92" w:type="dxa"/>
            <w:gridSpan w:val="3"/>
          </w:tcPr>
          <w:p>
            <w:pPr>
              <w:pStyle w:val="104"/>
              <w:rPr>
                <w:snapToGrid w:val="0"/>
                <w:lang w:eastAsia="zh-CN"/>
              </w:rPr>
            </w:pPr>
            <w:r>
              <w:rPr>
                <w:lang w:eastAsia="zh-CN"/>
              </w:rPr>
              <w:t xml:space="preserve">Relative power level </w:t>
            </w:r>
            <w:r>
              <w:rPr>
                <w:position w:val="-10"/>
                <w:lang w:eastAsia="zh-CN"/>
              </w:rPr>
              <w:object>
                <v:shape id="_x0000_i1109" o:spt="75" type="#_x0000_t75" style="height:17.4pt;width:24pt;" o:ole="t" filled="f" o:preferrelative="t" stroked="f" coordsize="21600,21600">
                  <v:path/>
                  <v:fill on="f" focussize="0,0"/>
                  <v:stroke on="f" joinstyle="miter"/>
                  <v:imagedata r:id="rId159" o:title=""/>
                  <o:lock v:ext="edit" aspectratio="t"/>
                  <w10:wrap type="none"/>
                  <w10:anchorlock/>
                </v:shape>
                <o:OLEObject Type="Embed" ProgID="Equation.3" ShapeID="_x0000_i1109" DrawAspect="Content" ObjectID="_1468075809" r:id="rId158">
                  <o:LockedField>false</o:LockedField>
                </o:OLEObject>
              </w:object>
            </w:r>
            <w:r>
              <w:rPr>
                <w:lang w:eastAsia="zh-CN"/>
              </w:rPr>
              <w:t xml:space="preserve"> [dB]</w:t>
            </w:r>
          </w:p>
        </w:tc>
        <w:tc>
          <w:tcPr>
            <w:tcW w:w="998" w:type="dxa"/>
            <w:vMerge w:val="restart"/>
            <w:vAlign w:val="center"/>
          </w:tcPr>
          <w:p>
            <w:pPr>
              <w:pStyle w:val="104"/>
              <w:rPr>
                <w:snapToGrid w:val="0"/>
                <w:lang w:eastAsia="zh-CN"/>
              </w:rPr>
            </w:pPr>
            <w:r>
              <w:rPr>
                <w:lang w:eastAsia="zh-CN"/>
              </w:rPr>
              <w:t>PDSCH Data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7392" w:type="dxa"/>
            <w:gridSpan w:val="3"/>
          </w:tcPr>
          <w:p>
            <w:pPr>
              <w:pStyle w:val="104"/>
              <w:rPr>
                <w:snapToGrid w:val="0"/>
                <w:lang w:eastAsia="zh-CN"/>
              </w:rPr>
            </w:pPr>
            <w:r>
              <w:rPr>
                <w:lang w:eastAsia="zh-CN"/>
              </w:rPr>
              <w:t>Subframe</w:t>
            </w:r>
          </w:p>
        </w:tc>
        <w:tc>
          <w:tcPr>
            <w:tcW w:w="998" w:type="dxa"/>
            <w:vMerge w:val="continue"/>
          </w:tcPr>
          <w:p>
            <w:pPr>
              <w:pStyle w:val="104"/>
              <w:rPr>
                <w:snapToGrid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2464" w:type="dxa"/>
          </w:tcPr>
          <w:p>
            <w:pPr>
              <w:pStyle w:val="105"/>
              <w:rPr>
                <w:snapToGrid w:val="0"/>
              </w:rPr>
            </w:pPr>
            <w:r>
              <w:rPr>
                <w:snapToGrid w:val="0"/>
              </w:rPr>
              <w:t>0</w:t>
            </w:r>
          </w:p>
        </w:tc>
        <w:tc>
          <w:tcPr>
            <w:tcW w:w="2464" w:type="dxa"/>
          </w:tcPr>
          <w:p>
            <w:pPr>
              <w:pStyle w:val="105"/>
              <w:rPr>
                <w:snapToGrid w:val="0"/>
              </w:rPr>
            </w:pPr>
            <w:r>
              <w:rPr>
                <w:snapToGrid w:val="0"/>
              </w:rPr>
              <w:t>5</w:t>
            </w:r>
          </w:p>
        </w:tc>
        <w:tc>
          <w:tcPr>
            <w:tcW w:w="2464" w:type="dxa"/>
          </w:tcPr>
          <w:p>
            <w:pPr>
              <w:pStyle w:val="105"/>
              <w:rPr>
                <w:snapToGrid w:val="0"/>
              </w:rPr>
            </w:pPr>
            <w:r>
              <w:t>1 – 4, 6 – 9</w:t>
            </w:r>
          </w:p>
        </w:tc>
        <w:tc>
          <w:tcPr>
            <w:tcW w:w="998" w:type="dxa"/>
            <w:vMerge w:val="continue"/>
          </w:tcPr>
          <w:p>
            <w:pPr>
              <w:pStyle w:val="105"/>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7392" w:type="dxa"/>
            <w:gridSpan w:val="3"/>
          </w:tcPr>
          <w:p>
            <w:pPr>
              <w:pStyle w:val="104"/>
              <w:rPr>
                <w:snapToGrid w:val="0"/>
                <w:lang w:eastAsia="zh-CN"/>
              </w:rPr>
            </w:pPr>
            <w:r>
              <w:rPr>
                <w:lang w:eastAsia="zh-CN"/>
              </w:rPr>
              <w:t>Allocation</w:t>
            </w:r>
          </w:p>
        </w:tc>
        <w:tc>
          <w:tcPr>
            <w:tcW w:w="998" w:type="dxa"/>
            <w:vMerge w:val="continue"/>
          </w:tcPr>
          <w:p>
            <w:pPr>
              <w:pStyle w:val="5"/>
              <w:ind w:left="0" w:firstLine="0"/>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64" w:type="dxa"/>
          </w:tcPr>
          <w:p>
            <w:pPr>
              <w:pStyle w:val="105"/>
              <w:rPr>
                <w:snapToGrid w:val="0"/>
              </w:rPr>
            </w:pPr>
            <w:r>
              <w:t>First unallocated PRB</w:t>
            </w:r>
            <w:r>
              <w:br w:type="textWrapping"/>
            </w:r>
            <w:r>
              <w:t>–</w:t>
            </w:r>
            <w:r>
              <w:br w:type="textWrapping"/>
            </w:r>
            <w:r>
              <w:t>Last unallocated PRB</w:t>
            </w:r>
          </w:p>
        </w:tc>
        <w:tc>
          <w:tcPr>
            <w:tcW w:w="2464" w:type="dxa"/>
          </w:tcPr>
          <w:p>
            <w:pPr>
              <w:pStyle w:val="105"/>
              <w:rPr>
                <w:snapToGrid w:val="0"/>
              </w:rPr>
            </w:pPr>
            <w:r>
              <w:t>First unallocated PRB</w:t>
            </w:r>
            <w:r>
              <w:br w:type="textWrapping"/>
            </w:r>
            <w:r>
              <w:t>–</w:t>
            </w:r>
            <w:r>
              <w:br w:type="textWrapping"/>
            </w:r>
            <w:r>
              <w:t>Last unallocated PRB</w:t>
            </w:r>
          </w:p>
        </w:tc>
        <w:tc>
          <w:tcPr>
            <w:tcW w:w="2464" w:type="dxa"/>
          </w:tcPr>
          <w:p>
            <w:pPr>
              <w:pStyle w:val="105"/>
              <w:rPr>
                <w:snapToGrid w:val="0"/>
              </w:rPr>
            </w:pPr>
            <w:r>
              <w:t>First unallocated PRB</w:t>
            </w:r>
            <w:r>
              <w:br w:type="textWrapping"/>
            </w:r>
            <w:r>
              <w:t>–</w:t>
            </w:r>
            <w:r>
              <w:br w:type="textWrapping"/>
            </w:r>
            <w:r>
              <w:t>Last unallocated PRB</w:t>
            </w:r>
          </w:p>
        </w:tc>
        <w:tc>
          <w:tcPr>
            <w:tcW w:w="998" w:type="dxa"/>
            <w:vMerge w:val="continue"/>
          </w:tcPr>
          <w:p>
            <w:pPr>
              <w:pStyle w:val="105"/>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4" w:type="dxa"/>
          </w:tcPr>
          <w:p>
            <w:pPr>
              <w:pStyle w:val="105"/>
              <w:rPr>
                <w:snapToGrid w:val="0"/>
              </w:rPr>
            </w:pPr>
            <w:r>
              <w:rPr>
                <w:snapToGrid w:val="0"/>
              </w:rPr>
              <w:t>0</w:t>
            </w:r>
          </w:p>
        </w:tc>
        <w:tc>
          <w:tcPr>
            <w:tcW w:w="2464" w:type="dxa"/>
          </w:tcPr>
          <w:p>
            <w:pPr>
              <w:pStyle w:val="105"/>
              <w:rPr>
                <w:snapToGrid w:val="0"/>
              </w:rPr>
            </w:pPr>
            <w:r>
              <w:rPr>
                <w:snapToGrid w:val="0"/>
              </w:rPr>
              <w:t>0</w:t>
            </w:r>
          </w:p>
        </w:tc>
        <w:tc>
          <w:tcPr>
            <w:tcW w:w="2464" w:type="dxa"/>
          </w:tcPr>
          <w:p>
            <w:pPr>
              <w:pStyle w:val="105"/>
              <w:rPr>
                <w:snapToGrid w:val="0"/>
              </w:rPr>
            </w:pPr>
            <w:r>
              <w:rPr>
                <w:snapToGrid w:val="0"/>
              </w:rPr>
              <w:t>0</w:t>
            </w:r>
          </w:p>
        </w:tc>
        <w:tc>
          <w:tcPr>
            <w:tcW w:w="998" w:type="dxa"/>
          </w:tcPr>
          <w:p>
            <w:pPr>
              <w:pStyle w:val="105"/>
              <w:rPr>
                <w:snapToGrid w:val="0"/>
              </w:rPr>
            </w:pPr>
            <w: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90" w:type="dxa"/>
            <w:gridSpan w:val="4"/>
          </w:tcPr>
          <w:p>
            <w:pPr>
              <w:pStyle w:val="118"/>
            </w:pPr>
            <w:r>
              <w:t>Note 1:</w:t>
            </w:r>
            <w:r>
              <w:tab/>
            </w:r>
            <w:r>
              <w:t xml:space="preserve">These physical resource blocks are assigned to an arbitrary number of virtual UEs with one PDSCH per virtual UE; the data transmitted over the OCNG PDSCHs shall be uncorrelated pseudo random data, which is QPSK modulated. </w:t>
            </w:r>
            <w:r>
              <w:rPr>
                <w:szCs w:val="18"/>
              </w:rPr>
              <w:t>The parameter</w:t>
            </w:r>
            <w:r>
              <w:rPr>
                <w:position w:val="-10"/>
                <w:szCs w:val="18"/>
              </w:rPr>
              <w:object>
                <v:shape id="_x0000_i1110" o:spt="75" type="#_x0000_t75" style="height:17.4pt;width:24pt;" o:ole="t" filled="f" o:preferrelative="t" stroked="f" coordsize="21600,21600">
                  <v:path/>
                  <v:fill on="f" focussize="0,0"/>
                  <v:stroke on="f" joinstyle="miter"/>
                  <v:imagedata r:id="rId161" o:title=""/>
                  <o:lock v:ext="edit" aspectratio="t"/>
                  <w10:wrap type="none"/>
                  <w10:anchorlock/>
                </v:shape>
                <o:OLEObject Type="Embed" ProgID="Equation.3" ShapeID="_x0000_i1110" DrawAspect="Content" ObjectID="_1468075810" r:id="rId160">
                  <o:LockedField>false</o:LockedField>
                </o:OLEObject>
              </w:object>
            </w:r>
            <w:r>
              <w:rPr>
                <w:szCs w:val="18"/>
              </w:rPr>
              <w:t>is used to scale the power of PDSCH.</w:t>
            </w:r>
          </w:p>
          <w:p>
            <w:pPr>
              <w:pStyle w:val="118"/>
              <w:rPr>
                <w:snapToGrid w:val="0"/>
              </w:rPr>
            </w:pPr>
            <w:r>
              <w:t>Note 2:</w:t>
            </w:r>
            <w:r>
              <w:tab/>
            </w:r>
            <w:r>
              <w:t>If two or more transmit antennas with CRS are used in the test, the OCNG shall be transmitted to the virtual users by all the transmit antennas with CRS according to transmission mode 2. The parameter</w:t>
            </w:r>
            <w:r>
              <w:rPr>
                <w:position w:val="-10"/>
              </w:rPr>
              <w:object>
                <v:shape id="_x0000_i1111" o:spt="75" type="#_x0000_t75" style="height:17.4pt;width:24pt;" o:ole="t" filled="f" o:preferrelative="t" stroked="f" coordsize="21600,21600">
                  <v:path/>
                  <v:fill on="f" focussize="0,0"/>
                  <v:stroke on="f" joinstyle="miter"/>
                  <v:imagedata r:id="rId161" o:title=""/>
                  <o:lock v:ext="edit" aspectratio="t"/>
                  <w10:wrap type="none"/>
                  <w10:anchorlock/>
                </v:shape>
                <o:OLEObject Type="Embed" ProgID="Equation.3" ShapeID="_x0000_i1111" DrawAspect="Content" ObjectID="_1468075811" r:id="rId162">
                  <o:LockedField>false</o:LockedField>
                </o:OLEObject>
              </w:object>
            </w:r>
            <w:r>
              <w:t xml:space="preserve"> applies to each antenna port separately, so the transmit power is equal between all the transmit antennas with CRS used in the test. The antenna transmission modes are specified in section 7.1 in 3GPP TS 36.213.</w:t>
            </w:r>
          </w:p>
        </w:tc>
      </w:tr>
    </w:tbl>
    <w:p>
      <w:pPr>
        <w:rPr>
          <w:snapToGrid w:val="0"/>
          <w:lang w:val="en-US" w:eastAsia="zh-TW"/>
        </w:rPr>
      </w:pPr>
      <w:bookmarkStart w:id="1840" w:name="_Toc137386469"/>
      <w:bookmarkStart w:id="1841" w:name="_Toc137401355"/>
      <w:bookmarkStart w:id="1842" w:name="_Toc138894879"/>
    </w:p>
    <w:p>
      <w:pPr>
        <w:pStyle w:val="5"/>
        <w:rPr>
          <w:snapToGrid w:val="0"/>
          <w:lang w:val="en-US" w:eastAsia="zh-CN"/>
        </w:rPr>
      </w:pPr>
      <w:bookmarkStart w:id="1843" w:name="_Toc17740"/>
      <w:bookmarkStart w:id="1844" w:name="_Toc9346"/>
      <w:bookmarkStart w:id="1845" w:name="_Toc5322"/>
      <w:bookmarkStart w:id="1846" w:name="_Toc27184"/>
      <w:bookmarkStart w:id="1847" w:name="_Toc25753"/>
      <w:r>
        <w:rPr>
          <w:snapToGrid w:val="0"/>
          <w:lang w:val="en-US" w:eastAsia="zh-TW"/>
        </w:rPr>
        <w:t>A</w:t>
      </w:r>
      <w:r>
        <w:rPr>
          <w:snapToGrid w:val="0"/>
          <w:lang w:val="en-US"/>
        </w:rPr>
        <w:t>.</w:t>
      </w:r>
      <w:r>
        <w:rPr>
          <w:rFonts w:eastAsia="宋体"/>
          <w:snapToGrid w:val="0"/>
          <w:lang w:val="en-US" w:eastAsia="zh-CN"/>
        </w:rPr>
        <w:t>5</w:t>
      </w:r>
      <w:r>
        <w:rPr>
          <w:snapToGrid w:val="0"/>
          <w:lang w:val="en-US"/>
        </w:rPr>
        <w:t>.</w:t>
      </w:r>
      <w:r>
        <w:rPr>
          <w:rFonts w:eastAsia="宋体"/>
          <w:snapToGrid w:val="0"/>
          <w:lang w:val="en-US" w:eastAsia="zh-CN"/>
        </w:rPr>
        <w:t>1</w:t>
      </w:r>
      <w:r>
        <w:rPr>
          <w:snapToGrid w:val="0"/>
          <w:lang w:val="en-US"/>
        </w:rPr>
        <w:t>.</w:t>
      </w:r>
      <w:r>
        <w:rPr>
          <w:snapToGrid w:val="0"/>
          <w:lang w:val="en-US" w:eastAsia="zh-CN"/>
        </w:rPr>
        <w:t>2</w:t>
      </w:r>
      <w:r>
        <w:rPr>
          <w:snapToGrid w:val="0"/>
          <w:lang w:val="en-US"/>
        </w:rPr>
        <w:tab/>
      </w:r>
      <w:r>
        <w:t xml:space="preserve">OCNG FDD Pattern </w:t>
      </w:r>
      <w:r>
        <w:rPr>
          <w:rFonts w:eastAsia="宋体"/>
          <w:lang w:val="en-US" w:eastAsia="zh-CN"/>
        </w:rPr>
        <w:t>2</w:t>
      </w:r>
      <w:r>
        <w:t>: Two sided dynamic OCNG FDD pattern</w:t>
      </w:r>
      <w:bookmarkEnd w:id="1840"/>
      <w:bookmarkEnd w:id="1841"/>
      <w:bookmarkEnd w:id="1842"/>
      <w:bookmarkEnd w:id="1843"/>
      <w:bookmarkEnd w:id="1844"/>
      <w:bookmarkEnd w:id="1845"/>
      <w:bookmarkEnd w:id="1846"/>
      <w:bookmarkEnd w:id="1847"/>
    </w:p>
    <w:p>
      <w:pPr>
        <w:spacing w:before="182"/>
        <w:ind w:right="512"/>
        <w:rPr>
          <w:spacing w:val="-5"/>
          <w:position w:val="1"/>
          <w:sz w:val="18"/>
        </w:rPr>
      </w:pPr>
      <w: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sz w:val="18"/>
        </w:rPr>
        <w:t>.</w:t>
      </w:r>
    </w:p>
    <w:p>
      <w:pPr>
        <w:pStyle w:val="113"/>
        <w:rPr>
          <w:sz w:val="15"/>
        </w:rPr>
      </w:pPr>
      <w:r>
        <w:t>Table</w:t>
      </w:r>
      <w:r>
        <w:rPr>
          <w:spacing w:val="-6"/>
        </w:rPr>
        <w:t xml:space="preserve"> </w:t>
      </w:r>
      <w:r>
        <w:t>A.</w:t>
      </w:r>
      <w:r>
        <w:rPr>
          <w:rFonts w:eastAsia="宋体"/>
          <w:lang w:val="en-US" w:eastAsia="zh-CN"/>
        </w:rPr>
        <w:t>5</w:t>
      </w:r>
      <w:r>
        <w:t>.</w:t>
      </w:r>
      <w:r>
        <w:rPr>
          <w:rFonts w:eastAsia="宋体"/>
          <w:lang w:val="en-US" w:eastAsia="zh-CN"/>
        </w:rPr>
        <w:t>1</w:t>
      </w:r>
      <w:r>
        <w:t>.</w:t>
      </w:r>
      <w:r>
        <w:rPr>
          <w:rFonts w:eastAsia="宋体"/>
          <w:lang w:val="en-US" w:eastAsia="zh-CN"/>
        </w:rPr>
        <w:t>2</w:t>
      </w:r>
      <w:r>
        <w:t>-1:</w:t>
      </w:r>
      <w:r>
        <w:rPr>
          <w:spacing w:val="-6"/>
        </w:rPr>
        <w:t xml:space="preserve"> </w:t>
      </w:r>
      <w:r>
        <w:t>OP.1</w:t>
      </w:r>
      <w:r>
        <w:rPr>
          <w:spacing w:val="-5"/>
        </w:rPr>
        <w:t xml:space="preserve"> </w:t>
      </w:r>
      <w:r>
        <w:t>FDD:</w:t>
      </w:r>
      <w:r>
        <w:rPr>
          <w:spacing w:val="-6"/>
        </w:rPr>
        <w:t xml:space="preserve"> </w:t>
      </w:r>
      <w:r>
        <w:t>Two</w:t>
      </w:r>
      <w:r>
        <w:rPr>
          <w:spacing w:val="-6"/>
        </w:rPr>
        <w:t xml:space="preserve"> </w:t>
      </w:r>
      <w:r>
        <w:t>sided</w:t>
      </w:r>
      <w:r>
        <w:rPr>
          <w:spacing w:val="-6"/>
        </w:rPr>
        <w:t xml:space="preserve"> </w:t>
      </w:r>
      <w:r>
        <w:t>dynamic</w:t>
      </w:r>
      <w:r>
        <w:rPr>
          <w:spacing w:val="-6"/>
        </w:rPr>
        <w:t xml:space="preserve"> </w:t>
      </w:r>
      <w:r>
        <w:t>OCNG</w:t>
      </w:r>
      <w:r>
        <w:rPr>
          <w:spacing w:val="-6"/>
        </w:rPr>
        <w:t xml:space="preserve"> </w:t>
      </w:r>
      <w:r>
        <w:t>FDD</w:t>
      </w:r>
      <w:r>
        <w:rPr>
          <w:spacing w:val="-6"/>
        </w:rPr>
        <w:t xml:space="preserve"> </w:t>
      </w:r>
      <w:r>
        <w:rPr>
          <w:spacing w:val="-2"/>
        </w:rPr>
        <w:t>Pattern</w:t>
      </w:r>
    </w:p>
    <w:tbl>
      <w:tblPr>
        <w:tblStyle w:val="89"/>
        <w:tblW w:w="963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410"/>
        <w:gridCol w:w="2408"/>
        <w:gridCol w:w="2410"/>
        <w:gridCol w:w="24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7" w:hRule="atLeast"/>
          <w:jc w:val="center"/>
        </w:trPr>
        <w:tc>
          <w:tcPr>
            <w:tcW w:w="7228" w:type="dxa"/>
            <w:gridSpan w:val="3"/>
          </w:tcPr>
          <w:p>
            <w:pPr>
              <w:pStyle w:val="104"/>
            </w:pPr>
            <w:r>
              <w:t>Relative</w:t>
            </w:r>
            <w:r>
              <w:rPr>
                <w:spacing w:val="-13"/>
              </w:rPr>
              <w:t xml:space="preserve"> </w:t>
            </w:r>
            <w:r>
              <w:t>power</w:t>
            </w:r>
            <w:r>
              <w:rPr>
                <w:spacing w:val="-7"/>
              </w:rPr>
              <w:t xml:space="preserve"> </w:t>
            </w:r>
            <w:r>
              <w:t>level</w:t>
            </w:r>
            <w:r>
              <w:rPr>
                <w:spacing w:val="41"/>
              </w:rPr>
              <w:t xml:space="preserve"> </w:t>
            </w:r>
            <w:r>
              <w:rPr>
                <w:rFonts w:ascii="Symbol" w:hAnsi="Symbol"/>
                <w:i/>
                <w:sz w:val="25"/>
              </w:rPr>
              <w:t></w:t>
            </w:r>
            <w:r>
              <w:rPr>
                <w:spacing w:val="-20"/>
                <w:sz w:val="25"/>
              </w:rPr>
              <w:t xml:space="preserve"> </w:t>
            </w:r>
            <w:r>
              <w:rPr>
                <w:i/>
                <w:sz w:val="25"/>
                <w:vertAlign w:val="subscript"/>
              </w:rPr>
              <w:t>PRB</w:t>
            </w:r>
            <w:r>
              <w:rPr>
                <w:i/>
                <w:spacing w:val="50"/>
                <w:sz w:val="25"/>
              </w:rPr>
              <w:t xml:space="preserve"> </w:t>
            </w:r>
            <w:r>
              <w:rPr>
                <w:spacing w:val="-4"/>
              </w:rPr>
              <w:t>[dB]</w:t>
            </w:r>
          </w:p>
        </w:tc>
        <w:tc>
          <w:tcPr>
            <w:tcW w:w="2405" w:type="dxa"/>
            <w:vMerge w:val="restart"/>
          </w:tcPr>
          <w:p>
            <w:pPr>
              <w:pStyle w:val="104"/>
            </w:pPr>
          </w:p>
          <w:p>
            <w:pPr>
              <w:pStyle w:val="104"/>
            </w:pPr>
          </w:p>
          <w:p>
            <w:pPr>
              <w:pStyle w:val="104"/>
            </w:pPr>
          </w:p>
          <w:p>
            <w:pPr>
              <w:pStyle w:val="104"/>
            </w:pPr>
          </w:p>
          <w:p>
            <w:pPr>
              <w:pStyle w:val="104"/>
            </w:pPr>
            <w:r>
              <w:t>PDSCH</w:t>
            </w:r>
            <w:r>
              <w:rPr>
                <w:spacing w:val="-6"/>
              </w:rPr>
              <w:t xml:space="preserve"> </w:t>
            </w:r>
            <w:r>
              <w:rPr>
                <w:spacing w:val="-4"/>
              </w:rPr>
              <w:t>Data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7228" w:type="dxa"/>
            <w:gridSpan w:val="3"/>
          </w:tcPr>
          <w:p>
            <w:pPr>
              <w:pStyle w:val="104"/>
            </w:pPr>
            <w:r>
              <w:rPr>
                <w:spacing w:val="-2"/>
              </w:rPr>
              <w:t>Subframe</w:t>
            </w:r>
          </w:p>
        </w:tc>
        <w:tc>
          <w:tcPr>
            <w:tcW w:w="2405"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jc w:val="center"/>
        </w:trPr>
        <w:tc>
          <w:tcPr>
            <w:tcW w:w="2410" w:type="dxa"/>
          </w:tcPr>
          <w:p>
            <w:pPr>
              <w:pStyle w:val="105"/>
            </w:pPr>
            <w:r>
              <w:t>0</w:t>
            </w:r>
          </w:p>
        </w:tc>
        <w:tc>
          <w:tcPr>
            <w:tcW w:w="2408" w:type="dxa"/>
          </w:tcPr>
          <w:p>
            <w:pPr>
              <w:pStyle w:val="105"/>
            </w:pPr>
            <w:r>
              <w:t>5</w:t>
            </w:r>
          </w:p>
        </w:tc>
        <w:tc>
          <w:tcPr>
            <w:tcW w:w="2410" w:type="dxa"/>
          </w:tcPr>
          <w:p>
            <w:pPr>
              <w:pStyle w:val="105"/>
            </w:pPr>
            <w:r>
              <w:t>1 – 4,</w:t>
            </w:r>
            <w:r>
              <w:rPr>
                <w:spacing w:val="-2"/>
              </w:rPr>
              <w:t xml:space="preserve"> </w:t>
            </w:r>
            <w:r>
              <w:t>6 –</w:t>
            </w:r>
            <w:r>
              <w:rPr>
                <w:spacing w:val="-2"/>
              </w:rPr>
              <w:t xml:space="preserve"> </w:t>
            </w:r>
            <w:r>
              <w:rPr>
                <w:spacing w:val="-10"/>
              </w:rPr>
              <w:t>9</w:t>
            </w:r>
          </w:p>
        </w:tc>
        <w:tc>
          <w:tcPr>
            <w:tcW w:w="2405"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7228" w:type="dxa"/>
            <w:gridSpan w:val="3"/>
          </w:tcPr>
          <w:p>
            <w:pPr>
              <w:pStyle w:val="104"/>
            </w:pPr>
            <w:r>
              <w:t>Allocation</w:t>
            </w:r>
          </w:p>
        </w:tc>
        <w:tc>
          <w:tcPr>
            <w:tcW w:w="2405"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0" w:hRule="atLeast"/>
          <w:jc w:val="center"/>
        </w:trPr>
        <w:tc>
          <w:tcPr>
            <w:tcW w:w="2410" w:type="dxa"/>
          </w:tcPr>
          <w:p>
            <w:pPr>
              <w:pStyle w:val="105"/>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pPr>
              <w:pStyle w:val="105"/>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pPr>
              <w:pStyle w:val="105"/>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08" w:type="dxa"/>
          </w:tcPr>
          <w:p>
            <w:pPr>
              <w:pStyle w:val="105"/>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pPr>
              <w:pStyle w:val="105"/>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pPr>
              <w:pStyle w:val="105"/>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10" w:type="dxa"/>
          </w:tcPr>
          <w:p>
            <w:pPr>
              <w:pStyle w:val="105"/>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pPr>
              <w:pStyle w:val="105"/>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pPr>
              <w:pStyle w:val="105"/>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05"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jc w:val="center"/>
        </w:trPr>
        <w:tc>
          <w:tcPr>
            <w:tcW w:w="2410" w:type="dxa"/>
          </w:tcPr>
          <w:p>
            <w:pPr>
              <w:pStyle w:val="105"/>
            </w:pPr>
            <w:r>
              <w:t>0</w:t>
            </w:r>
          </w:p>
        </w:tc>
        <w:tc>
          <w:tcPr>
            <w:tcW w:w="2408" w:type="dxa"/>
          </w:tcPr>
          <w:p>
            <w:pPr>
              <w:pStyle w:val="105"/>
            </w:pPr>
            <w:r>
              <w:t>0</w:t>
            </w:r>
          </w:p>
        </w:tc>
        <w:tc>
          <w:tcPr>
            <w:tcW w:w="2410" w:type="dxa"/>
          </w:tcPr>
          <w:p>
            <w:pPr>
              <w:pStyle w:val="105"/>
            </w:pPr>
            <w:r>
              <w:t>0</w:t>
            </w:r>
          </w:p>
        </w:tc>
        <w:tc>
          <w:tcPr>
            <w:tcW w:w="2405" w:type="dxa"/>
          </w:tcPr>
          <w:p>
            <w:pPr>
              <w:pStyle w:val="105"/>
            </w:pPr>
            <w:r>
              <w:t xml:space="preserve">Note </w:t>
            </w:r>
            <w:r>
              <w:rPr>
                <w:spacing w:val="-10"/>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 w:hRule="atLeast"/>
          <w:jc w:val="center"/>
        </w:trPr>
        <w:tc>
          <w:tcPr>
            <w:tcW w:w="9633" w:type="dxa"/>
            <w:gridSpan w:val="4"/>
          </w:tcPr>
          <w:p>
            <w:pPr>
              <w:pStyle w:val="118"/>
            </w:pPr>
            <w:r>
              <w:t>Note 1:</w:t>
            </w:r>
            <w:r>
              <w:tab/>
            </w:r>
            <w:r>
              <w:t>These physical resource blocks are assigned to an arbitrary number of virtual UEs with one PDSCH per virtual</w:t>
            </w:r>
            <w:r>
              <w:rPr>
                <w:spacing w:val="-3"/>
              </w:rPr>
              <w:t xml:space="preserve"> </w:t>
            </w:r>
            <w:r>
              <w:t>UE;</w:t>
            </w:r>
            <w:r>
              <w:rPr>
                <w:spacing w:val="-2"/>
              </w:rPr>
              <w:t xml:space="preserve"> </w:t>
            </w:r>
            <w:r>
              <w:t>the</w:t>
            </w:r>
            <w:r>
              <w:rPr>
                <w:spacing w:val="-3"/>
              </w:rPr>
              <w:t xml:space="preserve"> </w:t>
            </w:r>
            <w:r>
              <w:t>data</w:t>
            </w:r>
            <w:r>
              <w:rPr>
                <w:spacing w:val="-3"/>
              </w:rPr>
              <w:t xml:space="preserve"> </w:t>
            </w:r>
            <w:r>
              <w:t>transmitted</w:t>
            </w:r>
            <w:r>
              <w:rPr>
                <w:spacing w:val="-3"/>
              </w:rPr>
              <w:t xml:space="preserve"> </w:t>
            </w:r>
            <w:r>
              <w:t>over</w:t>
            </w:r>
            <w:r>
              <w:rPr>
                <w:spacing w:val="-3"/>
              </w:rPr>
              <w:t xml:space="preserve"> </w:t>
            </w:r>
            <w:r>
              <w:t>the</w:t>
            </w:r>
            <w:r>
              <w:rPr>
                <w:spacing w:val="-5"/>
              </w:rPr>
              <w:t xml:space="preserve"> </w:t>
            </w:r>
            <w:r>
              <w:t>OCNG</w:t>
            </w:r>
            <w:r>
              <w:rPr>
                <w:spacing w:val="-4"/>
              </w:rPr>
              <w:t xml:space="preserve"> </w:t>
            </w:r>
            <w:r>
              <w:t>PDSCHs</w:t>
            </w:r>
            <w:r>
              <w:rPr>
                <w:spacing w:val="-2"/>
              </w:rPr>
              <w:t xml:space="preserve"> </w:t>
            </w:r>
            <w:r>
              <w:t>shall</w:t>
            </w:r>
            <w:r>
              <w:rPr>
                <w:spacing w:val="-3"/>
              </w:rPr>
              <w:t xml:space="preserve"> </w:t>
            </w:r>
            <w:r>
              <w:t>be</w:t>
            </w:r>
            <w:r>
              <w:rPr>
                <w:spacing w:val="-3"/>
              </w:rPr>
              <w:t xml:space="preserve"> </w:t>
            </w:r>
            <w:r>
              <w:t>uncorrelated</w:t>
            </w:r>
            <w:r>
              <w:rPr>
                <w:spacing w:val="-3"/>
              </w:rPr>
              <w:t xml:space="preserve"> </w:t>
            </w:r>
            <w:r>
              <w:t>pseudo</w:t>
            </w:r>
            <w:r>
              <w:rPr>
                <w:spacing w:val="-3"/>
              </w:rPr>
              <w:t xml:space="preserve"> </w:t>
            </w:r>
            <w:r>
              <w:t>random</w:t>
            </w:r>
            <w:r>
              <w:rPr>
                <w:spacing w:val="-5"/>
              </w:rPr>
              <w:t xml:space="preserve"> </w:t>
            </w:r>
            <w:r>
              <w:t>data,</w:t>
            </w:r>
            <w:r>
              <w:rPr>
                <w:spacing w:val="-5"/>
              </w:rPr>
              <w:t xml:space="preserve"> </w:t>
            </w:r>
            <w:r>
              <w:t>which is QPSK modulated. The parameter</w:t>
            </w:r>
            <w:r>
              <w:rPr>
                <w:spacing w:val="-29"/>
              </w:rPr>
              <w:t xml:space="preserve"> </w:t>
            </w:r>
            <w:r>
              <w:rPr>
                <w:rFonts w:ascii="Symbol" w:hAnsi="Symbol"/>
                <w:i/>
                <w:sz w:val="25"/>
              </w:rPr>
              <w:t></w:t>
            </w:r>
            <w:r>
              <w:rPr>
                <w:spacing w:val="-14"/>
                <w:sz w:val="25"/>
              </w:rPr>
              <w:t xml:space="preserve"> </w:t>
            </w:r>
            <w:r>
              <w:rPr>
                <w:i/>
                <w:sz w:val="25"/>
                <w:vertAlign w:val="subscript"/>
              </w:rPr>
              <w:t>PRB</w:t>
            </w:r>
            <w:r>
              <w:rPr>
                <w:i/>
                <w:spacing w:val="-11"/>
                <w:sz w:val="25"/>
              </w:rPr>
              <w:t xml:space="preserve"> </w:t>
            </w:r>
            <w:r>
              <w:t>is used to scale the power of PDSCH.</w:t>
            </w:r>
          </w:p>
        </w:tc>
      </w:tr>
    </w:tbl>
    <w:p/>
    <w:p>
      <w:pPr>
        <w:pStyle w:val="4"/>
        <w:rPr>
          <w:rFonts w:eastAsia="宋体"/>
          <w:lang w:val="en-US" w:eastAsia="zh-CN"/>
        </w:rPr>
      </w:pPr>
      <w:bookmarkStart w:id="1848" w:name="_Toc32720"/>
      <w:bookmarkStart w:id="1849" w:name="_Toc23427"/>
      <w:bookmarkStart w:id="1850" w:name="_Toc18742"/>
      <w:bookmarkStart w:id="1851" w:name="_Toc19414"/>
      <w:bookmarkStart w:id="1852" w:name="_Toc1185"/>
      <w:r>
        <w:t>A.5.2</w:t>
      </w:r>
      <w:r>
        <w:tab/>
      </w:r>
      <w:r>
        <w:rPr>
          <w:rFonts w:hint="eastAsia" w:eastAsia="宋体"/>
          <w:lang w:val="en-US" w:eastAsia="zh-CN"/>
        </w:rPr>
        <w:t>FFS</w:t>
      </w:r>
      <w:bookmarkEnd w:id="1848"/>
      <w:bookmarkEnd w:id="1849"/>
      <w:bookmarkEnd w:id="1850"/>
      <w:bookmarkEnd w:id="1851"/>
      <w:bookmarkEnd w:id="1852"/>
    </w:p>
    <w:p/>
    <w:p>
      <w:pPr>
        <w:pStyle w:val="4"/>
        <w:ind w:left="0" w:firstLine="0"/>
        <w:rPr>
          <w:lang w:eastAsia="zh-CN"/>
        </w:rPr>
      </w:pPr>
      <w:bookmarkStart w:id="1853" w:name="_Toc2681"/>
      <w:bookmarkStart w:id="1854" w:name="_Toc16645"/>
      <w:bookmarkStart w:id="1855" w:name="_Toc15744"/>
      <w:bookmarkStart w:id="1856" w:name="_Toc9987"/>
      <w:bookmarkStart w:id="1857" w:name="_Toc27437"/>
      <w:r>
        <w:t>A.5.3</w:t>
      </w:r>
      <w:r>
        <w:tab/>
      </w:r>
      <w:r>
        <w:t xml:space="preserve">OCNG Patterns for </w:t>
      </w:r>
      <w:r>
        <w:rPr>
          <w:lang w:eastAsia="zh-CN"/>
        </w:rPr>
        <w:t>Narrowband IoT</w:t>
      </w:r>
      <w:bookmarkEnd w:id="1853"/>
      <w:bookmarkEnd w:id="1854"/>
      <w:bookmarkEnd w:id="1855"/>
      <w:bookmarkEnd w:id="1856"/>
      <w:bookmarkEnd w:id="1857"/>
    </w:p>
    <w:p>
      <w:pPr>
        <w:rPr>
          <w:lang w:eastAsia="zh-CN"/>
        </w:rPr>
      </w:pPr>
      <w:r>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pPr>
        <w:rPr>
          <w:lang w:eastAsia="zh-CN"/>
        </w:rPr>
      </w:pPr>
      <w:r>
        <w:rPr>
          <w:lang w:eastAsia="zh-CN"/>
        </w:rPr>
        <w:t>In each test case the OCNG is expressed by parameters OCNG_RA and OCNG_RB which together with a relative power level (</w:t>
      </w:r>
      <w:r>
        <w:rPr>
          <w:position w:val="-10"/>
          <w:lang w:eastAsia="zh-CN"/>
        </w:rPr>
        <w:object>
          <v:shape id="_x0000_i1112" o:spt="75" type="#_x0000_t75" style="height:13.2pt;width:10.2pt;" o:ole="t" filled="f" o:preferrelative="t" stroked="f" coordsize="21600,21600">
            <v:path/>
            <v:fill on="f" focussize="0,0"/>
            <v:stroke on="f" joinstyle="miter"/>
            <v:imagedata r:id="rId151" o:title=""/>
            <o:lock v:ext="edit" aspectratio="t"/>
            <w10:wrap type="none"/>
            <w10:anchorlock/>
          </v:shape>
          <o:OLEObject Type="Embed" ProgID="Equation.3" ShapeID="_x0000_i1112" DrawAspect="Content" ObjectID="_1468075812" r:id="rId163">
            <o:LockedField>false</o:LockedField>
          </o:OLEObject>
        </w:object>
      </w:r>
      <w:r>
        <w:rPr>
          <w:lang w:eastAsia="zh-CN"/>
        </w:rPr>
        <w:t>) specifies the NPDSCH EPRE-to-NRS EPRE ratios in OFDM symbols with and without Narrowband reference symbols, respectively. The relative power, which is used for modelling boosting per virtual UE allocation, is expressed by:</w:t>
      </w:r>
    </w:p>
    <w:p>
      <w:pPr>
        <w:pStyle w:val="95"/>
        <w:jc w:val="center"/>
      </w:pPr>
      <w:r>
        <w:rPr>
          <w:position w:val="-12"/>
        </w:rPr>
        <w:object>
          <v:shape id="_x0000_i1113" o:spt="75" type="#_x0000_t75" style="height:19.2pt;width:325.2pt;" o:ole="t" filled="f" o:preferrelative="t" stroked="f" coordsize="21600,21600">
            <v:path/>
            <v:fill on="f" focussize="0,0"/>
            <v:stroke on="f" joinstyle="miter"/>
            <v:imagedata r:id="rId165" o:title=""/>
            <o:lock v:ext="edit" aspectratio="t"/>
            <w10:wrap type="none"/>
            <w10:anchorlock/>
          </v:shape>
          <o:OLEObject Type="Embed" ProgID="Equation.DSMT4" ShapeID="_x0000_i1113" DrawAspect="Content" ObjectID="_1468075813" r:id="rId164">
            <o:LockedField>false</o:LockedField>
          </o:OLEObject>
        </w:object>
      </w:r>
    </w:p>
    <w:p>
      <w:pPr>
        <w:rPr>
          <w:lang w:eastAsia="zh-CN"/>
        </w:rPr>
      </w:pPr>
      <w:r>
        <w:rPr>
          <w:lang w:eastAsia="zh-CN"/>
        </w:rPr>
        <w:t xml:space="preserve">where </w:t>
      </w:r>
      <w:r>
        <w:rPr>
          <w:position w:val="-12"/>
          <w:lang w:eastAsia="zh-CN"/>
        </w:rPr>
        <w:object>
          <v:shape id="_x0000_i1114" o:spt="75" type="#_x0000_t75" style="height:19.2pt;width:12pt;" o:ole="t" filled="f" o:preferrelative="t" stroked="f" coordsize="21600,21600">
            <v:path/>
            <v:fill on="f" focussize="0,0"/>
            <v:stroke on="f" joinstyle="miter"/>
            <v:imagedata r:id="rId155" o:title=""/>
            <o:lock v:ext="edit" aspectratio="t"/>
            <w10:wrap type="none"/>
            <w10:anchorlock/>
          </v:shape>
          <o:OLEObject Type="Embed" ProgID="Equation.3" ShapeID="_x0000_i1114" DrawAspect="Content" ObjectID="_1468075814" r:id="rId166">
            <o:LockedField>false</o:LockedField>
          </o:OLEObject>
        </w:object>
      </w:r>
      <w:r>
        <w:rPr>
          <w:lang w:eastAsia="zh-CN"/>
        </w:rPr>
        <w:t xml:space="preserve"> denotes the relative power level of the </w:t>
      </w:r>
      <w:r>
        <w:rPr>
          <w:i/>
          <w:iCs/>
          <w:lang w:eastAsia="zh-CN"/>
        </w:rPr>
        <w:t xml:space="preserve">i:th </w:t>
      </w:r>
      <w:r>
        <w:rPr>
          <w:lang w:eastAsia="zh-CN"/>
        </w:rPr>
        <w:t xml:space="preserve">virtual UE. The parameter settings of OCNG_RA, OCNG_RB, and the set of relative power levels </w:t>
      </w:r>
      <w:r>
        <w:rPr>
          <w:position w:val="-10"/>
          <w:lang w:eastAsia="zh-CN"/>
        </w:rPr>
        <w:object>
          <v:shape id="_x0000_i1115" o:spt="75" type="#_x0000_t75" style="height:13.2pt;width:10.2pt;" o:ole="t" filled="f" o:preferrelative="t" stroked="f" coordsize="21600,21600">
            <v:path/>
            <v:fill on="f" focussize="0,0"/>
            <v:stroke on="f" joinstyle="miter"/>
            <v:imagedata r:id="rId157" o:title=""/>
            <o:lock v:ext="edit" aspectratio="t"/>
            <w10:wrap type="none"/>
            <w10:anchorlock/>
          </v:shape>
          <o:OLEObject Type="Embed" ProgID="Equation.3" ShapeID="_x0000_i1115" DrawAspect="Content" ObjectID="_1468075815" r:id="rId167">
            <o:LockedField>false</o:LockedField>
          </o:OLEObject>
        </w:object>
      </w:r>
      <w:r>
        <w:rPr>
          <w:lang w:eastAsia="zh-CN"/>
        </w:rPr>
        <w:t>are chosen such that when also taking allocations to the UE under test into account, as given by a NPDSCH or NPDCCH reference channel, a transmitted power spectral density that is constant on an OFDM symbol basis is targeted.</w:t>
      </w:r>
    </w:p>
    <w:p>
      <w:pPr>
        <w:pStyle w:val="5"/>
        <w:ind w:hanging="566"/>
        <w:rPr>
          <w:snapToGrid w:val="0"/>
          <w:lang w:eastAsia="zh-CN"/>
        </w:rPr>
      </w:pPr>
      <w:bookmarkStart w:id="1858" w:name="_Toc9762"/>
      <w:bookmarkStart w:id="1859" w:name="_Toc17906"/>
      <w:bookmarkStart w:id="1860" w:name="_Toc29025"/>
      <w:bookmarkStart w:id="1861" w:name="_Toc6920"/>
      <w:bookmarkStart w:id="1862" w:name="_Toc21044"/>
      <w:r>
        <w:rPr>
          <w:snapToGrid w:val="0"/>
        </w:rPr>
        <w:t>A.5.</w:t>
      </w:r>
      <w:r>
        <w:rPr>
          <w:snapToGrid w:val="0"/>
          <w:lang w:eastAsia="zh-CN"/>
        </w:rPr>
        <w:t>3</w:t>
      </w:r>
      <w:r>
        <w:rPr>
          <w:snapToGrid w:val="0"/>
        </w:rPr>
        <w:t>.1</w:t>
      </w:r>
      <w:r>
        <w:rPr>
          <w:snapToGrid w:val="0"/>
        </w:rPr>
        <w:tab/>
      </w:r>
      <w:r>
        <w:rPr>
          <w:lang w:eastAsia="zh-CN"/>
        </w:rPr>
        <w:t>Narrowband IoT</w:t>
      </w:r>
      <w:r>
        <w:rPr>
          <w:snapToGrid w:val="0"/>
        </w:rPr>
        <w:t xml:space="preserve"> OCNG pattern 1</w:t>
      </w:r>
      <w:bookmarkEnd w:id="1858"/>
      <w:bookmarkEnd w:id="1859"/>
      <w:bookmarkEnd w:id="1860"/>
      <w:bookmarkEnd w:id="1861"/>
      <w:bookmarkEnd w:id="1862"/>
    </w:p>
    <w:p>
      <w:pPr>
        <w:pStyle w:val="113"/>
        <w:rPr>
          <w:lang w:eastAsia="zh-CN"/>
        </w:rPr>
      </w:pPr>
      <w:r>
        <w:t>Table A.5.</w:t>
      </w:r>
      <w:r>
        <w:rPr>
          <w:lang w:eastAsia="zh-CN"/>
        </w:rPr>
        <w:t>3</w:t>
      </w:r>
      <w:r>
        <w:t xml:space="preserve">.1-1: </w:t>
      </w:r>
      <w:r>
        <w:rPr>
          <w:lang w:eastAsia="zh-CN"/>
        </w:rPr>
        <w:t>NB.</w:t>
      </w:r>
      <w:r>
        <w:t xml:space="preserve">OP.1 </w:t>
      </w:r>
      <w:r>
        <w:rPr>
          <w:lang w:eastAsia="zh-CN"/>
        </w:rPr>
        <w:t>F</w:t>
      </w:r>
      <w:r>
        <w:t xml:space="preserve">DD: </w:t>
      </w:r>
      <w:r>
        <w:rPr>
          <w:lang w:eastAsia="zh-CN"/>
        </w:rPr>
        <w:t>OCNG FDD Pattern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3"/>
        <w:gridCol w:w="4591"/>
        <w:gridCol w:w="18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3"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lang w:eastAsia="zh-CN"/>
              </w:rPr>
            </w:pPr>
            <w:r>
              <w:rPr>
                <w:rFonts w:cs="Arial"/>
                <w:lang w:eastAsia="zh-CN"/>
              </w:rPr>
              <w:t>Bandwidth</w:t>
            </w:r>
          </w:p>
        </w:tc>
        <w:tc>
          <w:tcPr>
            <w:tcW w:w="4591" w:type="dxa"/>
            <w:tcBorders>
              <w:top w:val="single" w:color="auto" w:sz="4" w:space="0"/>
              <w:left w:val="single" w:color="auto" w:sz="4" w:space="0"/>
              <w:bottom w:val="single" w:color="auto" w:sz="4" w:space="0"/>
              <w:right w:val="single" w:color="auto" w:sz="4" w:space="0"/>
            </w:tcBorders>
            <w:vAlign w:val="center"/>
          </w:tcPr>
          <w:p>
            <w:pPr>
              <w:pStyle w:val="104"/>
              <w:rPr>
                <w:rFonts w:cs="Arial"/>
                <w:lang w:eastAsia="zh-CN"/>
              </w:rPr>
            </w:pPr>
            <w:r>
              <w:rPr>
                <w:rFonts w:cs="Arial"/>
                <w:lang w:eastAsia="zh-CN"/>
              </w:rPr>
              <w:t xml:space="preserve">Relative power level </w:t>
            </w:r>
            <w:r>
              <w:rPr>
                <w:rFonts w:cs="Arial"/>
                <w:position w:val="-10"/>
                <w:lang w:eastAsia="zh-CN"/>
              </w:rPr>
              <w:object>
                <v:shape id="_x0000_i1116" o:spt="75" type="#_x0000_t75" style="height:13.2pt;width:10.2pt;" o:ole="t" filled="f" o:preferrelative="t" stroked="f" coordsize="21600,21600">
                  <v:path/>
                  <v:fill on="f" focussize="0,0"/>
                  <v:stroke on="f" joinstyle="miter"/>
                  <v:imagedata r:id="rId169" o:title=""/>
                  <o:lock v:ext="edit" aspectratio="t"/>
                  <w10:wrap type="none"/>
                  <w10:anchorlock/>
                </v:shape>
                <o:OLEObject Type="Embed" ProgID="Equation.DSMT4" ShapeID="_x0000_i1116" DrawAspect="Content" ObjectID="_1468075816" r:id="rId168">
                  <o:LockedField>false</o:LockedField>
                </o:OLEObject>
              </w:object>
            </w:r>
            <w:r>
              <w:rPr>
                <w:rFonts w:cs="Arial"/>
                <w:lang w:eastAsia="zh-CN"/>
              </w:rPr>
              <w:t xml:space="preserve"> [dB]</w:t>
            </w:r>
          </w:p>
        </w:tc>
        <w:tc>
          <w:tcPr>
            <w:tcW w:w="1842"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lang w:eastAsia="zh-CN"/>
              </w:rPr>
            </w:pPr>
            <w:r>
              <w:rPr>
                <w:rFonts w:cs="Arial"/>
                <w:lang w:eastAsia="zh-CN"/>
              </w:rPr>
              <w:t>NPDCCH and corresponding NPDSCH</w:t>
            </w:r>
          </w:p>
          <w:p>
            <w:pPr>
              <w:pStyle w:val="104"/>
              <w:rPr>
                <w:rFonts w:cs="Arial"/>
                <w:lang w:eastAsia="zh-CN"/>
              </w:rPr>
            </w:pPr>
            <w:r>
              <w:rPr>
                <w:rFonts w:cs="Arial"/>
                <w:lang w:eastAsia="zh-CN"/>
              </w:rPr>
              <w:t>Data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lang w:eastAsia="zh-CN"/>
              </w:rPr>
            </w:pPr>
          </w:p>
        </w:tc>
        <w:tc>
          <w:tcPr>
            <w:tcW w:w="4591" w:type="dxa"/>
            <w:tcBorders>
              <w:top w:val="single" w:color="auto" w:sz="4" w:space="0"/>
              <w:left w:val="single" w:color="auto" w:sz="4" w:space="0"/>
              <w:bottom w:val="single" w:color="auto" w:sz="4" w:space="0"/>
              <w:right w:val="single" w:color="auto" w:sz="4" w:space="0"/>
            </w:tcBorders>
            <w:vAlign w:val="center"/>
          </w:tcPr>
          <w:p>
            <w:pPr>
              <w:pStyle w:val="104"/>
              <w:rPr>
                <w:rFonts w:cs="Arial"/>
                <w:lang w:eastAsia="zh-CN"/>
              </w:rPr>
            </w:pPr>
            <w:r>
              <w:rPr>
                <w:rFonts w:cs="Arial"/>
                <w:lang w:eastAsia="zh-CN"/>
              </w:rPr>
              <w:t>Subframe</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lang w:eastAsia="zh-CN"/>
              </w:rPr>
            </w:pPr>
          </w:p>
        </w:tc>
        <w:tc>
          <w:tcPr>
            <w:tcW w:w="459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Unused subframes</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3"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200KHz</w:t>
            </w:r>
          </w:p>
        </w:tc>
        <w:tc>
          <w:tcPr>
            <w:tcW w:w="459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0</w:t>
            </w:r>
          </w:p>
        </w:tc>
        <w:tc>
          <w:tcPr>
            <w:tcW w:w="184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46" w:type="dxa"/>
            <w:gridSpan w:val="3"/>
            <w:tcBorders>
              <w:top w:val="single" w:color="auto" w:sz="4" w:space="0"/>
              <w:left w:val="single" w:color="auto" w:sz="4" w:space="0"/>
              <w:bottom w:val="single" w:color="auto" w:sz="4" w:space="0"/>
              <w:right w:val="single" w:color="auto" w:sz="4" w:space="0"/>
            </w:tcBorders>
            <w:vAlign w:val="center"/>
          </w:tcPr>
          <w:p>
            <w:pPr>
              <w:pStyle w:val="118"/>
              <w:rPr>
                <w:rFonts w:cs="Arial"/>
              </w:rPr>
            </w:pPr>
            <w:r>
              <w:rPr>
                <w:rFonts w:cs="Arial"/>
              </w:rPr>
              <w:t>Note 1:</w:t>
            </w:r>
            <w:r>
              <w:rPr>
                <w:rFonts w:cs="Arial"/>
              </w:rPr>
              <w:tab/>
            </w:r>
            <w:r>
              <w:rPr>
                <w:rFonts w:cs="Arial"/>
              </w:rPr>
              <w:t xml:space="preserve">These </w:t>
            </w:r>
            <w:r>
              <w:rPr>
                <w:rFonts w:cs="Arial"/>
                <w:lang w:eastAsia="zh-CN"/>
              </w:rPr>
              <w:t xml:space="preserve">subframes </w:t>
            </w:r>
            <w:r>
              <w:rPr>
                <w:rFonts w:cs="Arial"/>
              </w:rPr>
              <w:t xml:space="preserve">are assigned to an arbitrary number of virtual UEs with one </w:t>
            </w:r>
            <w:r>
              <w:rPr>
                <w:rFonts w:cs="Arial"/>
                <w:lang w:eastAsia="zh-CN"/>
              </w:rPr>
              <w:t>N</w:t>
            </w:r>
            <w:r>
              <w:rPr>
                <w:rFonts w:cs="Arial"/>
              </w:rPr>
              <w:t>PDSCH per virtual UE</w:t>
            </w:r>
            <w:r>
              <w:rPr>
                <w:rFonts w:cs="Arial"/>
                <w:lang w:eastAsia="zh-CN"/>
              </w:rPr>
              <w:t xml:space="preserve"> with corresponding NPDCCH</w:t>
            </w:r>
            <w:r>
              <w:rPr>
                <w:rFonts w:cs="Arial"/>
              </w:rPr>
              <w:t xml:space="preserve">; the data transmitted over the OCNG </w:t>
            </w:r>
            <w:r>
              <w:rPr>
                <w:rFonts w:cs="Arial"/>
                <w:lang w:eastAsia="zh-CN"/>
              </w:rPr>
              <w:t>N</w:t>
            </w:r>
            <w:r>
              <w:rPr>
                <w:rFonts w:cs="Arial"/>
              </w:rPr>
              <w:t>PDSCHs shall be uncorrelated pseudo random data, which is QPSK modulated. The parameter</w:t>
            </w:r>
            <w:r>
              <w:rPr>
                <w:rFonts w:cs="Arial"/>
                <w:position w:val="-10"/>
              </w:rPr>
              <w:object>
                <v:shape id="_x0000_i1117" o:spt="75" type="#_x0000_t75" style="height:13.2pt;width:10.2pt;" o:ole="t" filled="f" o:preferrelative="t" stroked="f" coordsize="21600,21600">
                  <v:path/>
                  <v:fill on="f" focussize="0,0"/>
                  <v:stroke on="f" joinstyle="miter"/>
                  <v:imagedata r:id="rId171" o:title=""/>
                  <o:lock v:ext="edit" aspectratio="t"/>
                  <w10:wrap type="none"/>
                  <w10:anchorlock/>
                </v:shape>
                <o:OLEObject Type="Embed" ProgID="Equation.DSMT4" ShapeID="_x0000_i1117" DrawAspect="Content" ObjectID="_1468075817" r:id="rId170">
                  <o:LockedField>false</o:LockedField>
                </o:OLEObject>
              </w:object>
            </w:r>
            <w:r>
              <w:rPr>
                <w:rFonts w:cs="Arial"/>
              </w:rPr>
              <w:t xml:space="preserve">is used to scale the power of </w:t>
            </w:r>
            <w:r>
              <w:rPr>
                <w:rFonts w:cs="Arial"/>
                <w:lang w:eastAsia="zh-CN"/>
              </w:rPr>
              <w:t>N</w:t>
            </w:r>
            <w:r>
              <w:rPr>
                <w:rFonts w:cs="Arial"/>
              </w:rPr>
              <w:t>PDSCH</w:t>
            </w:r>
            <w:r>
              <w:rPr>
                <w:rFonts w:cs="Arial"/>
                <w:lang w:eastAsia="zh-CN"/>
              </w:rPr>
              <w:t xml:space="preserve"> and NPDCCH</w:t>
            </w:r>
            <w:r>
              <w:rPr>
                <w:rFonts w:cs="Arial"/>
              </w:rPr>
              <w:t>.</w:t>
            </w:r>
          </w:p>
          <w:p>
            <w:pPr>
              <w:pStyle w:val="118"/>
              <w:rPr>
                <w:rFonts w:cs="Arial"/>
                <w:lang w:eastAsia="zh-CN"/>
              </w:rPr>
            </w:pPr>
            <w:r>
              <w:rPr>
                <w:rFonts w:cs="Arial"/>
              </w:rPr>
              <w:t>Note 2:</w:t>
            </w:r>
            <w:r>
              <w:rPr>
                <w:rFonts w:cs="Arial"/>
              </w:rPr>
              <w:tab/>
            </w:r>
            <w:r>
              <w:rPr>
                <w:rFonts w:cs="Arial"/>
              </w:rPr>
              <w:t xml:space="preserve">Subframes </w:t>
            </w:r>
            <w:r>
              <w:rPr>
                <w:rFonts w:cs="Arial"/>
                <w:lang w:eastAsia="zh-CN"/>
              </w:rPr>
              <w:t xml:space="preserve">and/or REs </w:t>
            </w:r>
            <w:r>
              <w:rPr>
                <w:rFonts w:cs="Arial"/>
              </w:rPr>
              <w:t xml:space="preserve">available for </w:t>
            </w:r>
            <w:r>
              <w:rPr>
                <w:rFonts w:cs="Arial"/>
                <w:lang w:eastAsia="zh-CN"/>
              </w:rPr>
              <w:t xml:space="preserve">narrowband IOT </w:t>
            </w:r>
            <w:r>
              <w:rPr>
                <w:rFonts w:cs="Arial"/>
              </w:rPr>
              <w:t xml:space="preserve">DL transmission depend on the </w:t>
            </w:r>
            <w:r>
              <w:rPr>
                <w:rFonts w:cs="Arial"/>
                <w:lang w:eastAsia="zh-CN"/>
              </w:rPr>
              <w:t>in-band, guard band or standalone</w:t>
            </w:r>
            <w:r>
              <w:rPr>
                <w:rFonts w:cs="Arial"/>
              </w:rPr>
              <w:t xml:space="preserve"> </w:t>
            </w:r>
            <w:r>
              <w:rPr>
                <w:rFonts w:cs="Arial"/>
                <w:lang w:eastAsia="zh-CN"/>
              </w:rPr>
              <w:t>mode indicated in MIB, and scheduling delay between NPDCCH, NPDSCH, NPUSCH format 2 and NPDCCH specified in test cases.</w:t>
            </w:r>
          </w:p>
          <w:p>
            <w:pPr>
              <w:pStyle w:val="118"/>
              <w:ind w:left="0" w:firstLine="0"/>
              <w:rPr>
                <w:rFonts w:cs="Arial"/>
              </w:rPr>
            </w:pPr>
          </w:p>
        </w:tc>
      </w:tr>
    </w:tbl>
    <w:p/>
    <w:p>
      <w:pPr>
        <w:pStyle w:val="3"/>
        <w:rPr>
          <w:rFonts w:eastAsia="宋体"/>
          <w:lang w:val="sv-SE"/>
        </w:rPr>
      </w:pPr>
      <w:bookmarkStart w:id="1863" w:name="_Toc5549"/>
      <w:bookmarkStart w:id="1864" w:name="_Toc21927"/>
      <w:bookmarkStart w:id="1865" w:name="_Toc9080"/>
      <w:bookmarkStart w:id="1866" w:name="_Toc23245"/>
      <w:bookmarkStart w:id="1867" w:name="_Toc16605"/>
      <w:bookmarkStart w:id="1868" w:name="_Toc232582132"/>
      <w:bookmarkStart w:id="1869" w:name="_Toc336620324"/>
      <w:bookmarkStart w:id="1870" w:name="_Toc120570120"/>
      <w:bookmarkStart w:id="1871" w:name="_Toc111062107"/>
      <w:bookmarkStart w:id="1872" w:name="_Toc121162912"/>
      <w:bookmarkStart w:id="1873" w:name="_Toc6558"/>
      <w:bookmarkStart w:id="1874" w:name="_Toc2896"/>
      <w:r>
        <w:rPr>
          <w:rFonts w:eastAsia="宋体"/>
        </w:rPr>
        <w:t>A.6</w:t>
      </w:r>
      <w:r>
        <w:rPr>
          <w:rFonts w:eastAsia="宋体"/>
          <w:snapToGrid w:val="0"/>
        </w:rPr>
        <w:tab/>
      </w:r>
      <w:r>
        <w:rPr>
          <w:rFonts w:eastAsia="宋体"/>
        </w:rPr>
        <w:t>Testing related to Satellite Access</w:t>
      </w:r>
      <w:bookmarkEnd w:id="1863"/>
      <w:bookmarkEnd w:id="1864"/>
      <w:bookmarkEnd w:id="1865"/>
      <w:bookmarkEnd w:id="1866"/>
      <w:r>
        <w:rPr>
          <w:rFonts w:eastAsia="宋体"/>
        </w:rPr>
        <w:t xml:space="preserve"> </w:t>
      </w:r>
    </w:p>
    <w:p>
      <w:pPr>
        <w:pStyle w:val="4"/>
        <w:rPr>
          <w:rFonts w:eastAsia="宋体"/>
        </w:rPr>
      </w:pPr>
      <w:bookmarkStart w:id="1875" w:name="_Toc91440910"/>
      <w:bookmarkStart w:id="1876" w:name="_Toc53176836"/>
      <w:bookmarkStart w:id="1877" w:name="_Toc29808502"/>
      <w:bookmarkStart w:id="1878" w:name="_Toc21338394"/>
      <w:bookmarkStart w:id="1879" w:name="_Toc76572442"/>
      <w:bookmarkStart w:id="1880" w:name="_Toc138885041"/>
      <w:bookmarkStart w:id="1881" w:name="_Toc83742420"/>
      <w:bookmarkStart w:id="1882" w:name="_Toc61121164"/>
      <w:bookmarkStart w:id="1883" w:name="_Toc98849700"/>
      <w:bookmarkStart w:id="1884" w:name="_Toc21174"/>
      <w:bookmarkStart w:id="1885" w:name="_Toc107477305"/>
      <w:bookmarkStart w:id="1886" w:name="_Toc32239"/>
      <w:bookmarkStart w:id="1887" w:name="_Toc106737652"/>
      <w:bookmarkStart w:id="1888" w:name="_Toc67918360"/>
      <w:bookmarkStart w:id="1889" w:name="_Toc37068421"/>
      <w:bookmarkStart w:id="1890" w:name="_Toc145689858"/>
      <w:bookmarkStart w:id="1891" w:name="_Toc45892971"/>
      <w:bookmarkStart w:id="1892" w:name="_Toc124255618"/>
      <w:bookmarkStart w:id="1893" w:name="_Toc40209670"/>
      <w:bookmarkStart w:id="1894" w:name="_Toc40210012"/>
      <w:bookmarkStart w:id="1895" w:name="_Toc137373098"/>
      <w:bookmarkStart w:id="1896" w:name="_Toc107235037"/>
      <w:bookmarkStart w:id="1897" w:name="_Toc124255481"/>
      <w:bookmarkStart w:id="1898" w:name="_Toc107233419"/>
      <w:bookmarkStart w:id="1899" w:name="_Toc37084308"/>
      <w:bookmarkStart w:id="1900" w:name="_Toc76298430"/>
      <w:bookmarkStart w:id="1901" w:name="_Toc107420007"/>
      <w:bookmarkStart w:id="1902" w:name="_Toc76652309"/>
      <w:bookmarkStart w:id="1903" w:name="_Toc131688456"/>
      <w:bookmarkStart w:id="1904" w:name="_Toc24868"/>
      <w:bookmarkStart w:id="1905" w:name="_Toc123057995"/>
      <w:bookmarkStart w:id="1906" w:name="_Toc14547"/>
      <w:bookmarkStart w:id="1907" w:name="_Toc106543554"/>
      <w:bookmarkStart w:id="1908" w:name="_Toc124255290"/>
      <w:bookmarkStart w:id="1909" w:name="_Toc37083966"/>
      <w:bookmarkStart w:id="1910" w:name="_Toc76653147"/>
      <w:r>
        <w:rPr>
          <w:rFonts w:eastAsia="宋体"/>
        </w:rPr>
        <w:t>A.6.1</w:t>
      </w:r>
      <w:r>
        <w:rPr>
          <w:rFonts w:eastAsia="宋体"/>
          <w:snapToGrid w:val="0"/>
        </w:rPr>
        <w:tab/>
      </w:r>
      <w:r>
        <w:rPr>
          <w:rFonts w:eastAsia="宋体"/>
        </w:rPr>
        <w:t>General</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pPr>
        <w:rPr>
          <w:rFonts w:eastAsia="宋体"/>
        </w:rPr>
      </w:pPr>
      <w:r>
        <w:t xml:space="preserve">The following test conditions should be maintained for Satellite Access </w:t>
      </w:r>
    </w:p>
    <w:p>
      <w:pPr>
        <w:ind w:firstLine="284"/>
        <w:rPr>
          <w:lang w:val="en-US"/>
        </w:rPr>
      </w:pPr>
      <w:r>
        <w:t xml:space="preserve">-  </w:t>
      </w:r>
      <w:r>
        <w:rPr>
          <w:lang w:val="en-US"/>
        </w:rPr>
        <w:t>The same ephemeris info will be maintained during each test.</w:t>
      </w:r>
    </w:p>
    <w:p>
      <w:pPr>
        <w:pStyle w:val="111"/>
      </w:pPr>
      <w:r>
        <w:t xml:space="preserve">-  A set of ephemeris information are pre-defined for each satellite corresponding to respective epoch times in TS 36.508 [12]. </w:t>
      </w:r>
    </w:p>
    <w:p>
      <w:pPr>
        <w:pStyle w:val="111"/>
      </w:pPr>
      <w:r>
        <w:t>-  The range of the selected constant delay shift is as follows:</w:t>
      </w:r>
    </w:p>
    <w:p>
      <w:pPr>
        <w:pStyle w:val="122"/>
        <w:ind w:left="720" w:hanging="153"/>
      </w:pPr>
      <w:r>
        <w:t>-  For NGSO an altitude of 600km and 1200km on a circular orbit are considered. The range of the one-way delay between UE and satellite is from 2ms</w:t>
      </w:r>
      <w:r>
        <w:rPr>
          <w:lang w:eastAsia="zh-CN"/>
        </w:rPr>
        <w:t xml:space="preserve"> (lowest value for LEO orbit 600km) to 6.67ms (highest value for LEO orbit 1200km)</w:t>
      </w:r>
      <w:r>
        <w:t xml:space="preserve">. </w:t>
      </w:r>
    </w:p>
    <w:p>
      <w:pPr>
        <w:pStyle w:val="122"/>
        <w:ind w:left="568"/>
      </w:pPr>
      <w:r>
        <w:t>-  Constant delay value is derived from ephemeris info (SIB31) and UE location associated to zero Doppler or non-zero Doppler value under test.</w:t>
      </w:r>
    </w:p>
    <w:p>
      <w:pPr>
        <w:pStyle w:val="4"/>
        <w:rPr>
          <w:rFonts w:eastAsia="宋体"/>
        </w:rPr>
      </w:pPr>
      <w:bookmarkStart w:id="1911" w:name="_Toc17"/>
      <w:bookmarkStart w:id="1912" w:name="_Toc2917"/>
      <w:bookmarkStart w:id="1913" w:name="_Toc18610"/>
      <w:bookmarkStart w:id="1914" w:name="_Toc11561"/>
      <w:r>
        <w:rPr>
          <w:rFonts w:eastAsia="宋体"/>
        </w:rPr>
        <w:t>A.6.2</w:t>
      </w:r>
      <w:r>
        <w:rPr>
          <w:rFonts w:eastAsia="宋体"/>
          <w:snapToGrid w:val="0"/>
        </w:rPr>
        <w:tab/>
      </w:r>
      <w:r>
        <w:rPr>
          <w:rFonts w:eastAsia="宋体"/>
        </w:rPr>
        <w:t>Test condition for transmitter characteristics</w:t>
      </w:r>
      <w:bookmarkEnd w:id="1911"/>
      <w:bookmarkEnd w:id="1912"/>
      <w:bookmarkEnd w:id="1913"/>
      <w:bookmarkEnd w:id="1914"/>
    </w:p>
    <w:p>
      <w:pPr>
        <w:rPr>
          <w:rFonts w:eastAsia="宋体"/>
        </w:rPr>
      </w:pPr>
      <w:r>
        <w:t xml:space="preserve">All requriements in section 6 for transmitter characteristics, other than frequency error in clauses 6.4A.1 and 6.4B.1 </w:t>
      </w:r>
      <w:r>
        <w:rPr>
          <w:snapToGrid w:val="0"/>
        </w:rPr>
        <w:t xml:space="preserve">shall be verified </w:t>
      </w:r>
      <w:r>
        <w:t>when Doppler conditions are set to zero and delay conditions are set to constant for all types of satellites.</w:t>
      </w:r>
    </w:p>
    <w:p>
      <w:r>
        <w:t xml:space="preserve">Frequency error requirement </w:t>
      </w:r>
      <w:r>
        <w:rPr>
          <w:lang w:eastAsia="zh-CN"/>
        </w:rPr>
        <w:t>in</w:t>
      </w:r>
      <w:r>
        <w:t xml:space="preserve"> clauses 6.4A.1 and 6.4B.1 shall be verified for at least two cases: one with zero Doppler condition and the other one with constant Doppler (different from zero) up to [0.93] ppm for GSO satellites and up to 24 ppm for NGSO satellites. </w:t>
      </w:r>
    </w:p>
    <w:p>
      <w:pPr>
        <w:pStyle w:val="4"/>
        <w:rPr>
          <w:rFonts w:eastAsia="宋体"/>
        </w:rPr>
      </w:pPr>
      <w:bookmarkStart w:id="1915" w:name="_Toc25561"/>
      <w:bookmarkStart w:id="1916" w:name="_Toc23604"/>
      <w:bookmarkStart w:id="1917" w:name="_Toc25570"/>
      <w:bookmarkStart w:id="1918" w:name="_Toc1996"/>
      <w:r>
        <w:rPr>
          <w:rFonts w:eastAsia="宋体"/>
        </w:rPr>
        <w:t>A.6.3</w:t>
      </w:r>
      <w:r>
        <w:rPr>
          <w:rFonts w:eastAsia="宋体"/>
          <w:snapToGrid w:val="0"/>
        </w:rPr>
        <w:tab/>
      </w:r>
      <w:r>
        <w:rPr>
          <w:rFonts w:eastAsia="宋体"/>
        </w:rPr>
        <w:t>Test condition for receiver characteristics</w:t>
      </w:r>
      <w:bookmarkEnd w:id="1915"/>
      <w:bookmarkEnd w:id="1916"/>
      <w:bookmarkEnd w:id="1917"/>
      <w:bookmarkEnd w:id="1918"/>
    </w:p>
    <w:p>
      <w:pPr>
        <w:rPr>
          <w:rFonts w:eastAsia="宋体"/>
        </w:rPr>
      </w:pPr>
      <w:r>
        <w:t>All requirements in section 7 for receiver characteristics shall be verified when Doppler conditions related to satellite motion for DL in service link are set to zero and delay conditions are set to constant for all types of satellites.</w:t>
      </w:r>
    </w:p>
    <w:p>
      <w:pPr>
        <w:pStyle w:val="4"/>
        <w:rPr>
          <w:rFonts w:eastAsia="宋体"/>
        </w:rPr>
      </w:pPr>
      <w:bookmarkStart w:id="1919" w:name="_Toc26492"/>
      <w:bookmarkStart w:id="1920" w:name="_Toc10405"/>
      <w:bookmarkStart w:id="1921" w:name="_Toc7677"/>
      <w:bookmarkStart w:id="1922" w:name="_Toc32638"/>
      <w:r>
        <w:rPr>
          <w:rFonts w:eastAsia="宋体"/>
        </w:rPr>
        <w:t>A.6.4</w:t>
      </w:r>
      <w:r>
        <w:rPr>
          <w:rFonts w:eastAsia="宋体"/>
          <w:snapToGrid w:val="0"/>
        </w:rPr>
        <w:tab/>
      </w:r>
      <w:r>
        <w:rPr>
          <w:rFonts w:eastAsia="宋体"/>
        </w:rPr>
        <w:t>Test condition for performance requirements</w:t>
      </w:r>
      <w:bookmarkEnd w:id="1919"/>
      <w:bookmarkEnd w:id="1920"/>
      <w:bookmarkEnd w:id="1921"/>
      <w:bookmarkEnd w:id="1922"/>
    </w:p>
    <w:p>
      <w:pPr>
        <w:pStyle w:val="14"/>
        <w:overflowPunct w:val="0"/>
        <w:autoSpaceDE w:val="0"/>
        <w:autoSpaceDN w:val="0"/>
        <w:adjustRightInd w:val="0"/>
        <w:ind w:left="0" w:firstLine="0"/>
        <w:textAlignment w:val="baseline"/>
      </w:pPr>
      <w:r>
        <w:t>All requirements in section 8 for performance requirements shall be verified when Doppler conditions related to satellite motion for DL in service link are set to zero and delay conditions are set to constant for all types of NGSO satellites. The one-way delay between UE and satellite for NGSO at an altitude of 600km is 2ms.</w:t>
      </w:r>
    </w:p>
    <w:p>
      <w:pPr>
        <w:pStyle w:val="11"/>
      </w:pPr>
      <w:bookmarkStart w:id="1923" w:name="_Toc18081"/>
      <w:bookmarkStart w:id="1924" w:name="_Toc11973"/>
      <w:bookmarkStart w:id="1925" w:name="_Toc658"/>
      <w:bookmarkStart w:id="1926" w:name="_Toc18032"/>
      <w:r>
        <w:t>Annex B (</w:t>
      </w:r>
      <w:r>
        <w:rPr>
          <w:lang w:eastAsia="en-GB"/>
        </w:rPr>
        <w:t>normative</w:t>
      </w:r>
      <w:r>
        <w:t>):</w:t>
      </w:r>
      <w:r>
        <w:br w:type="textWrapping"/>
      </w:r>
      <w:r>
        <w:t>Propagation Conditions</w:t>
      </w:r>
      <w:bookmarkEnd w:id="1867"/>
      <w:bookmarkEnd w:id="1868"/>
      <w:bookmarkEnd w:id="1923"/>
      <w:bookmarkEnd w:id="1924"/>
      <w:bookmarkEnd w:id="1925"/>
      <w:bookmarkEnd w:id="1926"/>
    </w:p>
    <w:p>
      <w:pPr>
        <w:rPr>
          <w:lang w:eastAsia="ja-JP"/>
        </w:rPr>
      </w:pPr>
      <w:r>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1927" w:name="_Toc232582133"/>
    </w:p>
    <w:p>
      <w:pPr>
        <w:pStyle w:val="3"/>
      </w:pPr>
      <w:bookmarkStart w:id="1928" w:name="_Toc21256"/>
      <w:bookmarkStart w:id="1929" w:name="_Toc6215"/>
      <w:bookmarkStart w:id="1930" w:name="_Toc31101"/>
      <w:bookmarkStart w:id="1931" w:name="_Toc28684"/>
      <w:bookmarkStart w:id="1932" w:name="_Toc16101"/>
      <w:r>
        <w:t>B.0</w:t>
      </w:r>
      <w:r>
        <w:tab/>
      </w:r>
      <w:r>
        <w:t>No interference</w:t>
      </w:r>
      <w:bookmarkEnd w:id="1927"/>
      <w:bookmarkEnd w:id="1928"/>
      <w:bookmarkEnd w:id="1929"/>
      <w:bookmarkEnd w:id="1930"/>
      <w:bookmarkEnd w:id="1931"/>
      <w:bookmarkEnd w:id="1932"/>
    </w:p>
    <w:p>
      <w:pPr>
        <w:rPr>
          <w:lang w:eastAsia="ja-JP"/>
        </w:rPr>
      </w:pPr>
      <w:r>
        <w:t>The downlink connection between the System Simulator and the UE is without Additive White Gaussian Noise, and has no fading or multipath effects.</w:t>
      </w:r>
    </w:p>
    <w:p>
      <w:pPr>
        <w:pStyle w:val="3"/>
      </w:pPr>
      <w:bookmarkStart w:id="1933" w:name="_Toc32176"/>
      <w:bookmarkStart w:id="1934" w:name="_Toc19447"/>
      <w:bookmarkStart w:id="1935" w:name="_Toc2309"/>
      <w:bookmarkStart w:id="1936" w:name="_Toc2311"/>
      <w:bookmarkStart w:id="1937" w:name="_Toc2814"/>
      <w:bookmarkStart w:id="1938" w:name="_Toc232582134"/>
      <w:r>
        <w:t>B.1</w:t>
      </w:r>
      <w:r>
        <w:tab/>
      </w:r>
      <w:r>
        <w:t>Static propagation condition</w:t>
      </w:r>
      <w:bookmarkEnd w:id="1933"/>
      <w:bookmarkEnd w:id="1934"/>
      <w:bookmarkEnd w:id="1935"/>
      <w:bookmarkEnd w:id="1936"/>
      <w:bookmarkEnd w:id="1937"/>
      <w:bookmarkEnd w:id="1938"/>
    </w:p>
    <w:p>
      <w:r>
        <w:t>The downlink connection between the System Simulator and the UE is an Additive White Gaussian Noise (AWGN) environment (unless otherwise stated) with no fading or multipath effects.</w:t>
      </w:r>
    </w:p>
    <w:p>
      <w:pPr>
        <w:pStyle w:val="4"/>
      </w:pPr>
      <w:bookmarkStart w:id="1939" w:name="_Toc232582135"/>
      <w:bookmarkStart w:id="1940" w:name="_Toc15118"/>
      <w:bookmarkStart w:id="1941" w:name="_Toc28214"/>
      <w:bookmarkStart w:id="1942" w:name="_Toc13154"/>
      <w:bookmarkStart w:id="1943" w:name="_Toc22291"/>
      <w:bookmarkStart w:id="1944" w:name="_Toc28226"/>
      <w:r>
        <w:t>B.1.1</w:t>
      </w:r>
      <w:r>
        <w:tab/>
      </w:r>
      <w:r>
        <w:t>Definition of Additive White Gaussian Noise (AWGN) Interferer</w:t>
      </w:r>
      <w:bookmarkEnd w:id="1939"/>
      <w:bookmarkEnd w:id="1940"/>
      <w:bookmarkEnd w:id="1941"/>
      <w:bookmarkEnd w:id="1942"/>
      <w:bookmarkEnd w:id="1943"/>
      <w:bookmarkEnd w:id="1944"/>
    </w:p>
    <w:p>
      <w:pPr>
        <w:rPr>
          <w:lang w:eastAsia="ja-JP"/>
        </w:rPr>
      </w:pPr>
      <w:r>
        <w:rPr>
          <w:lang w:eastAsia="ja-JP"/>
        </w:rPr>
        <w:t>Note that the AWGN interferer can be used in static propagation conditions, or in conjunction with multi-path fading.</w:t>
      </w:r>
    </w:p>
    <w:p>
      <w:pPr>
        <w:rPr>
          <w:lang w:eastAsia="ja-JP"/>
        </w:rPr>
      </w:pPr>
      <w:r>
        <w:rPr>
          <w:lang w:eastAsia="ja-JP"/>
        </w:rPr>
        <w:t>The acceptable uncertainties of the AWGN interferer are defined in Annex F.</w:t>
      </w:r>
    </w:p>
    <w:p>
      <w:pPr>
        <w:pStyle w:val="3"/>
      </w:pPr>
      <w:bookmarkStart w:id="1945" w:name="_Toc1"/>
      <w:bookmarkStart w:id="1946" w:name="_Toc31600"/>
      <w:bookmarkStart w:id="1947" w:name="_Toc720"/>
      <w:bookmarkStart w:id="1948" w:name="_Toc21223"/>
      <w:bookmarkStart w:id="1949" w:name="_Toc4840"/>
      <w:bookmarkStart w:id="1950" w:name="_Toc232582136"/>
      <w:r>
        <w:t>B.2</w:t>
      </w:r>
      <w:r>
        <w:tab/>
      </w:r>
      <w:r>
        <w:t>Multi-path fading Propagation Conditions</w:t>
      </w:r>
      <w:bookmarkEnd w:id="1945"/>
      <w:bookmarkEnd w:id="1946"/>
      <w:bookmarkEnd w:id="1947"/>
      <w:bookmarkEnd w:id="1948"/>
      <w:bookmarkEnd w:id="1949"/>
      <w:bookmarkEnd w:id="1950"/>
    </w:p>
    <w:p>
      <w:pPr>
        <w:rPr>
          <w:snapToGrid w:val="0"/>
        </w:rPr>
      </w:pPr>
      <w:r>
        <w:rPr>
          <w:snapToGrid w:val="0"/>
        </w:rPr>
        <w:t>The multipath propagation conditions consist of several parts:</w:t>
      </w:r>
    </w:p>
    <w:p>
      <w:pPr>
        <w:pStyle w:val="111"/>
        <w:rPr>
          <w:snapToGrid w:val="0"/>
        </w:rPr>
      </w:pPr>
      <w:r>
        <w:rPr>
          <w:snapToGrid w:val="0"/>
        </w:rPr>
        <w:t>-</w:t>
      </w:r>
      <w:r>
        <w:rPr>
          <w:snapToGrid w:val="0"/>
        </w:rPr>
        <w:tab/>
      </w:r>
      <w:r>
        <w:rPr>
          <w:snapToGrid w:val="0"/>
        </w:rPr>
        <w:t>A delay profile in the form of a "tapped delay-line", characterized by a number of taps at fixed positions on a sampling grid. The profile can be further characterized by the r.m.s. delay spread and the maximum delay spanned by the taps.</w:t>
      </w:r>
    </w:p>
    <w:p>
      <w:pPr>
        <w:pStyle w:val="111"/>
        <w:rPr>
          <w:snapToGrid w:val="0"/>
        </w:rPr>
      </w:pPr>
      <w:r>
        <w:rPr>
          <w:snapToGrid w:val="0"/>
        </w:rPr>
        <w:t>-</w:t>
      </w:r>
      <w:r>
        <w:rPr>
          <w:snapToGrid w:val="0"/>
        </w:rPr>
        <w:tab/>
      </w:r>
      <w:r>
        <w:rPr>
          <w:snapToGrid w:val="0"/>
        </w:rPr>
        <w:t>A combination of channel model parameters that include the Delay profile and the Doppler spectrum that is characterized by a classical spectrum shape and a maximum Doppler frequency</w:t>
      </w:r>
    </w:p>
    <w:p>
      <w:pPr>
        <w:pStyle w:val="111"/>
        <w:rPr>
          <w:snapToGrid w:val="0"/>
        </w:rPr>
      </w:pPr>
      <w:r>
        <w:rPr>
          <w:snapToGrid w:val="0"/>
        </w:rPr>
        <w:t>-</w:t>
      </w:r>
      <w:r>
        <w:rPr>
          <w:snapToGrid w:val="0"/>
        </w:rPr>
        <w:tab/>
      </w:r>
      <w:r>
        <w:rPr>
          <w:snapToGrid w:val="0"/>
        </w:rPr>
        <w:t>A set of correlation matrices defining the correlation between the UE and eNodeB antennas in case of multi-antenna systems.</w:t>
      </w:r>
    </w:p>
    <w:p>
      <w:pPr>
        <w:pStyle w:val="111"/>
        <w:rPr>
          <w:snapToGrid w:val="0"/>
        </w:rPr>
      </w:pPr>
    </w:p>
    <w:p>
      <w:pPr>
        <w:pStyle w:val="4"/>
        <w:rPr>
          <w:snapToGrid w:val="0"/>
        </w:rPr>
      </w:pPr>
      <w:bookmarkStart w:id="1951" w:name="_Toc19890"/>
      <w:bookmarkStart w:id="1952" w:name="_Toc30809"/>
      <w:bookmarkStart w:id="1953" w:name="_Toc27182"/>
      <w:bookmarkStart w:id="1954" w:name="_Toc232582137"/>
      <w:bookmarkStart w:id="1955" w:name="_Toc22948"/>
      <w:bookmarkStart w:id="1956" w:name="_Toc18124"/>
      <w:r>
        <w:rPr>
          <w:snapToGrid w:val="0"/>
        </w:rPr>
        <w:t>B.2.1</w:t>
      </w:r>
      <w:r>
        <w:rPr>
          <w:snapToGrid w:val="0"/>
        </w:rPr>
        <w:tab/>
      </w:r>
      <w:r>
        <w:rPr>
          <w:snapToGrid w:val="0"/>
        </w:rPr>
        <w:t>Delay profiles</w:t>
      </w:r>
      <w:bookmarkEnd w:id="1951"/>
      <w:bookmarkEnd w:id="1952"/>
      <w:bookmarkEnd w:id="1953"/>
      <w:bookmarkEnd w:id="1954"/>
      <w:bookmarkEnd w:id="1955"/>
      <w:bookmarkEnd w:id="1956"/>
    </w:p>
    <w:p>
      <w:pPr>
        <w:spacing w:before="100" w:beforeAutospacing="1"/>
        <w:rPr>
          <w:rFonts w:eastAsia="宋体"/>
          <w:lang w:val="en-US" w:eastAsia="zh-CN"/>
        </w:rPr>
      </w:pPr>
      <w:r>
        <w:rPr>
          <w:rFonts w:hint="eastAsia" w:eastAsia="宋体"/>
          <w:lang w:val="en-US" w:eastAsia="zh-CN"/>
        </w:rPr>
        <w:t>Th</w:t>
      </w:r>
      <w:r>
        <w:rPr>
          <w:rFonts w:eastAsia="宋体"/>
          <w:lang w:val="en-US" w:eastAsia="zh-CN"/>
        </w:rPr>
        <w:t>e delay profiles are derived from the TR</w:t>
      </w:r>
      <w:r>
        <w:rPr>
          <w:rFonts w:hint="eastAsia" w:eastAsia="宋体"/>
          <w:lang w:val="en-US" w:eastAsia="zh-CN"/>
        </w:rPr>
        <w:t xml:space="preserve"> </w:t>
      </w:r>
      <w:r>
        <w:rPr>
          <w:rFonts w:eastAsia="宋体"/>
          <w:lang w:val="en-US" w:eastAsia="zh-CN"/>
        </w:rPr>
        <w:t xml:space="preserve">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pPr>
        <w:pStyle w:val="113"/>
        <w:rPr>
          <w:rFonts w:eastAsia="宋体"/>
          <w:lang w:val="en-US" w:eastAsia="zh-CN"/>
        </w:rPr>
      </w:pPr>
      <w:r>
        <w:rPr>
          <w:rFonts w:eastAsia="宋体"/>
          <w:lang w:val="en-US" w:eastAsia="zh-CN"/>
        </w:rPr>
        <w:t xml:space="preserve">Table </w:t>
      </w:r>
      <w:r>
        <w:rPr>
          <w:rFonts w:hint="eastAsia" w:eastAsia="宋体"/>
          <w:lang w:val="en-US" w:eastAsia="zh-CN"/>
        </w:rPr>
        <w:t>B</w:t>
      </w:r>
      <w:r>
        <w:rPr>
          <w:rFonts w:eastAsia="宋体"/>
          <w:lang w:val="en-US" w:eastAsia="zh-CN"/>
        </w:rPr>
        <w:t>.</w:t>
      </w:r>
      <w:r>
        <w:rPr>
          <w:rFonts w:hint="eastAsia" w:eastAsia="宋体"/>
          <w:lang w:val="en-US" w:eastAsia="zh-CN"/>
        </w:rPr>
        <w:t>2</w:t>
      </w:r>
      <w:r>
        <w:rPr>
          <w:rFonts w:eastAsia="宋体"/>
          <w:lang w:val="en-US" w:eastAsia="zh-CN"/>
        </w:rPr>
        <w:t>.1-1: Delay profiles for IoT NTN channel models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5"/>
        <w:gridCol w:w="1445"/>
        <w:gridCol w:w="1350"/>
        <w:gridCol w:w="16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5" w:type="dxa"/>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Type</w:t>
            </w:r>
          </w:p>
        </w:tc>
        <w:tc>
          <w:tcPr>
            <w:tcW w:w="1445" w:type="dxa"/>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Model</w:t>
            </w:r>
          </w:p>
        </w:tc>
        <w:tc>
          <w:tcPr>
            <w:tcW w:w="1350" w:type="dxa"/>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Delay spread (r.m.s.)</w:t>
            </w:r>
          </w:p>
        </w:tc>
        <w:tc>
          <w:tcPr>
            <w:tcW w:w="1609" w:type="dxa"/>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hint="eastAsia" w:eastAsia="宋体" w:cs="Arial"/>
                <w:lang w:val="en-US" w:eastAsia="zh-CN"/>
              </w:rPr>
              <w:t>Delay resolution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NLOS</w:t>
            </w:r>
          </w:p>
        </w:tc>
        <w:tc>
          <w:tcPr>
            <w:tcW w:w="144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NTN-TDLA100</w:t>
            </w:r>
          </w:p>
        </w:tc>
        <w:tc>
          <w:tcPr>
            <w:tcW w:w="1350"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100 ns</w:t>
            </w:r>
          </w:p>
        </w:tc>
        <w:tc>
          <w:tcPr>
            <w:tcW w:w="1609"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hint="eastAsia" w:eastAsia="宋体"/>
                <w:lang w:val="en-US" w:eastAsia="zh-CN"/>
              </w:rPr>
              <w:t>5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LOS</w:t>
            </w:r>
          </w:p>
        </w:tc>
        <w:tc>
          <w:tcPr>
            <w:tcW w:w="144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NTN-TDLC5</w:t>
            </w:r>
          </w:p>
        </w:tc>
        <w:tc>
          <w:tcPr>
            <w:tcW w:w="1350"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5 ns</w:t>
            </w:r>
          </w:p>
        </w:tc>
        <w:tc>
          <w:tcPr>
            <w:tcW w:w="1609"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hint="eastAsia" w:eastAsia="宋体"/>
                <w:lang w:val="en-US" w:eastAsia="zh-CN"/>
              </w:rPr>
              <w:t>5 ns</w:t>
            </w:r>
          </w:p>
        </w:tc>
      </w:tr>
    </w:tbl>
    <w:p>
      <w:pPr>
        <w:rPr>
          <w:rFonts w:eastAsia="宋体"/>
          <w:lang w:val="en-US" w:eastAsia="zh-CN"/>
        </w:rPr>
      </w:pPr>
    </w:p>
    <w:p>
      <w:pPr>
        <w:keepNext/>
        <w:keepLines/>
        <w:widowControl w:val="0"/>
        <w:spacing w:before="60"/>
        <w:jc w:val="center"/>
        <w:rPr>
          <w:rFonts w:ascii="Arial" w:hAnsi="Arial" w:eastAsia="宋体"/>
          <w:b/>
          <w:lang w:val="en-US" w:eastAsia="zh-CN"/>
        </w:rPr>
      </w:pPr>
      <w:r>
        <w:rPr>
          <w:rFonts w:hint="eastAsia" w:ascii="Arial" w:hAnsi="Arial" w:eastAsia="宋体"/>
          <w:b/>
          <w:lang w:val="en-US" w:eastAsia="zh-CN"/>
        </w:rPr>
        <w:t xml:space="preserve">Table </w:t>
      </w:r>
      <w:r>
        <w:rPr>
          <w:rFonts w:ascii="Arial" w:hAnsi="Arial" w:eastAsia="宋体"/>
          <w:b/>
          <w:lang w:val="en-US" w:eastAsia="zh-CN"/>
        </w:rPr>
        <w:t>B.2.1-</w:t>
      </w:r>
      <w:r>
        <w:rPr>
          <w:rFonts w:hint="eastAsia" w:ascii="Arial" w:hAnsi="Arial" w:eastAsia="宋体"/>
          <w:b/>
          <w:lang w:val="en-US" w:eastAsia="zh-CN"/>
        </w:rPr>
        <w:t>2: NTN-TDLA100 (DS = 100 ns)</w:t>
      </w:r>
    </w:p>
    <w:tbl>
      <w:tblPr>
        <w:tblStyle w:val="89"/>
        <w:tblW w:w="49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1080"/>
        <w:gridCol w:w="1233"/>
        <w:gridCol w:w="18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720" w:type="dxa"/>
            <w:shd w:val="clear" w:color="auto" w:fill="auto"/>
            <w:vAlign w:val="center"/>
          </w:tcPr>
          <w:p>
            <w:pPr>
              <w:pStyle w:val="104"/>
              <w:rPr>
                <w:rFonts w:eastAsia="宋体"/>
                <w:lang w:val="en-US" w:eastAsia="zh-CN"/>
              </w:rPr>
            </w:pPr>
            <w:r>
              <w:rPr>
                <w:rFonts w:eastAsia="宋体"/>
                <w:lang w:val="en-US" w:eastAsia="zh-CN"/>
              </w:rPr>
              <w:t>Tap #</w:t>
            </w:r>
          </w:p>
        </w:tc>
        <w:tc>
          <w:tcPr>
            <w:tcW w:w="1080" w:type="dxa"/>
            <w:shd w:val="clear" w:color="auto" w:fill="auto"/>
            <w:vAlign w:val="center"/>
          </w:tcPr>
          <w:p>
            <w:pPr>
              <w:pStyle w:val="104"/>
              <w:rPr>
                <w:rFonts w:eastAsia="宋体"/>
                <w:lang w:val="en-US" w:eastAsia="zh-CN"/>
              </w:rPr>
            </w:pPr>
            <w:r>
              <w:rPr>
                <w:rFonts w:eastAsia="宋体"/>
                <w:lang w:val="en-US" w:eastAsia="zh-CN"/>
              </w:rPr>
              <w:t>Delay [ns]</w:t>
            </w:r>
          </w:p>
        </w:tc>
        <w:tc>
          <w:tcPr>
            <w:tcW w:w="1233" w:type="dxa"/>
            <w:shd w:val="clear" w:color="auto" w:fill="auto"/>
            <w:vAlign w:val="center"/>
          </w:tcPr>
          <w:p>
            <w:pPr>
              <w:pStyle w:val="104"/>
              <w:rPr>
                <w:rFonts w:eastAsia="宋体"/>
                <w:lang w:val="en-US" w:eastAsia="zh-CN"/>
              </w:rPr>
            </w:pPr>
            <w:r>
              <w:rPr>
                <w:rFonts w:eastAsia="宋体"/>
                <w:lang w:val="en-US" w:eastAsia="zh-CN"/>
              </w:rPr>
              <w:t>Power [dB]</w:t>
            </w:r>
          </w:p>
        </w:tc>
        <w:tc>
          <w:tcPr>
            <w:tcW w:w="1883" w:type="dxa"/>
            <w:shd w:val="clear" w:color="auto" w:fill="auto"/>
            <w:vAlign w:val="center"/>
          </w:tcPr>
          <w:p>
            <w:pPr>
              <w:pStyle w:val="104"/>
              <w:rPr>
                <w:rFonts w:eastAsia="宋体"/>
                <w:lang w:val="en-US" w:eastAsia="zh-CN"/>
              </w:rPr>
            </w:pPr>
            <w:r>
              <w:rPr>
                <w:rFonts w:eastAsia="宋体"/>
                <w:lang w:val="en-US" w:eastAsia="zh-CN"/>
              </w:rPr>
              <w:t>Fading distribution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720" w:type="dxa"/>
            <w:shd w:val="clear" w:color="auto" w:fill="auto"/>
            <w:vAlign w:val="center"/>
          </w:tcPr>
          <w:p>
            <w:pPr>
              <w:pStyle w:val="105"/>
              <w:rPr>
                <w:rFonts w:eastAsia="宋体"/>
                <w:lang w:val="en-US" w:eastAsia="zh-CN"/>
              </w:rPr>
            </w:pPr>
            <w:r>
              <w:rPr>
                <w:rFonts w:eastAsia="宋体"/>
                <w:lang w:val="en-US" w:eastAsia="zh-CN"/>
              </w:rPr>
              <w:t>1</w:t>
            </w:r>
          </w:p>
        </w:tc>
        <w:tc>
          <w:tcPr>
            <w:tcW w:w="1080" w:type="dxa"/>
            <w:shd w:val="clear" w:color="auto" w:fill="auto"/>
            <w:vAlign w:val="center"/>
          </w:tcPr>
          <w:p>
            <w:pPr>
              <w:pStyle w:val="105"/>
              <w:rPr>
                <w:rFonts w:eastAsia="宋体"/>
                <w:lang w:val="en-US" w:eastAsia="zh-CN"/>
              </w:rPr>
            </w:pPr>
            <w:r>
              <w:rPr>
                <w:rFonts w:eastAsia="宋体"/>
                <w:lang w:val="en-US" w:eastAsia="zh-CN"/>
              </w:rPr>
              <w:t>0</w:t>
            </w:r>
          </w:p>
        </w:tc>
        <w:tc>
          <w:tcPr>
            <w:tcW w:w="1233" w:type="dxa"/>
            <w:shd w:val="clear" w:color="auto" w:fill="auto"/>
            <w:vAlign w:val="center"/>
          </w:tcPr>
          <w:p>
            <w:pPr>
              <w:pStyle w:val="105"/>
              <w:rPr>
                <w:rFonts w:eastAsia="宋体"/>
                <w:lang w:val="en-US" w:eastAsia="zh-CN"/>
              </w:rPr>
            </w:pPr>
            <w:r>
              <w:rPr>
                <w:rFonts w:eastAsia="宋体"/>
                <w:lang w:val="en-US" w:eastAsia="zh-CN"/>
              </w:rPr>
              <w:t>0</w:t>
            </w:r>
          </w:p>
        </w:tc>
        <w:tc>
          <w:tcPr>
            <w:tcW w:w="1883" w:type="dxa"/>
            <w:shd w:val="clear" w:color="auto" w:fill="auto"/>
            <w:vAlign w:val="center"/>
          </w:tcPr>
          <w:p>
            <w:pPr>
              <w:pStyle w:val="105"/>
              <w:rPr>
                <w:rFonts w:eastAsia="宋体"/>
                <w:lang w:val="en-US" w:eastAsia="zh-CN"/>
              </w:rPr>
            </w:pPr>
            <w:r>
              <w:rPr>
                <w:rFonts w:eastAsia="宋体"/>
                <w:lang w:val="en-US" w:eastAsia="zh-CN"/>
              </w:rPr>
              <w:t>Rayleigh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720" w:type="dxa"/>
            <w:shd w:val="clear" w:color="auto" w:fill="auto"/>
            <w:vAlign w:val="center"/>
          </w:tcPr>
          <w:p>
            <w:pPr>
              <w:pStyle w:val="105"/>
              <w:rPr>
                <w:rFonts w:eastAsia="宋体"/>
                <w:lang w:val="en-US" w:eastAsia="zh-CN"/>
              </w:rPr>
            </w:pPr>
            <w:r>
              <w:rPr>
                <w:rFonts w:eastAsia="宋体"/>
                <w:lang w:val="en-US" w:eastAsia="zh-CN"/>
              </w:rPr>
              <w:t>2</w:t>
            </w:r>
          </w:p>
        </w:tc>
        <w:tc>
          <w:tcPr>
            <w:tcW w:w="1080" w:type="dxa"/>
            <w:shd w:val="clear" w:color="auto" w:fill="auto"/>
            <w:vAlign w:val="center"/>
          </w:tcPr>
          <w:p>
            <w:pPr>
              <w:pStyle w:val="105"/>
              <w:rPr>
                <w:rFonts w:eastAsia="宋体"/>
                <w:lang w:val="en-US" w:eastAsia="zh-CN"/>
              </w:rPr>
            </w:pPr>
            <w:r>
              <w:rPr>
                <w:rFonts w:eastAsia="宋体"/>
                <w:lang w:val="en-US" w:eastAsia="zh-CN"/>
              </w:rPr>
              <w:t>110</w:t>
            </w:r>
          </w:p>
        </w:tc>
        <w:tc>
          <w:tcPr>
            <w:tcW w:w="1233" w:type="dxa"/>
            <w:shd w:val="clear" w:color="auto" w:fill="auto"/>
            <w:vAlign w:val="center"/>
          </w:tcPr>
          <w:p>
            <w:pPr>
              <w:pStyle w:val="105"/>
              <w:rPr>
                <w:rFonts w:eastAsia="宋体"/>
                <w:lang w:val="en-US" w:eastAsia="zh-CN"/>
              </w:rPr>
            </w:pPr>
            <w:r>
              <w:rPr>
                <w:rFonts w:eastAsia="宋体"/>
                <w:lang w:val="en-US" w:eastAsia="zh-CN"/>
              </w:rPr>
              <w:t>-4.7</w:t>
            </w:r>
          </w:p>
        </w:tc>
        <w:tc>
          <w:tcPr>
            <w:tcW w:w="1883" w:type="dxa"/>
            <w:shd w:val="clear" w:color="auto" w:fill="auto"/>
            <w:vAlign w:val="center"/>
          </w:tcPr>
          <w:p>
            <w:pPr>
              <w:pStyle w:val="105"/>
              <w:rPr>
                <w:rFonts w:eastAsia="宋体"/>
                <w:lang w:val="en-US" w:eastAsia="zh-CN"/>
              </w:rPr>
            </w:pPr>
            <w:r>
              <w:rPr>
                <w:rFonts w:eastAsia="宋体"/>
                <w:lang w:val="en-US" w:eastAsia="zh-CN"/>
              </w:rPr>
              <w:t>Rayleigh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720" w:type="dxa"/>
            <w:shd w:val="clear" w:color="auto" w:fill="auto"/>
            <w:vAlign w:val="center"/>
          </w:tcPr>
          <w:p>
            <w:pPr>
              <w:pStyle w:val="105"/>
              <w:rPr>
                <w:rFonts w:eastAsia="宋体"/>
                <w:lang w:val="en-US" w:eastAsia="zh-CN"/>
              </w:rPr>
            </w:pPr>
            <w:r>
              <w:rPr>
                <w:rFonts w:eastAsia="宋体"/>
                <w:lang w:val="en-US" w:eastAsia="zh-CN"/>
              </w:rPr>
              <w:t>3</w:t>
            </w:r>
          </w:p>
        </w:tc>
        <w:tc>
          <w:tcPr>
            <w:tcW w:w="1080" w:type="dxa"/>
            <w:shd w:val="clear" w:color="auto" w:fill="auto"/>
            <w:vAlign w:val="center"/>
          </w:tcPr>
          <w:p>
            <w:pPr>
              <w:pStyle w:val="105"/>
              <w:rPr>
                <w:rFonts w:eastAsia="宋体"/>
                <w:lang w:val="en-US" w:eastAsia="zh-CN"/>
              </w:rPr>
            </w:pPr>
            <w:r>
              <w:rPr>
                <w:rFonts w:eastAsia="宋体"/>
                <w:lang w:val="en-US" w:eastAsia="zh-CN"/>
              </w:rPr>
              <w:t>285</w:t>
            </w:r>
          </w:p>
        </w:tc>
        <w:tc>
          <w:tcPr>
            <w:tcW w:w="1233" w:type="dxa"/>
            <w:shd w:val="clear" w:color="auto" w:fill="auto"/>
            <w:vAlign w:val="center"/>
          </w:tcPr>
          <w:p>
            <w:pPr>
              <w:pStyle w:val="105"/>
              <w:rPr>
                <w:rFonts w:eastAsia="宋体"/>
                <w:lang w:val="en-US" w:eastAsia="zh-CN"/>
              </w:rPr>
            </w:pPr>
            <w:r>
              <w:rPr>
                <w:rFonts w:eastAsia="宋体"/>
                <w:lang w:val="en-US" w:eastAsia="zh-CN"/>
              </w:rPr>
              <w:t>-6.5</w:t>
            </w:r>
          </w:p>
        </w:tc>
        <w:tc>
          <w:tcPr>
            <w:tcW w:w="1883" w:type="dxa"/>
            <w:shd w:val="clear" w:color="auto" w:fill="auto"/>
            <w:vAlign w:val="center"/>
          </w:tcPr>
          <w:p>
            <w:pPr>
              <w:pStyle w:val="105"/>
              <w:rPr>
                <w:rFonts w:eastAsia="宋体"/>
                <w:lang w:val="en-US" w:eastAsia="zh-CN"/>
              </w:rPr>
            </w:pPr>
            <w:r>
              <w:rPr>
                <w:rFonts w:eastAsia="宋体"/>
                <w:lang w:val="en-US" w:eastAsia="zh-CN"/>
              </w:rPr>
              <w:t>Rayleigh</w:t>
            </w:r>
          </w:p>
        </w:tc>
      </w:tr>
    </w:tbl>
    <w:p>
      <w:pPr>
        <w:rPr>
          <w:rFonts w:eastAsia="宋体"/>
          <w:lang w:val="en-US" w:eastAsia="zh-CN"/>
        </w:rPr>
      </w:pPr>
    </w:p>
    <w:p>
      <w:pPr>
        <w:pStyle w:val="113"/>
        <w:rPr>
          <w:rFonts w:eastAsia="宋体"/>
          <w:lang w:val="en-US" w:eastAsia="zh-CN"/>
        </w:rPr>
      </w:pPr>
      <w:r>
        <w:rPr>
          <w:rFonts w:eastAsia="宋体"/>
          <w:lang w:val="en-US" w:eastAsia="zh-CN"/>
        </w:rPr>
        <w:t xml:space="preserve">Table </w:t>
      </w:r>
      <w:r>
        <w:rPr>
          <w:rFonts w:hint="eastAsia" w:eastAsia="宋体"/>
          <w:lang w:val="en-US" w:eastAsia="zh-CN"/>
        </w:rPr>
        <w:t>B</w:t>
      </w:r>
      <w:r>
        <w:rPr>
          <w:rFonts w:eastAsia="宋体"/>
          <w:lang w:val="en-US" w:eastAsia="zh-CN"/>
        </w:rPr>
        <w:t>.</w:t>
      </w:r>
      <w:r>
        <w:rPr>
          <w:rFonts w:hint="eastAsia" w:eastAsia="宋体"/>
          <w:lang w:val="en-US" w:eastAsia="zh-CN"/>
        </w:rPr>
        <w:t>2</w:t>
      </w:r>
      <w:r>
        <w:rPr>
          <w:rFonts w:eastAsia="宋体"/>
          <w:lang w:val="en-US" w:eastAsia="zh-CN"/>
        </w:rPr>
        <w:t>.1-3 NTN-TDLC5 (DS = 5 ns)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7"/>
        <w:gridCol w:w="1077"/>
        <w:gridCol w:w="1167"/>
        <w:gridCol w:w="18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Tap #</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Delay [ns]</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Power [dB]</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Fading distribution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restart"/>
            <w:tcBorders>
              <w:top w:val="nil"/>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1</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0</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-0.6</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LOS path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tcBorders>
              <w:top w:val="nil"/>
              <w:left w:val="single" w:color="auto" w:sz="4" w:space="0"/>
              <w:bottom w:val="single" w:color="auto" w:sz="4" w:space="0"/>
              <w:right w:val="single" w:color="auto" w:sz="4" w:space="0"/>
            </w:tcBorders>
            <w:vAlign w:val="center"/>
          </w:tcPr>
          <w:p>
            <w:pPr>
              <w:pStyle w:val="105"/>
              <w:rPr>
                <w:rFonts w:eastAsia="宋体"/>
                <w:lang w:val="en-US" w:eastAsia="zh-CN"/>
              </w:rPr>
            </w:pP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0</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-8.9</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Rayleigh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2</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60</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-21.5</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Rayleigh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4"/>
            <w:tcBorders>
              <w:top w:val="single" w:color="auto" w:sz="4" w:space="0"/>
              <w:left w:val="single" w:color="auto" w:sz="4" w:space="0"/>
              <w:bottom w:val="single" w:color="auto" w:sz="4" w:space="0"/>
              <w:right w:val="single" w:color="auto" w:sz="4" w:space="0"/>
            </w:tcBorders>
            <w:vAlign w:val="center"/>
          </w:tcPr>
          <w:p>
            <w:pPr>
              <w:pStyle w:val="118"/>
              <w:rPr>
                <w:rFonts w:eastAsia="宋体"/>
                <w:lang w:val="en-US" w:eastAsia="zh-CN"/>
              </w:rPr>
            </w:pPr>
            <w:r>
              <w:rPr>
                <w:rFonts w:eastAsia="宋体"/>
                <w:lang w:val="en-US" w:eastAsia="zh-CN"/>
              </w:rPr>
              <w:t>Note 1:</w:t>
            </w:r>
            <w:r>
              <w:rPr>
                <w:rFonts w:eastAsia="宋体"/>
                <w:lang w:val="en-US" w:eastAsia="zh-CN"/>
              </w:rPr>
              <w:tab/>
            </w:r>
            <w:r>
              <w:rPr>
                <w:rFonts w:eastAsia="宋体"/>
                <w:lang w:val="en-US" w:eastAsia="zh-CN"/>
              </w:rPr>
              <w:t>Tap #1 follows a Rician distribution.</w:t>
            </w:r>
          </w:p>
        </w:tc>
      </w:tr>
    </w:tbl>
    <w:p>
      <w:pPr>
        <w:pStyle w:val="108"/>
      </w:pPr>
    </w:p>
    <w:p>
      <w:pPr>
        <w:pStyle w:val="113"/>
      </w:pPr>
      <w:r>
        <w:t>Table B.2.1-</w:t>
      </w:r>
      <w:r>
        <w:rPr>
          <w:rFonts w:hint="eastAsia" w:eastAsia="宋体"/>
          <w:lang w:val="en-US" w:eastAsia="zh-CN"/>
        </w:rPr>
        <w:t>4</w:t>
      </w:r>
      <w:r>
        <w:t>: Delay profiles for E-UTRA channel models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03"/>
        <w:gridCol w:w="1464"/>
        <w:gridCol w:w="1440"/>
        <w:gridCol w:w="1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3" w:type="dxa"/>
          </w:tcPr>
          <w:p>
            <w:pPr>
              <w:pStyle w:val="104"/>
              <w:rPr>
                <w:lang w:eastAsia="zh-CN"/>
              </w:rPr>
            </w:pPr>
            <w:r>
              <w:rPr>
                <w:lang w:eastAsia="zh-CN"/>
              </w:rPr>
              <w:t>Model</w:t>
            </w:r>
          </w:p>
        </w:tc>
        <w:tc>
          <w:tcPr>
            <w:tcW w:w="1464" w:type="dxa"/>
          </w:tcPr>
          <w:p>
            <w:pPr>
              <w:pStyle w:val="104"/>
              <w:rPr>
                <w:lang w:eastAsia="zh-CN"/>
              </w:rPr>
            </w:pPr>
            <w:r>
              <w:rPr>
                <w:lang w:eastAsia="zh-CN"/>
              </w:rPr>
              <w:t xml:space="preserve">Number of </w:t>
            </w:r>
            <w:r>
              <w:rPr>
                <w:lang w:eastAsia="zh-CN"/>
              </w:rPr>
              <w:br w:type="textWrapping"/>
            </w:r>
            <w:r>
              <w:rPr>
                <w:lang w:eastAsia="zh-CN"/>
              </w:rPr>
              <w:t>channel taps</w:t>
            </w:r>
          </w:p>
        </w:tc>
        <w:tc>
          <w:tcPr>
            <w:tcW w:w="1440" w:type="dxa"/>
          </w:tcPr>
          <w:p>
            <w:pPr>
              <w:pStyle w:val="104"/>
              <w:rPr>
                <w:lang w:eastAsia="zh-CN"/>
              </w:rPr>
            </w:pPr>
            <w:r>
              <w:rPr>
                <w:lang w:eastAsia="zh-CN"/>
              </w:rPr>
              <w:t>Delay spread</w:t>
            </w:r>
          </w:p>
          <w:p>
            <w:pPr>
              <w:pStyle w:val="104"/>
              <w:rPr>
                <w:lang w:eastAsia="zh-CN"/>
              </w:rPr>
            </w:pPr>
            <w:r>
              <w:rPr>
                <w:lang w:eastAsia="zh-CN"/>
              </w:rPr>
              <w:t>(r.m.s.)</w:t>
            </w:r>
          </w:p>
        </w:tc>
        <w:tc>
          <w:tcPr>
            <w:tcW w:w="1862" w:type="dxa"/>
          </w:tcPr>
          <w:p>
            <w:pPr>
              <w:pStyle w:val="104"/>
              <w:rPr>
                <w:lang w:eastAsia="zh-CN"/>
              </w:rPr>
            </w:pPr>
            <w:r>
              <w:rPr>
                <w:lang w:eastAsia="zh-CN"/>
              </w:rPr>
              <w:t>Maximum excess tap delay (span)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3" w:type="dxa"/>
          </w:tcPr>
          <w:p>
            <w:pPr>
              <w:pStyle w:val="103"/>
            </w:pPr>
            <w:r>
              <w:t>Extended Pedestrian A (EPA)</w:t>
            </w:r>
          </w:p>
        </w:tc>
        <w:tc>
          <w:tcPr>
            <w:tcW w:w="1464" w:type="dxa"/>
          </w:tcPr>
          <w:p>
            <w:pPr>
              <w:pStyle w:val="105"/>
            </w:pPr>
            <w:r>
              <w:t>7</w:t>
            </w:r>
          </w:p>
        </w:tc>
        <w:tc>
          <w:tcPr>
            <w:tcW w:w="1440" w:type="dxa"/>
          </w:tcPr>
          <w:p>
            <w:pPr>
              <w:pStyle w:val="105"/>
            </w:pPr>
            <w:r>
              <w:t>45 ns</w:t>
            </w:r>
          </w:p>
        </w:tc>
        <w:tc>
          <w:tcPr>
            <w:tcW w:w="1862" w:type="dxa"/>
          </w:tcPr>
          <w:p>
            <w:pPr>
              <w:pStyle w:val="105"/>
            </w:pPr>
            <w:r>
              <w:t>410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3" w:type="dxa"/>
          </w:tcPr>
          <w:p>
            <w:pPr>
              <w:pStyle w:val="103"/>
            </w:pPr>
            <w:r>
              <w:t>Extended Vehicular A model (EVA)</w:t>
            </w:r>
          </w:p>
        </w:tc>
        <w:tc>
          <w:tcPr>
            <w:tcW w:w="1464" w:type="dxa"/>
          </w:tcPr>
          <w:p>
            <w:pPr>
              <w:pStyle w:val="105"/>
            </w:pPr>
            <w:r>
              <w:t>9</w:t>
            </w:r>
          </w:p>
        </w:tc>
        <w:tc>
          <w:tcPr>
            <w:tcW w:w="1440" w:type="dxa"/>
          </w:tcPr>
          <w:p>
            <w:pPr>
              <w:pStyle w:val="105"/>
            </w:pPr>
            <w:r>
              <w:t>357 ns</w:t>
            </w:r>
          </w:p>
        </w:tc>
        <w:tc>
          <w:tcPr>
            <w:tcW w:w="1862" w:type="dxa"/>
          </w:tcPr>
          <w:p>
            <w:pPr>
              <w:pStyle w:val="105"/>
            </w:pPr>
            <w:r>
              <w:t>2510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3" w:type="dxa"/>
          </w:tcPr>
          <w:p>
            <w:pPr>
              <w:pStyle w:val="103"/>
            </w:pPr>
            <w:r>
              <w:t>Extended Typical Urban model (ETU)</w:t>
            </w:r>
          </w:p>
        </w:tc>
        <w:tc>
          <w:tcPr>
            <w:tcW w:w="1464" w:type="dxa"/>
          </w:tcPr>
          <w:p>
            <w:pPr>
              <w:pStyle w:val="105"/>
            </w:pPr>
            <w:r>
              <w:t>9</w:t>
            </w:r>
          </w:p>
        </w:tc>
        <w:tc>
          <w:tcPr>
            <w:tcW w:w="1440" w:type="dxa"/>
          </w:tcPr>
          <w:p>
            <w:pPr>
              <w:pStyle w:val="105"/>
            </w:pPr>
            <w:r>
              <w:t>991 ns</w:t>
            </w:r>
          </w:p>
        </w:tc>
        <w:tc>
          <w:tcPr>
            <w:tcW w:w="1862" w:type="dxa"/>
          </w:tcPr>
          <w:p>
            <w:pPr>
              <w:pStyle w:val="105"/>
            </w:pPr>
            <w:r>
              <w:t>5000 ns</w:t>
            </w:r>
          </w:p>
        </w:tc>
      </w:tr>
    </w:tbl>
    <w:p>
      <w:pPr>
        <w:pStyle w:val="108"/>
      </w:pPr>
    </w:p>
    <w:p>
      <w:pPr>
        <w:pStyle w:val="113"/>
      </w:pPr>
      <w:r>
        <w:t>Table B.2.1-</w:t>
      </w:r>
      <w:r>
        <w:rPr>
          <w:rFonts w:hint="eastAsia" w:eastAsia="宋体"/>
          <w:lang w:val="en-US" w:eastAsia="zh-CN"/>
        </w:rPr>
        <w:t>5</w:t>
      </w:r>
      <w:r>
        <w:t>: Extended Pedestrian A model (EPA)</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4"/>
              <w:rPr>
                <w:lang w:eastAsia="zh-CN"/>
              </w:rPr>
            </w:pPr>
            <w:r>
              <w:rPr>
                <w:lang w:eastAsia="zh-CN"/>
              </w:rPr>
              <w:t>Excess tap delay [ns]</w:t>
            </w:r>
          </w:p>
        </w:tc>
        <w:tc>
          <w:tcPr>
            <w:tcW w:w="2551" w:type="dxa"/>
          </w:tcPr>
          <w:p>
            <w:pPr>
              <w:pStyle w:val="104"/>
              <w:rPr>
                <w:lang w:eastAsia="zh-CN"/>
              </w:rPr>
            </w:pPr>
            <w:r>
              <w:rPr>
                <w:lang w:eastAsia="zh-CN"/>
              </w:rPr>
              <w:t>Relative power</w:t>
            </w:r>
          </w:p>
          <w:p>
            <w:pPr>
              <w:pStyle w:val="104"/>
              <w:rPr>
                <w:lang w:eastAsia="zh-CN"/>
              </w:rPr>
            </w:pPr>
            <w:r>
              <w:rPr>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30</w:t>
            </w:r>
          </w:p>
        </w:tc>
        <w:tc>
          <w:tcPr>
            <w:tcW w:w="255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70</w:t>
            </w:r>
          </w:p>
        </w:tc>
        <w:tc>
          <w:tcPr>
            <w:tcW w:w="2551" w:type="dxa"/>
          </w:tcPr>
          <w:p>
            <w:pPr>
              <w:pStyle w:val="105"/>
            </w:pPr>
            <w: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90</w:t>
            </w:r>
          </w:p>
        </w:tc>
        <w:tc>
          <w:tcPr>
            <w:tcW w:w="2551" w:type="dxa"/>
          </w:tcPr>
          <w:p>
            <w:pPr>
              <w:pStyle w:val="105"/>
            </w:pP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110</w:t>
            </w:r>
          </w:p>
        </w:tc>
        <w:tc>
          <w:tcPr>
            <w:tcW w:w="2551" w:type="dxa"/>
          </w:tcPr>
          <w:p>
            <w:pPr>
              <w:pStyle w:val="105"/>
            </w:pPr>
            <w: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190</w:t>
            </w:r>
          </w:p>
        </w:tc>
        <w:tc>
          <w:tcPr>
            <w:tcW w:w="2551" w:type="dxa"/>
          </w:tcPr>
          <w:p>
            <w:pPr>
              <w:pStyle w:val="105"/>
            </w:pPr>
            <w:r>
              <w:t>-17.2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410</w:t>
            </w:r>
          </w:p>
        </w:tc>
        <w:tc>
          <w:tcPr>
            <w:tcW w:w="2551" w:type="dxa"/>
          </w:tcPr>
          <w:p>
            <w:pPr>
              <w:pStyle w:val="105"/>
            </w:pPr>
            <w:r>
              <w:t>-20.8</w:t>
            </w:r>
          </w:p>
        </w:tc>
      </w:tr>
    </w:tbl>
    <w:p>
      <w:pPr>
        <w:pStyle w:val="108"/>
      </w:pPr>
    </w:p>
    <w:p>
      <w:pPr>
        <w:pStyle w:val="113"/>
      </w:pPr>
      <w:r>
        <w:t>Table B.2.1-</w:t>
      </w:r>
      <w:r>
        <w:rPr>
          <w:rFonts w:hint="eastAsia" w:eastAsia="宋体"/>
          <w:lang w:val="en-US" w:eastAsia="zh-CN"/>
        </w:rPr>
        <w:t>6</w:t>
      </w:r>
      <w:r>
        <w:t>: Extended Vehicular A model (EVA)</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4"/>
              <w:rPr>
                <w:lang w:eastAsia="zh-CN"/>
              </w:rPr>
            </w:pPr>
            <w:r>
              <w:rPr>
                <w:lang w:eastAsia="zh-CN"/>
              </w:rPr>
              <w:t>Excess tap delay [ns]</w:t>
            </w:r>
          </w:p>
        </w:tc>
        <w:tc>
          <w:tcPr>
            <w:tcW w:w="2551" w:type="dxa"/>
          </w:tcPr>
          <w:p>
            <w:pPr>
              <w:pStyle w:val="104"/>
              <w:rPr>
                <w:lang w:eastAsia="zh-CN"/>
              </w:rPr>
            </w:pPr>
            <w:r>
              <w:rPr>
                <w:lang w:eastAsia="zh-CN"/>
              </w:rPr>
              <w:t>Relative power</w:t>
            </w:r>
          </w:p>
          <w:p>
            <w:pPr>
              <w:pStyle w:val="104"/>
              <w:rPr>
                <w:lang w:eastAsia="zh-CN"/>
              </w:rPr>
            </w:pPr>
            <w:r>
              <w:rPr>
                <w:lang w:eastAsia="zh-CN"/>
              </w:rP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30</w:t>
            </w:r>
          </w:p>
        </w:tc>
        <w:tc>
          <w:tcPr>
            <w:tcW w:w="2551"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150</w:t>
            </w:r>
          </w:p>
        </w:tc>
        <w:tc>
          <w:tcPr>
            <w:tcW w:w="2551" w:type="dxa"/>
          </w:tcPr>
          <w:p>
            <w:pPr>
              <w:pStyle w:val="105"/>
            </w:pPr>
            <w: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310</w:t>
            </w:r>
          </w:p>
        </w:tc>
        <w:tc>
          <w:tcPr>
            <w:tcW w:w="2551" w:type="dxa"/>
          </w:tcPr>
          <w:p>
            <w:pPr>
              <w:pStyle w:val="105"/>
            </w:pPr>
            <w: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370</w:t>
            </w:r>
          </w:p>
        </w:tc>
        <w:tc>
          <w:tcPr>
            <w:tcW w:w="2551" w:type="dxa"/>
          </w:tcPr>
          <w:p>
            <w:pPr>
              <w:pStyle w:val="105"/>
            </w:pPr>
            <w: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710</w:t>
            </w:r>
          </w:p>
        </w:tc>
        <w:tc>
          <w:tcPr>
            <w:tcW w:w="2551" w:type="dxa"/>
          </w:tcPr>
          <w:p>
            <w:pPr>
              <w:pStyle w:val="105"/>
            </w:pPr>
            <w:r>
              <w:t>-9.1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1090</w:t>
            </w:r>
          </w:p>
        </w:tc>
        <w:tc>
          <w:tcPr>
            <w:tcW w:w="2551" w:type="dxa"/>
          </w:tcPr>
          <w:p>
            <w:pPr>
              <w:pStyle w:val="105"/>
            </w:pPr>
            <w: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1730</w:t>
            </w:r>
          </w:p>
        </w:tc>
        <w:tc>
          <w:tcPr>
            <w:tcW w:w="2551" w:type="dxa"/>
          </w:tcPr>
          <w:p>
            <w:pPr>
              <w:pStyle w:val="105"/>
            </w:pPr>
            <w: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2510</w:t>
            </w:r>
          </w:p>
        </w:tc>
        <w:tc>
          <w:tcPr>
            <w:tcW w:w="2551" w:type="dxa"/>
          </w:tcPr>
          <w:p>
            <w:pPr>
              <w:pStyle w:val="105"/>
            </w:pPr>
            <w:r>
              <w:t>-16.9</w:t>
            </w:r>
          </w:p>
        </w:tc>
      </w:tr>
    </w:tbl>
    <w:p>
      <w:pPr>
        <w:pStyle w:val="108"/>
      </w:pPr>
    </w:p>
    <w:p>
      <w:pPr>
        <w:pStyle w:val="113"/>
      </w:pPr>
      <w:r>
        <w:t>Table B.2.1-</w:t>
      </w:r>
      <w:r>
        <w:rPr>
          <w:rFonts w:hint="eastAsia" w:eastAsia="宋体"/>
          <w:lang w:val="en-US" w:eastAsia="zh-CN"/>
        </w:rPr>
        <w:t>7</w:t>
      </w:r>
      <w:r>
        <w:t>: Extended Typical Urban model (ETU)</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4"/>
              <w:rPr>
                <w:lang w:eastAsia="zh-CN"/>
              </w:rPr>
            </w:pPr>
            <w:r>
              <w:rPr>
                <w:lang w:eastAsia="zh-CN"/>
              </w:rPr>
              <w:t>Excess tap delay [ns]</w:t>
            </w:r>
          </w:p>
        </w:tc>
        <w:tc>
          <w:tcPr>
            <w:tcW w:w="2551" w:type="dxa"/>
          </w:tcPr>
          <w:p>
            <w:pPr>
              <w:pStyle w:val="104"/>
              <w:rPr>
                <w:lang w:eastAsia="zh-CN"/>
              </w:rPr>
            </w:pPr>
            <w:r>
              <w:rPr>
                <w:lang w:eastAsia="zh-CN"/>
              </w:rPr>
              <w:t>Relative power</w:t>
            </w:r>
          </w:p>
          <w:p>
            <w:pPr>
              <w:pStyle w:val="104"/>
              <w:rPr>
                <w:lang w:eastAsia="zh-CN"/>
              </w:rPr>
            </w:pPr>
            <w:r>
              <w:rPr>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0</w:t>
            </w:r>
          </w:p>
        </w:tc>
        <w:tc>
          <w:tcPr>
            <w:tcW w:w="255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50</w:t>
            </w:r>
          </w:p>
        </w:tc>
        <w:tc>
          <w:tcPr>
            <w:tcW w:w="255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120</w:t>
            </w:r>
          </w:p>
        </w:tc>
        <w:tc>
          <w:tcPr>
            <w:tcW w:w="255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200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230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500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1600</w:t>
            </w:r>
          </w:p>
        </w:tc>
        <w:tc>
          <w:tcPr>
            <w:tcW w:w="2551" w:type="dxa"/>
          </w:tcPr>
          <w:p>
            <w:pPr>
              <w:pStyle w:val="105"/>
            </w:pP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2300</w:t>
            </w:r>
          </w:p>
        </w:tc>
        <w:tc>
          <w:tcPr>
            <w:tcW w:w="2551" w:type="dxa"/>
          </w:tcPr>
          <w:p>
            <w:pPr>
              <w:pStyle w:val="105"/>
            </w:pPr>
            <w: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5000</w:t>
            </w:r>
          </w:p>
        </w:tc>
        <w:tc>
          <w:tcPr>
            <w:tcW w:w="2551" w:type="dxa"/>
          </w:tcPr>
          <w:p>
            <w:pPr>
              <w:pStyle w:val="105"/>
            </w:pPr>
            <w:r>
              <w:t>-7.0</w:t>
            </w:r>
          </w:p>
        </w:tc>
      </w:tr>
    </w:tbl>
    <w:p>
      <w:pPr>
        <w:pStyle w:val="108"/>
      </w:pPr>
    </w:p>
    <w:p>
      <w:pPr>
        <w:pStyle w:val="4"/>
      </w:pPr>
      <w:bookmarkStart w:id="1957" w:name="_Toc12297"/>
      <w:bookmarkStart w:id="1958" w:name="_Toc232582138"/>
      <w:bookmarkStart w:id="1959" w:name="_Toc1164"/>
      <w:bookmarkStart w:id="1960" w:name="_Toc15958"/>
      <w:bookmarkStart w:id="1961" w:name="_Toc4660"/>
      <w:bookmarkStart w:id="1962" w:name="_Toc307"/>
      <w:r>
        <w:t>B.2.2</w:t>
      </w:r>
      <w:r>
        <w:tab/>
      </w:r>
      <w:r>
        <w:t>Combinations of channel model parameters</w:t>
      </w:r>
      <w:bookmarkEnd w:id="1957"/>
      <w:bookmarkEnd w:id="1958"/>
      <w:bookmarkEnd w:id="1959"/>
      <w:bookmarkEnd w:id="1960"/>
      <w:bookmarkEnd w:id="1961"/>
      <w:bookmarkEnd w:id="1962"/>
    </w:p>
    <w:p>
      <w:pPr>
        <w:spacing w:before="100" w:beforeAutospacing="1"/>
        <w:rPr>
          <w:rFonts w:eastAsia="宋体"/>
          <w:lang w:val="en-US" w:eastAsia="zh-CN"/>
        </w:rPr>
      </w:pPr>
      <w:bookmarkStart w:id="1963" w:name="_MON_1298926260"/>
      <w:bookmarkEnd w:id="1963"/>
      <w:bookmarkStart w:id="1964" w:name="_MON_1255261576"/>
      <w:bookmarkEnd w:id="1964"/>
      <w:bookmarkStart w:id="1965" w:name="_MON_1253392191"/>
      <w:bookmarkEnd w:id="1965"/>
      <w:bookmarkStart w:id="1966" w:name="_MON_1253392204"/>
      <w:bookmarkEnd w:id="1966"/>
      <w:bookmarkStart w:id="1967" w:name="_MON_1293118094"/>
      <w:bookmarkEnd w:id="1967"/>
      <w:bookmarkStart w:id="1968" w:name="_MON_1255261797"/>
      <w:bookmarkEnd w:id="1968"/>
      <w:bookmarkStart w:id="1969" w:name="_MON_1293037289"/>
      <w:bookmarkEnd w:id="1969"/>
      <w:bookmarkStart w:id="1970" w:name="_MON_1253392254"/>
      <w:bookmarkEnd w:id="1970"/>
      <w:bookmarkStart w:id="1971" w:name="_MON_1255262332"/>
      <w:bookmarkEnd w:id="1971"/>
      <w:bookmarkStart w:id="1972" w:name="_MON_1253392252"/>
      <w:bookmarkEnd w:id="1972"/>
      <w:r>
        <w:rPr>
          <w:rFonts w:eastAsia="宋体"/>
          <w:lang w:val="en-US"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pPr>
        <w:spacing w:before="100" w:beforeAutospacing="1"/>
        <w:rPr>
          <w:rFonts w:eastAsia="宋体"/>
          <w:lang w:val="en-US" w:eastAsia="zh-CN"/>
        </w:rPr>
      </w:pPr>
      <w:r>
        <w:rPr>
          <w:rFonts w:eastAsia="宋体"/>
          <w:lang w:val="en-US" w:eastAsia="zh-CN"/>
        </w:rPr>
        <w:t xml:space="preserve">Table </w:t>
      </w:r>
      <w:r>
        <w:rPr>
          <w:rFonts w:hint="eastAsia" w:eastAsia="宋体"/>
          <w:lang w:val="en-US" w:eastAsia="zh-CN"/>
        </w:rPr>
        <w:t>B</w:t>
      </w:r>
      <w:r>
        <w:rPr>
          <w:rFonts w:eastAsia="宋体"/>
          <w:lang w:val="en-US" w:eastAsia="zh-CN"/>
        </w:rPr>
        <w:t>.</w:t>
      </w:r>
      <w:r>
        <w:rPr>
          <w:rFonts w:hint="eastAsia" w:eastAsia="宋体"/>
          <w:lang w:val="en-US" w:eastAsia="zh-CN"/>
        </w:rPr>
        <w:t>2</w:t>
      </w:r>
      <w:r>
        <w:rPr>
          <w:rFonts w:eastAsia="宋体"/>
          <w:lang w:val="en-US" w:eastAsia="zh-CN"/>
        </w:rPr>
        <w:t>.2-1 show the propagation conditions that are used for the performance measurements in multi-path fading environment for NLOS and LOS propagation conditions.</w:t>
      </w:r>
    </w:p>
    <w:p>
      <w:pPr>
        <w:pStyle w:val="113"/>
        <w:rPr>
          <w:rFonts w:eastAsia="宋体"/>
          <w:lang w:val="en-US" w:eastAsia="zh-CN"/>
        </w:rPr>
      </w:pPr>
      <w:r>
        <w:rPr>
          <w:rFonts w:eastAsia="宋体"/>
          <w:lang w:val="en-US" w:eastAsia="zh-CN"/>
        </w:rPr>
        <w:t xml:space="preserve">Table </w:t>
      </w:r>
      <w:r>
        <w:rPr>
          <w:rFonts w:hint="eastAsia" w:eastAsia="宋体"/>
          <w:lang w:val="en-US" w:eastAsia="zh-CN"/>
        </w:rPr>
        <w:t>B</w:t>
      </w:r>
      <w:r>
        <w:rPr>
          <w:rFonts w:eastAsia="宋体"/>
          <w:lang w:val="en-US" w:eastAsia="zh-CN"/>
        </w:rPr>
        <w:t>.</w:t>
      </w:r>
      <w:r>
        <w:rPr>
          <w:rFonts w:hint="eastAsia" w:eastAsia="宋体"/>
          <w:lang w:val="en-US" w:eastAsia="zh-CN"/>
        </w:rPr>
        <w:t>2</w:t>
      </w:r>
      <w:r>
        <w:rPr>
          <w:rFonts w:eastAsia="宋体"/>
          <w:lang w:val="en-US" w:eastAsia="zh-CN"/>
        </w:rPr>
        <w:t>.2-1: Channel model parameters for NTN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49"/>
        <w:gridCol w:w="2033"/>
        <w:gridCol w:w="22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4"/>
              <w:rPr>
                <w:rFonts w:eastAsia="宋体"/>
                <w:lang w:val="en-US" w:eastAsia="zh-CN"/>
              </w:rPr>
            </w:pPr>
            <w:r>
              <w:rPr>
                <w:rFonts w:hint="eastAsia" w:eastAsia="宋体"/>
                <w:lang w:val="en-US" w:eastAsia="zh-CN"/>
              </w:rPr>
              <w:t>Combination name</w:t>
            </w:r>
          </w:p>
        </w:tc>
        <w:tc>
          <w:tcPr>
            <w:tcW w:w="2033" w:type="dxa"/>
            <w:tcBorders>
              <w:top w:val="single" w:color="auto" w:sz="4" w:space="0"/>
              <w:left w:val="single" w:color="auto" w:sz="4" w:space="0"/>
              <w:bottom w:val="single" w:color="auto" w:sz="4" w:space="0"/>
              <w:right w:val="single" w:color="auto" w:sz="4" w:space="0"/>
            </w:tcBorders>
          </w:tcPr>
          <w:p>
            <w:pPr>
              <w:pStyle w:val="104"/>
              <w:rPr>
                <w:rFonts w:eastAsia="宋体"/>
                <w:lang w:val="en-US" w:eastAsia="zh-CN"/>
              </w:rPr>
            </w:pPr>
            <w:r>
              <w:rPr>
                <w:rFonts w:eastAsia="宋体"/>
                <w:lang w:val="en-US" w:eastAsia="zh-CN"/>
              </w:rPr>
              <w:t>Model</w:t>
            </w:r>
          </w:p>
        </w:tc>
        <w:tc>
          <w:tcPr>
            <w:tcW w:w="2215" w:type="dxa"/>
            <w:tcBorders>
              <w:top w:val="single" w:color="auto" w:sz="4" w:space="0"/>
              <w:left w:val="single" w:color="auto" w:sz="4" w:space="0"/>
              <w:bottom w:val="single" w:color="auto" w:sz="4" w:space="0"/>
              <w:right w:val="single" w:color="auto" w:sz="4" w:space="0"/>
            </w:tcBorders>
          </w:tcPr>
          <w:p>
            <w:pPr>
              <w:pStyle w:val="104"/>
              <w:rPr>
                <w:rFonts w:eastAsia="宋体"/>
                <w:lang w:val="en-US" w:eastAsia="zh-CN"/>
              </w:rPr>
            </w:pPr>
            <w:r>
              <w:rPr>
                <w:rFonts w:eastAsia="宋体"/>
                <w:lang w:val="en-US" w:eastAsia="zh-CN"/>
              </w:rPr>
              <w:t>Maximum Doppler 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w:t>
            </w:r>
            <w:r>
              <w:rPr>
                <w:rFonts w:hint="eastAsia" w:eastAsia="宋体"/>
                <w:lang w:val="en-US" w:eastAsia="zh-CN"/>
              </w:rPr>
              <w:t>TDLA</w:t>
            </w:r>
            <w:r>
              <w:rPr>
                <w:rFonts w:eastAsia="宋体"/>
                <w:lang w:val="en-US" w:eastAsia="zh-CN"/>
              </w:rPr>
              <w:t>100</w:t>
            </w:r>
            <w:r>
              <w:rPr>
                <w:rFonts w:hint="eastAsia" w:eastAsia="宋体"/>
                <w:lang w:val="en-US" w:eastAsia="zh-CN"/>
              </w:rPr>
              <w:t>-</w:t>
            </w:r>
            <w:r>
              <w:rPr>
                <w:rFonts w:eastAsia="宋体"/>
                <w:lang w:val="en-US" w:eastAsia="zh-CN"/>
              </w:rPr>
              <w:t>10</w:t>
            </w:r>
          </w:p>
        </w:tc>
        <w:tc>
          <w:tcPr>
            <w:tcW w:w="2033"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NTN-TDLA100</w:t>
            </w:r>
          </w:p>
        </w:tc>
        <w:tc>
          <w:tcPr>
            <w:tcW w:w="2215"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 xml:space="preserve">10 </w:t>
            </w:r>
            <w:r>
              <w:rPr>
                <w:rFonts w:hint="eastAsia" w:eastAsia="宋体"/>
                <w:lang w:val="en-US" w:eastAsia="zh-CN"/>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w:t>
            </w:r>
            <w:r>
              <w:rPr>
                <w:rFonts w:hint="eastAsia" w:eastAsia="宋体"/>
                <w:lang w:val="en-US" w:eastAsia="zh-CN"/>
              </w:rPr>
              <w:t>TDLA</w:t>
            </w:r>
            <w:r>
              <w:rPr>
                <w:rFonts w:eastAsia="宋体"/>
                <w:lang w:val="en-US" w:eastAsia="zh-CN"/>
              </w:rPr>
              <w:t>100</w:t>
            </w:r>
            <w:r>
              <w:rPr>
                <w:rFonts w:hint="eastAsia" w:eastAsia="宋体"/>
                <w:lang w:val="en-US" w:eastAsia="zh-CN"/>
              </w:rPr>
              <w:t>-</w:t>
            </w:r>
            <w:r>
              <w:rPr>
                <w:rFonts w:eastAsia="宋体"/>
                <w:lang w:val="en-US" w:eastAsia="zh-CN"/>
              </w:rPr>
              <w:t>200</w:t>
            </w:r>
          </w:p>
        </w:tc>
        <w:tc>
          <w:tcPr>
            <w:tcW w:w="2033"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NTN-TDLA100</w:t>
            </w:r>
          </w:p>
        </w:tc>
        <w:tc>
          <w:tcPr>
            <w:tcW w:w="2215"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20</w:t>
            </w:r>
            <w:r>
              <w:rPr>
                <w:rFonts w:hint="eastAsia" w:eastAsia="宋体"/>
                <w:lang w:val="en-US" w:eastAsia="zh-CN"/>
              </w:rPr>
              <w:t>0</w:t>
            </w:r>
            <w:r>
              <w:rPr>
                <w:rFonts w:eastAsia="宋体"/>
                <w:lang w:val="en-US" w:eastAsia="zh-CN"/>
              </w:rPr>
              <w:t xml:space="preserve"> </w:t>
            </w:r>
            <w:r>
              <w:rPr>
                <w:rFonts w:hint="eastAsia" w:eastAsia="宋体"/>
                <w:lang w:val="en-US" w:eastAsia="zh-CN"/>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NTN-TDLC5-30</w:t>
            </w:r>
          </w:p>
        </w:tc>
        <w:tc>
          <w:tcPr>
            <w:tcW w:w="2033"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NTN-TDLC5</w:t>
            </w:r>
          </w:p>
        </w:tc>
        <w:tc>
          <w:tcPr>
            <w:tcW w:w="2215"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3</w:t>
            </w:r>
            <w:r>
              <w:rPr>
                <w:rFonts w:hint="eastAsia" w:eastAsia="宋体"/>
                <w:lang w:val="en-US" w:eastAsia="zh-CN"/>
              </w:rPr>
              <w:t>0</w:t>
            </w:r>
            <w:r>
              <w:rPr>
                <w:rFonts w:eastAsia="宋体"/>
                <w:lang w:val="en-US" w:eastAsia="zh-CN"/>
              </w:rPr>
              <w:t xml:space="preserve"> </w:t>
            </w:r>
            <w:r>
              <w:rPr>
                <w:rFonts w:hint="eastAsia" w:eastAsia="宋体"/>
                <w:lang w:val="en-US" w:eastAsia="zh-CN"/>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NTN-TDLC5-200</w:t>
            </w:r>
          </w:p>
        </w:tc>
        <w:tc>
          <w:tcPr>
            <w:tcW w:w="2033"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NTN-TDLC5</w:t>
            </w:r>
          </w:p>
        </w:tc>
        <w:tc>
          <w:tcPr>
            <w:tcW w:w="2215"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20</w:t>
            </w:r>
            <w:r>
              <w:rPr>
                <w:rFonts w:hint="eastAsia" w:eastAsia="宋体"/>
                <w:lang w:val="en-US" w:eastAsia="zh-CN"/>
              </w:rPr>
              <w:t>0</w:t>
            </w:r>
            <w:r>
              <w:rPr>
                <w:rFonts w:eastAsia="宋体"/>
                <w:lang w:val="en-US" w:eastAsia="zh-CN"/>
              </w:rPr>
              <w:t xml:space="preserve"> </w:t>
            </w:r>
            <w:r>
              <w:rPr>
                <w:rFonts w:hint="eastAsia" w:eastAsia="宋体"/>
                <w:lang w:val="en-US" w:eastAsia="zh-CN"/>
              </w:rPr>
              <w:t>Hz</w:t>
            </w:r>
          </w:p>
        </w:tc>
      </w:tr>
    </w:tbl>
    <w:p>
      <w:pPr>
        <w:rPr>
          <w:lang w:eastAsia="ja-JP"/>
        </w:rPr>
      </w:pPr>
    </w:p>
    <w:bookmarkEnd w:id="1869"/>
    <w:p>
      <w:pPr>
        <w:pStyle w:val="11"/>
      </w:pPr>
      <w:bookmarkStart w:id="1973" w:name="_Toc11078"/>
      <w:bookmarkStart w:id="1974" w:name="_Toc4062"/>
      <w:bookmarkStart w:id="1975" w:name="_Toc232582143"/>
      <w:bookmarkStart w:id="1976" w:name="_Toc27376"/>
      <w:bookmarkStart w:id="1977" w:name="_Toc30723"/>
      <w:bookmarkStart w:id="1978" w:name="_Toc773"/>
      <w:r>
        <w:t>Annex C (</w:t>
      </w:r>
      <w:r>
        <w:rPr>
          <w:lang w:eastAsia="en-GB"/>
        </w:rPr>
        <w:t>normative</w:t>
      </w:r>
      <w:r>
        <w:t>):</w:t>
      </w:r>
      <w:r>
        <w:br w:type="textWrapping"/>
      </w:r>
      <w:r>
        <w:t>Downlink Physical Channels</w:t>
      </w:r>
      <w:bookmarkEnd w:id="1973"/>
      <w:bookmarkEnd w:id="1974"/>
      <w:bookmarkEnd w:id="1975"/>
      <w:bookmarkEnd w:id="1976"/>
      <w:bookmarkEnd w:id="1977"/>
      <w:bookmarkEnd w:id="1978"/>
    </w:p>
    <w:p>
      <w:r>
        <w:t>This annex specifies the downlink physical channels that are needed for setting a connection and channels that are needed during a connection.</w:t>
      </w:r>
    </w:p>
    <w:p>
      <w:pPr>
        <w:pStyle w:val="3"/>
      </w:pPr>
      <w:bookmarkStart w:id="1979" w:name="_Toc232582144"/>
      <w:bookmarkStart w:id="1980" w:name="_Toc19941"/>
      <w:bookmarkStart w:id="1981" w:name="_Toc18264"/>
      <w:bookmarkStart w:id="1982" w:name="_Toc20156"/>
      <w:bookmarkStart w:id="1983" w:name="_Toc14277"/>
      <w:bookmarkStart w:id="1984" w:name="_Toc27071"/>
      <w:r>
        <w:t>C.0</w:t>
      </w:r>
      <w:r>
        <w:tab/>
      </w:r>
      <w:r>
        <w:t>Downlink signal levels</w:t>
      </w:r>
      <w:bookmarkEnd w:id="1979"/>
      <w:bookmarkEnd w:id="1980"/>
      <w:bookmarkEnd w:id="1981"/>
      <w:bookmarkEnd w:id="1982"/>
      <w:bookmarkEnd w:id="1983"/>
      <w:bookmarkEnd w:id="1984"/>
    </w:p>
    <w:p>
      <w:pPr>
        <w:rPr>
          <w:lang w:eastAsia="ja-JP"/>
        </w:rPr>
      </w:pPr>
      <w:r>
        <w:rPr>
          <w:lang w:eastAsia="ja-JP"/>
        </w:rPr>
        <w:t>The downlink power settings in Table C.0-1 or Table C.0-2 are used unless otherwise specified in a test case.</w:t>
      </w:r>
    </w:p>
    <w:p>
      <w:pPr>
        <w:rPr>
          <w:lang w:eastAsia="ja-JP"/>
        </w:rPr>
      </w:pPr>
      <w:r>
        <w:rPr>
          <w:rFonts w:hint="eastAsia" w:eastAsia="宋体"/>
          <w:lang w:val="en-US" w:eastAsia="zh-CN"/>
        </w:rPr>
        <w:t>For</w:t>
      </w:r>
      <w:r>
        <w:rPr>
          <w:lang w:eastAsia="ja-JP"/>
        </w:rPr>
        <w:t xml:space="preserve"> the UE has one Rx antenna, the downlink signal is applied to it.</w:t>
      </w:r>
    </w:p>
    <w:p>
      <w:pPr>
        <w:pStyle w:val="113"/>
      </w:pPr>
      <w:r>
        <w:t xml:space="preserve">Table C.0-1: Default Downlink power levels for </w:t>
      </w:r>
      <w:bookmarkStart w:id="1985" w:name="OLE_LINK2"/>
      <w:r>
        <w:rPr>
          <w:rFonts w:hint="eastAsia"/>
        </w:rPr>
        <w:t>category M1</w:t>
      </w:r>
      <w:bookmarkEnd w:id="1985"/>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1247"/>
        <w:gridCol w:w="54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4"/>
              <w:rPr>
                <w:lang w:eastAsia="zh-CN"/>
              </w:rPr>
            </w:pPr>
          </w:p>
        </w:tc>
        <w:tc>
          <w:tcPr>
            <w:tcW w:w="1247" w:type="dxa"/>
          </w:tcPr>
          <w:p>
            <w:pPr>
              <w:pStyle w:val="104"/>
              <w:rPr>
                <w:lang w:eastAsia="zh-CN"/>
              </w:rPr>
            </w:pPr>
            <w:r>
              <w:rPr>
                <w:lang w:eastAsia="zh-CN"/>
              </w:rPr>
              <w:t>Unit</w:t>
            </w:r>
          </w:p>
        </w:tc>
        <w:tc>
          <w:tcPr>
            <w:tcW w:w="5442" w:type="dxa"/>
          </w:tcPr>
          <w:p>
            <w:pPr>
              <w:pStyle w:val="104"/>
              <w:rPr>
                <w:lang w:eastAsia="zh-CN"/>
              </w:rPr>
            </w:pPr>
            <w:r>
              <w:rPr>
                <w:lang w:eastAsia="zh-CN"/>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4"/>
              <w:rPr>
                <w:lang w:eastAsia="zh-CN"/>
              </w:rPr>
            </w:pPr>
          </w:p>
        </w:tc>
        <w:tc>
          <w:tcPr>
            <w:tcW w:w="1247" w:type="dxa"/>
          </w:tcPr>
          <w:p>
            <w:pPr>
              <w:pStyle w:val="104"/>
              <w:rPr>
                <w:lang w:eastAsia="zh-CN"/>
              </w:rPr>
            </w:pPr>
          </w:p>
        </w:tc>
        <w:tc>
          <w:tcPr>
            <w:tcW w:w="5442" w:type="dxa"/>
          </w:tcPr>
          <w:p>
            <w:pPr>
              <w:pStyle w:val="104"/>
              <w:rPr>
                <w:lang w:eastAsia="zh-CN"/>
              </w:rPr>
            </w:pPr>
            <w:r>
              <w:rPr>
                <w:lang w:eastAsia="zh-CN"/>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814" w:type="dxa"/>
          </w:tcPr>
          <w:p>
            <w:pPr>
              <w:pStyle w:val="103"/>
              <w:rPr>
                <w:lang w:eastAsia="ja-JP"/>
              </w:rPr>
            </w:pPr>
            <w:r>
              <w:rPr>
                <w:lang w:eastAsia="ja-JP"/>
              </w:rPr>
              <w:t>Number of RBs</w:t>
            </w:r>
          </w:p>
        </w:tc>
        <w:tc>
          <w:tcPr>
            <w:tcW w:w="1247" w:type="dxa"/>
          </w:tcPr>
          <w:p>
            <w:pPr>
              <w:pStyle w:val="105"/>
            </w:pPr>
          </w:p>
        </w:tc>
        <w:tc>
          <w:tcPr>
            <w:tcW w:w="5442" w:type="dxa"/>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0"/>
              <w:spacing w:after="0"/>
              <w:ind w:left="0" w:firstLine="0"/>
              <w:rPr>
                <w:rFonts w:ascii="Arial" w:hAnsi="Arial"/>
                <w:sz w:val="18"/>
                <w:lang w:eastAsia="ja-JP"/>
              </w:rPr>
            </w:pPr>
            <w:r>
              <w:rPr>
                <w:rFonts w:ascii="Arial" w:hAnsi="Arial"/>
                <w:sz w:val="18"/>
                <w:lang w:eastAsia="ja-JP"/>
              </w:rPr>
              <w:t>Channel BW Power</w:t>
            </w:r>
          </w:p>
        </w:tc>
        <w:tc>
          <w:tcPr>
            <w:tcW w:w="1247" w:type="dxa"/>
          </w:tcPr>
          <w:p>
            <w:pPr>
              <w:pStyle w:val="103"/>
              <w:jc w:val="center"/>
              <w:rPr>
                <w:lang w:eastAsia="ja-JP"/>
              </w:rPr>
            </w:pPr>
            <w:r>
              <w:rPr>
                <w:lang w:eastAsia="ja-JP"/>
              </w:rPr>
              <w:t>dBm</w:t>
            </w:r>
          </w:p>
        </w:tc>
        <w:tc>
          <w:tcPr>
            <w:tcW w:w="5442" w:type="dxa"/>
          </w:tcPr>
          <w:p>
            <w:pPr>
              <w:pStyle w:val="103"/>
              <w:jc w:val="center"/>
              <w:rPr>
                <w:lang w:eastAsia="ja-JP"/>
              </w:rPr>
            </w:pPr>
            <w:r>
              <w:rPr>
                <w:lang w:eastAsia="ja-JP"/>
              </w:rPr>
              <w:t>-66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0"/>
              <w:spacing w:after="0"/>
              <w:ind w:left="0" w:firstLine="0"/>
              <w:rPr>
                <w:rFonts w:ascii="Arial" w:hAnsi="Arial"/>
                <w:sz w:val="18"/>
                <w:lang w:eastAsia="ja-JP"/>
              </w:rPr>
            </w:pPr>
            <w:r>
              <w:rPr>
                <w:rFonts w:ascii="Arial" w:hAnsi="Arial"/>
                <w:sz w:val="18"/>
                <w:lang w:eastAsia="ja-JP"/>
              </w:rPr>
              <w:t>RS EPRE</w:t>
            </w:r>
          </w:p>
        </w:tc>
        <w:tc>
          <w:tcPr>
            <w:tcW w:w="1247" w:type="dxa"/>
          </w:tcPr>
          <w:p>
            <w:pPr>
              <w:pStyle w:val="103"/>
              <w:rPr>
                <w:lang w:eastAsia="ja-JP"/>
              </w:rPr>
            </w:pPr>
            <w:r>
              <w:rPr>
                <w:lang w:eastAsia="ja-JP"/>
              </w:rPr>
              <w:t>dBm/15kHz</w:t>
            </w:r>
          </w:p>
        </w:tc>
        <w:tc>
          <w:tcPr>
            <w:tcW w:w="5442" w:type="dxa"/>
          </w:tcPr>
          <w:p>
            <w:pPr>
              <w:pStyle w:val="103"/>
              <w:jc w:val="center"/>
              <w:rPr>
                <w:lang w:eastAsia="ja-JP"/>
              </w:rPr>
            </w:pPr>
            <w:r>
              <w:rPr>
                <w:lang w:eastAsia="ja-JP"/>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8503" w:type="dxa"/>
            <w:gridSpan w:val="3"/>
          </w:tcPr>
          <w:p>
            <w:pPr>
              <w:pStyle w:val="118"/>
              <w:rPr>
                <w:lang w:eastAsia="ja-JP"/>
              </w:rPr>
            </w:pPr>
            <w:r>
              <w:rPr>
                <w:lang w:eastAsia="ja-JP"/>
              </w:rPr>
              <w:t>Note 1:</w:t>
            </w:r>
            <w:r>
              <w:rPr>
                <w:lang w:eastAsia="ja-JP"/>
              </w:rPr>
              <w:tab/>
            </w:r>
            <w:r>
              <w:rPr>
                <w:lang w:eastAsia="ja-JP"/>
              </w:rPr>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pPr>
              <w:pStyle w:val="118"/>
              <w:rPr>
                <w:lang w:eastAsia="ja-JP"/>
              </w:rPr>
            </w:pPr>
            <w:r>
              <w:rPr>
                <w:lang w:eastAsia="ja-JP"/>
              </w:rPr>
              <w:t>Note 2:</w:t>
            </w:r>
            <w:r>
              <w:rPr>
                <w:lang w:eastAsia="ja-JP"/>
              </w:rPr>
              <w:tab/>
            </w:r>
            <w:r>
              <w:rPr>
                <w:lang w:eastAsia="ja-JP"/>
              </w:rPr>
              <w:t>The power level is specified at each UE Rx antenna.</w:t>
            </w:r>
          </w:p>
        </w:tc>
      </w:tr>
    </w:tbl>
    <w:p/>
    <w:p>
      <w:pPr>
        <w:pStyle w:val="113"/>
        <w:rPr>
          <w:rFonts w:eastAsia="宋体"/>
          <w:lang w:val="en-US" w:eastAsia="zh-CN"/>
        </w:rPr>
      </w:pPr>
      <w:r>
        <w:t xml:space="preserve">Table C.0-2: Default Downlink power levels for </w:t>
      </w:r>
      <w:bookmarkStart w:id="1986" w:name="OLE_LINK4"/>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bookmarkEnd w:id="1986"/>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1247"/>
        <w:gridCol w:w="9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4"/>
            </w:pPr>
          </w:p>
        </w:tc>
        <w:tc>
          <w:tcPr>
            <w:tcW w:w="1247" w:type="dxa"/>
          </w:tcPr>
          <w:p>
            <w:pPr>
              <w:pStyle w:val="104"/>
            </w:pPr>
            <w:r>
              <w:t>Unit</w:t>
            </w:r>
          </w:p>
        </w:tc>
        <w:tc>
          <w:tcPr>
            <w:tcW w:w="907" w:type="dxa"/>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814" w:type="dxa"/>
          </w:tcPr>
          <w:p>
            <w:pPr>
              <w:pStyle w:val="103"/>
              <w:rPr>
                <w:lang w:eastAsia="ja-JP"/>
              </w:rPr>
            </w:pPr>
            <w:r>
              <w:rPr>
                <w:lang w:eastAsia="ja-JP"/>
              </w:rPr>
              <w:t>Subcarriers</w:t>
            </w:r>
          </w:p>
        </w:tc>
        <w:tc>
          <w:tcPr>
            <w:tcW w:w="1247" w:type="dxa"/>
          </w:tcPr>
          <w:p>
            <w:pPr>
              <w:pStyle w:val="105"/>
            </w:pPr>
          </w:p>
        </w:tc>
        <w:tc>
          <w:tcPr>
            <w:tcW w:w="907" w:type="dxa"/>
          </w:tcPr>
          <w:p>
            <w:pPr>
              <w:pStyle w:val="105"/>
            </w:pPr>
            <w: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0"/>
              <w:spacing w:after="0"/>
              <w:ind w:left="0" w:firstLine="0"/>
              <w:rPr>
                <w:rFonts w:ascii="Arial" w:hAnsi="Arial"/>
                <w:sz w:val="18"/>
                <w:lang w:eastAsia="ja-JP"/>
              </w:rPr>
            </w:pPr>
            <w:r>
              <w:rPr>
                <w:rFonts w:ascii="Arial" w:hAnsi="Arial"/>
                <w:sz w:val="18"/>
                <w:lang w:eastAsia="ja-JP"/>
              </w:rPr>
              <w:t>Channel BW Power</w:t>
            </w:r>
          </w:p>
        </w:tc>
        <w:tc>
          <w:tcPr>
            <w:tcW w:w="1247" w:type="dxa"/>
          </w:tcPr>
          <w:p>
            <w:pPr>
              <w:pStyle w:val="103"/>
              <w:jc w:val="center"/>
              <w:rPr>
                <w:lang w:eastAsia="ja-JP"/>
              </w:rPr>
            </w:pPr>
            <w:r>
              <w:rPr>
                <w:lang w:eastAsia="ja-JP"/>
              </w:rPr>
              <w:t>dBm</w:t>
            </w:r>
          </w:p>
        </w:tc>
        <w:tc>
          <w:tcPr>
            <w:tcW w:w="907" w:type="dxa"/>
          </w:tcPr>
          <w:p>
            <w:pPr>
              <w:pStyle w:val="103"/>
              <w:jc w:val="center"/>
              <w:rPr>
                <w:lang w:eastAsia="ja-JP"/>
              </w:rPr>
            </w:pPr>
            <w:r>
              <w:rPr>
                <w:lang w:eastAsia="ja-JP"/>
              </w:rPr>
              <w:t>-74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0"/>
              <w:spacing w:after="0"/>
              <w:ind w:left="0" w:firstLine="0"/>
              <w:rPr>
                <w:rFonts w:ascii="Arial" w:hAnsi="Arial"/>
                <w:sz w:val="18"/>
                <w:lang w:eastAsia="ja-JP"/>
              </w:rPr>
            </w:pPr>
            <w:r>
              <w:rPr>
                <w:rFonts w:ascii="Arial" w:hAnsi="Arial"/>
                <w:sz w:val="18"/>
                <w:lang w:eastAsia="ja-JP"/>
              </w:rPr>
              <w:t>NRS EPRE</w:t>
            </w:r>
          </w:p>
        </w:tc>
        <w:tc>
          <w:tcPr>
            <w:tcW w:w="1247" w:type="dxa"/>
          </w:tcPr>
          <w:p>
            <w:pPr>
              <w:pStyle w:val="103"/>
              <w:rPr>
                <w:lang w:eastAsia="ja-JP"/>
              </w:rPr>
            </w:pPr>
            <w:r>
              <w:rPr>
                <w:lang w:eastAsia="ja-JP"/>
              </w:rPr>
              <w:t>dBm/15kHz</w:t>
            </w:r>
          </w:p>
        </w:tc>
        <w:tc>
          <w:tcPr>
            <w:tcW w:w="907" w:type="dxa"/>
          </w:tcPr>
          <w:p>
            <w:pPr>
              <w:pStyle w:val="103"/>
              <w:jc w:val="center"/>
              <w:rPr>
                <w:lang w:eastAsia="ja-JP"/>
              </w:rPr>
            </w:pPr>
            <w:r>
              <w:rPr>
                <w:lang w:eastAsia="ja-JP"/>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3968" w:type="dxa"/>
            <w:gridSpan w:val="3"/>
          </w:tcPr>
          <w:p>
            <w:pPr>
              <w:pStyle w:val="118"/>
              <w:rPr>
                <w:lang w:eastAsia="ja-JP"/>
              </w:rPr>
            </w:pPr>
            <w:r>
              <w:rPr>
                <w:lang w:eastAsia="ja-JP"/>
              </w:rPr>
              <w:t>Note 1:</w:t>
            </w:r>
            <w:r>
              <w:rPr>
                <w:lang w:eastAsia="ja-JP"/>
              </w:rPr>
              <w:tab/>
            </w:r>
            <w:r>
              <w:rPr>
                <w:lang w:eastAsia="ja-JP"/>
              </w:rPr>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pPr>
              <w:pStyle w:val="118"/>
              <w:rPr>
                <w:lang w:eastAsia="ja-JP"/>
              </w:rPr>
            </w:pPr>
            <w:r>
              <w:rPr>
                <w:lang w:eastAsia="ja-JP"/>
              </w:rPr>
              <w:t>Note 2:</w:t>
            </w:r>
            <w:r>
              <w:rPr>
                <w:lang w:eastAsia="ja-JP"/>
              </w:rPr>
              <w:tab/>
            </w:r>
            <w:r>
              <w:rPr>
                <w:lang w:eastAsia="ja-JP"/>
              </w:rPr>
              <w:t>The power level is specified at the UE Rx antenna</w:t>
            </w:r>
          </w:p>
        </w:tc>
      </w:tr>
    </w:tbl>
    <w:p/>
    <w:p>
      <w:pPr>
        <w:rPr>
          <w:lang w:eastAsia="ja-JP"/>
        </w:rPr>
      </w:pPr>
      <w:r>
        <w:rPr>
          <w:lang w:eastAsia="ja-JP"/>
        </w:rPr>
        <w:t>The default signal level uncertainty is +/-3dB at each test port, for any level specified. If the uncertainty value is critical for the test purpose, a tighter uncertainty is specified for the related test case in</w:t>
      </w:r>
      <w:r>
        <w:t xml:space="preserve"> Annex F</w:t>
      </w:r>
      <w:r>
        <w:rPr>
          <w:lang w:eastAsia="ja-JP"/>
        </w:rPr>
        <w:t>.</w:t>
      </w:r>
    </w:p>
    <w:p>
      <w:pPr>
        <w:pStyle w:val="3"/>
      </w:pPr>
      <w:bookmarkStart w:id="1987" w:name="_Toc13107"/>
      <w:bookmarkStart w:id="1988" w:name="_Toc18101"/>
      <w:bookmarkStart w:id="1989" w:name="_Toc28920"/>
      <w:bookmarkStart w:id="1990" w:name="_Toc16102"/>
      <w:bookmarkStart w:id="1991" w:name="_Toc232582145"/>
      <w:bookmarkStart w:id="1992" w:name="_Toc22672"/>
      <w:r>
        <w:t>C.1</w:t>
      </w:r>
      <w:r>
        <w:tab/>
      </w:r>
      <w:r>
        <w:t>General</w:t>
      </w:r>
      <w:bookmarkEnd w:id="1987"/>
      <w:bookmarkEnd w:id="1988"/>
      <w:bookmarkEnd w:id="1989"/>
      <w:bookmarkEnd w:id="1990"/>
      <w:bookmarkEnd w:id="1991"/>
      <w:bookmarkEnd w:id="1992"/>
    </w:p>
    <w:p>
      <w:r>
        <w:t>Table C.1-1 describes the mapping of downlink physical channels and signals to physical resources</w:t>
      </w:r>
      <w:r>
        <w:rPr>
          <w:lang w:eastAsia="ja-JP"/>
        </w:rPr>
        <w:t xml:space="preserve"> for </w:t>
      </w:r>
      <w:r>
        <w:rPr>
          <w:rFonts w:hint="eastAsia"/>
        </w:rPr>
        <w:t>category M1</w:t>
      </w:r>
      <w:r>
        <w:rPr>
          <w:lang w:eastAsia="ja-JP"/>
        </w:rPr>
        <w:t xml:space="preserve"> FDD</w:t>
      </w:r>
      <w:r>
        <w:t>.</w:t>
      </w:r>
    </w:p>
    <w:p>
      <w:r>
        <w:t>Table C.1-</w:t>
      </w:r>
      <w:r>
        <w:rPr>
          <w:rFonts w:eastAsia="宋体"/>
          <w:lang w:val="en-US" w:eastAsia="zh-CN"/>
        </w:rPr>
        <w:t>2</w:t>
      </w:r>
      <w:r>
        <w:t xml:space="preserve"> describes the mapping of downlink physical channels and signals to physical resources</w:t>
      </w:r>
      <w:r>
        <w:rPr>
          <w:lang w:eastAsia="ja-JP"/>
        </w:rPr>
        <w:t xml:space="preserve"> for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r>
        <w:t>.</w:t>
      </w:r>
    </w:p>
    <w:p>
      <w:pPr>
        <w:pStyle w:val="113"/>
        <w:rPr>
          <w:lang w:eastAsia="ja-JP"/>
        </w:rPr>
      </w:pPr>
      <w:r>
        <w:t xml:space="preserve">Table C.1-1: </w:t>
      </w:r>
      <w:r>
        <w:rPr>
          <w:lang w:eastAsia="ja-JP"/>
        </w:rPr>
        <w:t>M</w:t>
      </w:r>
      <w:r>
        <w:t>apping of downlink physical channels and signals to physical resources</w:t>
      </w:r>
      <w:r>
        <w:rPr>
          <w:lang w:eastAsia="ja-JP"/>
        </w:rPr>
        <w:t xml:space="preserve"> for</w:t>
      </w:r>
      <w:r>
        <w:rPr>
          <w:rFonts w:hint="eastAsia" w:eastAsia="宋体"/>
          <w:lang w:val="en-US" w:eastAsia="zh-CN"/>
        </w:rPr>
        <w:t xml:space="preserve"> </w:t>
      </w:r>
      <w:r>
        <w:rPr>
          <w:rFonts w:hint="eastAsia"/>
        </w:rPr>
        <w:t>category M1</w:t>
      </w:r>
      <w:r>
        <w:rPr>
          <w:lang w:eastAsia="ja-JP"/>
        </w:rPr>
        <w:t xml:space="preserve">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6"/>
        <w:gridCol w:w="2834"/>
        <w:gridCol w:w="3072"/>
        <w:gridCol w:w="2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4"/>
              <w:rPr>
                <w:lang w:eastAsia="zh-CN"/>
              </w:rPr>
            </w:pPr>
            <w:r>
              <w:rPr>
                <w:lang w:eastAsia="zh-CN"/>
              </w:rPr>
              <w:t>Physical channel</w:t>
            </w:r>
          </w:p>
        </w:tc>
        <w:tc>
          <w:tcPr>
            <w:tcW w:w="2834" w:type="dxa"/>
          </w:tcPr>
          <w:p>
            <w:pPr>
              <w:pStyle w:val="104"/>
              <w:rPr>
                <w:lang w:eastAsia="zh-CN"/>
              </w:rPr>
            </w:pPr>
            <w:r>
              <w:rPr>
                <w:lang w:eastAsia="zh-CN"/>
              </w:rPr>
              <w:t>Time Domain Location</w:t>
            </w:r>
          </w:p>
        </w:tc>
        <w:tc>
          <w:tcPr>
            <w:tcW w:w="3072" w:type="dxa"/>
          </w:tcPr>
          <w:p>
            <w:pPr>
              <w:pStyle w:val="104"/>
              <w:rPr>
                <w:lang w:eastAsia="zh-CN"/>
              </w:rPr>
            </w:pPr>
            <w:r>
              <w:rPr>
                <w:lang w:eastAsia="zh-CN"/>
              </w:rPr>
              <w:t>Frequency Domain Location</w:t>
            </w:r>
          </w:p>
        </w:tc>
        <w:tc>
          <w:tcPr>
            <w:tcW w:w="2837" w:type="dxa"/>
          </w:tcPr>
          <w:p>
            <w:pPr>
              <w:pStyle w:val="104"/>
              <w:rPr>
                <w:lang w:eastAsia="zh-CN"/>
              </w:rPr>
            </w:pPr>
            <w:r>
              <w:rPr>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3"/>
            </w:pPr>
            <w:r>
              <w:t>RS</w:t>
            </w:r>
          </w:p>
        </w:tc>
        <w:tc>
          <w:tcPr>
            <w:tcW w:w="2834" w:type="dxa"/>
          </w:tcPr>
          <w:p>
            <w:pPr>
              <w:pStyle w:val="105"/>
            </w:pPr>
            <w:r>
              <w:t>Symbols 0, 4 of each subframe for antenna port 0 &amp; 1</w:t>
            </w:r>
          </w:p>
          <w:p>
            <w:pPr>
              <w:pStyle w:val="105"/>
            </w:pPr>
            <w:r>
              <w:t>Symbol 1 of each subframe for antenna port 2 &amp; 3</w:t>
            </w:r>
          </w:p>
        </w:tc>
        <w:tc>
          <w:tcPr>
            <w:tcW w:w="3072" w:type="dxa"/>
          </w:tcPr>
          <w:p>
            <w:pPr>
              <w:pStyle w:val="105"/>
            </w:pPr>
            <w:r>
              <w:t>Downlink system bandwidth dependent</w:t>
            </w:r>
          </w:p>
        </w:tc>
        <w:tc>
          <w:tcPr>
            <w:tcW w:w="2837" w:type="dxa"/>
          </w:tcPr>
          <w:p>
            <w:pPr>
              <w:pStyle w:val="105"/>
            </w:pPr>
            <w:r>
              <w:t>Mapping rule is specified in TS 36.211 6.10.1.2</w:t>
            </w:r>
          </w:p>
          <w:p>
            <w:pPr>
              <w:pStyle w:val="105"/>
            </w:pPr>
            <w:r>
              <w:t>- CELL_ID =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3"/>
            </w:pPr>
            <w:r>
              <w:t>PBCH</w:t>
            </w:r>
          </w:p>
        </w:tc>
        <w:tc>
          <w:tcPr>
            <w:tcW w:w="2834" w:type="dxa"/>
          </w:tcPr>
          <w:p>
            <w:pPr>
              <w:pStyle w:val="105"/>
            </w:pPr>
            <w:r>
              <w:t>Symbols 0 to 3 of slot 1 of subframe 0 of each radio frame</w:t>
            </w:r>
          </w:p>
        </w:tc>
        <w:tc>
          <w:tcPr>
            <w:tcW w:w="3072" w:type="dxa"/>
          </w:tcPr>
          <w:p>
            <w:pPr>
              <w:pStyle w:val="105"/>
            </w:pPr>
            <w:r>
              <w:t>Occupies 72 subcarriers centred on the DC subcarrier</w:t>
            </w:r>
          </w:p>
        </w:tc>
        <w:tc>
          <w:tcPr>
            <w:tcW w:w="2837" w:type="dxa"/>
          </w:tcPr>
          <w:p>
            <w:pPr>
              <w:pStyle w:val="105"/>
            </w:pPr>
            <w:r>
              <w:t xml:space="preserve">Mapping rule is specified in TS 36.211 Section 6.6.4 </w:t>
            </w:r>
            <w:r>
              <w:rPr>
                <w:rFonts w:cs="Arial"/>
                <w:lang w:eastAsia="ja-JP"/>
              </w:rPr>
              <w:t>(</w:t>
            </w:r>
            <w:r>
              <w:rPr>
                <w:rFonts w:cs="Arial"/>
              </w:rPr>
              <w:t xml:space="preserve">Note </w:t>
            </w:r>
            <w:r>
              <w:rPr>
                <w:rFonts w:cs="Arial"/>
                <w:lang w:eastAsia="ja-JP"/>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3"/>
            </w:pPr>
            <w:r>
              <w:t>PSS</w:t>
            </w:r>
          </w:p>
        </w:tc>
        <w:tc>
          <w:tcPr>
            <w:tcW w:w="2834" w:type="dxa"/>
          </w:tcPr>
          <w:p>
            <w:pPr>
              <w:pStyle w:val="105"/>
            </w:pPr>
            <w:r>
              <w:t>Symbol 6 of slot 0 and 10 of each radio frame</w:t>
            </w:r>
          </w:p>
        </w:tc>
        <w:tc>
          <w:tcPr>
            <w:tcW w:w="3072" w:type="dxa"/>
          </w:tcPr>
          <w:p>
            <w:pPr>
              <w:pStyle w:val="105"/>
            </w:pPr>
            <w:r>
              <w:t>Occupies 62 subcarriers centred on the DC subcarrier. Additional 10 subcarriers (5 on each side) adjacent to the centred 62 subcarriers are reserved.</w:t>
            </w:r>
          </w:p>
        </w:tc>
        <w:tc>
          <w:tcPr>
            <w:tcW w:w="2837" w:type="dxa"/>
          </w:tcPr>
          <w:p>
            <w:pPr>
              <w:pStyle w:val="105"/>
            </w:pPr>
            <w:r>
              <w:t>Mapping rule is specified in TS 36.211 Section 6.11.1.2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3"/>
            </w:pPr>
            <w:r>
              <w:t>SSS</w:t>
            </w:r>
          </w:p>
        </w:tc>
        <w:tc>
          <w:tcPr>
            <w:tcW w:w="2834" w:type="dxa"/>
          </w:tcPr>
          <w:p>
            <w:pPr>
              <w:pStyle w:val="105"/>
            </w:pPr>
            <w:r>
              <w:t>Symbol 5 of slots 0 and 10 of each radio frame</w:t>
            </w:r>
          </w:p>
        </w:tc>
        <w:tc>
          <w:tcPr>
            <w:tcW w:w="3072" w:type="dxa"/>
          </w:tcPr>
          <w:p>
            <w:pPr>
              <w:pStyle w:val="105"/>
            </w:pPr>
            <w:r>
              <w:t>Occupies 62 subcarriers centred on the DC subcarrier. Additional 10 subcarriers (5 on each side) adjacent to the centred 62 subcarriers are reserved.</w:t>
            </w:r>
          </w:p>
        </w:tc>
        <w:tc>
          <w:tcPr>
            <w:tcW w:w="2837" w:type="dxa"/>
          </w:tcPr>
          <w:p>
            <w:pPr>
              <w:pStyle w:val="105"/>
            </w:pPr>
            <w:r>
              <w:t>Mapping rule is specified in TS 36.211 Section 6.11.2.2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3"/>
            </w:pPr>
            <w:r>
              <w:t>PCFICH</w:t>
            </w:r>
          </w:p>
        </w:tc>
        <w:tc>
          <w:tcPr>
            <w:tcW w:w="2834" w:type="dxa"/>
          </w:tcPr>
          <w:p>
            <w:pPr>
              <w:pStyle w:val="105"/>
            </w:pPr>
            <w:r>
              <w:t>Symbol 0 of each subframe</w:t>
            </w:r>
          </w:p>
        </w:tc>
        <w:tc>
          <w:tcPr>
            <w:tcW w:w="3072" w:type="dxa"/>
          </w:tcPr>
          <w:p>
            <w:pPr>
              <w:pStyle w:val="105"/>
            </w:pPr>
            <w:r>
              <w:t>Downlink system bandwidth dependent. Maps into 4 REGs uniformly spread in the frequency domain over the whole system bandwidth.</w:t>
            </w:r>
          </w:p>
        </w:tc>
        <w:tc>
          <w:tcPr>
            <w:tcW w:w="2837" w:type="dxa"/>
          </w:tcPr>
          <w:p>
            <w:pPr>
              <w:pStyle w:val="105"/>
            </w:pPr>
            <w:r>
              <w:t>Mapping rule is specified in TS 36.211 Section 6.7.4 (Note 1)</w:t>
            </w:r>
          </w:p>
          <w:p>
            <w:pPr>
              <w:pStyle w:val="105"/>
            </w:pPr>
            <w:r>
              <w:t>- CELL_ID =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1" w:hRule="atLeast"/>
          <w:jc w:val="center"/>
        </w:trPr>
        <w:tc>
          <w:tcPr>
            <w:tcW w:w="1006" w:type="dxa"/>
          </w:tcPr>
          <w:p>
            <w:pPr>
              <w:pStyle w:val="103"/>
            </w:pPr>
            <w:r>
              <w:t>PHICH</w:t>
            </w:r>
          </w:p>
        </w:tc>
        <w:tc>
          <w:tcPr>
            <w:tcW w:w="2834" w:type="dxa"/>
          </w:tcPr>
          <w:p>
            <w:pPr>
              <w:pStyle w:val="105"/>
            </w:pPr>
            <w:r>
              <w:t>Symbol 0 of each subframe</w:t>
            </w:r>
          </w:p>
        </w:tc>
        <w:tc>
          <w:tcPr>
            <w:tcW w:w="3072" w:type="dxa"/>
          </w:tcPr>
          <w:p>
            <w:pPr>
              <w:pStyle w:val="105"/>
            </w:pPr>
            <w:r>
              <w:t>Downlink system bandwidth dependent. Each PHICH group maps into 3 REGs in the frequency domain on the REGs not assigned to PCFICH over the whole system bandwidth</w:t>
            </w:r>
          </w:p>
        </w:tc>
        <w:tc>
          <w:tcPr>
            <w:tcW w:w="2837" w:type="dxa"/>
          </w:tcPr>
          <w:p>
            <w:pPr>
              <w:pStyle w:val="105"/>
            </w:pPr>
            <w:r>
              <w:t>Mapping rule is specified in TS 36.211 Section 6.9.3 (Note 1)</w:t>
            </w:r>
          </w:p>
          <w:p>
            <w:pPr>
              <w:pStyle w:val="105"/>
            </w:pPr>
            <w:r>
              <w:t>- CELL_ID = 0</w:t>
            </w:r>
          </w:p>
          <w:p>
            <w:pPr>
              <w:pStyle w:val="105"/>
            </w:pPr>
            <w:r>
              <w:t>- Ng = 1</w:t>
            </w:r>
          </w:p>
          <w:p>
            <w:pPr>
              <w:pStyle w:val="105"/>
            </w:pPr>
            <w:r>
              <w:t>- Normal PHICH duration</w:t>
            </w:r>
          </w:p>
          <w:p>
            <w:pPr>
              <w:pStyle w:val="105"/>
            </w:pPr>
            <w:r>
              <w:t>-Number of PHICH groups = 1(BW=1.4MHz)/2(BW=3MHz)/</w:t>
            </w:r>
          </w:p>
          <w:p>
            <w:pPr>
              <w:pStyle w:val="105"/>
            </w:pPr>
            <w:r>
              <w:t>4(BW=5MHz)/7(BW=10MHz)/</w:t>
            </w:r>
          </w:p>
          <w:p>
            <w:pPr>
              <w:pStyle w:val="105"/>
            </w:pPr>
            <w:r>
              <w:t>10(BW=15MHz)/13(BW=20MHz)</w:t>
            </w:r>
          </w:p>
          <w:p>
            <w:pPr>
              <w:pStyle w:val="105"/>
            </w:pPr>
          </w:p>
          <w:p>
            <w:pPr>
              <w:pStyle w:val="105"/>
            </w:pPr>
            <w:r>
              <w:t>Not required for UE category M1 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3"/>
            </w:pPr>
            <w:r>
              <w:t>PDCCH</w:t>
            </w:r>
          </w:p>
        </w:tc>
        <w:tc>
          <w:tcPr>
            <w:tcW w:w="2834" w:type="dxa"/>
          </w:tcPr>
          <w:p>
            <w:pPr>
              <w:pStyle w:val="105"/>
            </w:pPr>
            <w:r>
              <w:t>Symbols 0, 1, 2, 3 of each subframe for 1.4 MHz</w:t>
            </w:r>
          </w:p>
          <w:p>
            <w:pPr>
              <w:pStyle w:val="105"/>
            </w:pPr>
          </w:p>
          <w:p>
            <w:pPr>
              <w:pStyle w:val="105"/>
            </w:pPr>
            <w:r>
              <w:t>Symbols 0, 1, 2, of each subframe for 3 and 5 MHz</w:t>
            </w:r>
          </w:p>
          <w:p>
            <w:pPr>
              <w:pStyle w:val="105"/>
            </w:pPr>
          </w:p>
          <w:p>
            <w:pPr>
              <w:pStyle w:val="105"/>
            </w:pPr>
            <w:r>
              <w:t xml:space="preserve">Symbols 0, 1 of each subframe for 10, 15 and 20 MHz </w:t>
            </w:r>
          </w:p>
        </w:tc>
        <w:tc>
          <w:tcPr>
            <w:tcW w:w="3072" w:type="dxa"/>
          </w:tcPr>
          <w:p>
            <w:pPr>
              <w:pStyle w:val="105"/>
            </w:pPr>
            <w:r>
              <w:t>The remaining REGs not allocated to both PCFICH and PHICH are used for PDCCH</w:t>
            </w:r>
          </w:p>
        </w:tc>
        <w:tc>
          <w:tcPr>
            <w:tcW w:w="2837" w:type="dxa"/>
          </w:tcPr>
          <w:p>
            <w:pPr>
              <w:pStyle w:val="105"/>
            </w:pPr>
            <w:r>
              <w:t>Mapping rule is specified in TS 36.211 Section 6.8.5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3"/>
            </w:pPr>
            <w:r>
              <w:t>MPDCCH</w:t>
            </w:r>
          </w:p>
        </w:tc>
        <w:tc>
          <w:tcPr>
            <w:tcW w:w="2834" w:type="dxa"/>
          </w:tcPr>
          <w:p>
            <w:pPr>
              <w:pStyle w:val="105"/>
            </w:pPr>
            <w:r>
              <w:t>Same as PDSCH</w:t>
            </w:r>
          </w:p>
        </w:tc>
        <w:tc>
          <w:tcPr>
            <w:tcW w:w="3072" w:type="dxa"/>
          </w:tcPr>
          <w:p>
            <w:pPr>
              <w:pStyle w:val="105"/>
            </w:pPr>
            <w:r>
              <w:t>For Subframe 0, subcarriers corresponding to resource elements not allocated to RS, PSS, SSS and PBCH (core set and repetitions) and reserved for PBCH antenna ports 3 and 4 on the 72 central subcarriers.</w:t>
            </w:r>
          </w:p>
          <w:p>
            <w:pPr>
              <w:pStyle w:val="105"/>
            </w:pPr>
          </w:p>
          <w:p>
            <w:pPr>
              <w:pStyle w:val="105"/>
            </w:pPr>
            <w:r>
              <w:t>For Subframe 5, subcarriers corresponding to resource elements not allocated to RS, PSS and SSS.</w:t>
            </w:r>
          </w:p>
          <w:p>
            <w:pPr>
              <w:pStyle w:val="105"/>
            </w:pPr>
          </w:p>
          <w:p>
            <w:pPr>
              <w:pStyle w:val="105"/>
            </w:pPr>
            <w:r>
              <w:t>For Subframe 9, subcarriers corresponding to resource elements not allocated to RS, PSS, SSS and PBCH (repetitions).</w:t>
            </w:r>
          </w:p>
          <w:p>
            <w:pPr>
              <w:pStyle w:val="105"/>
            </w:pPr>
          </w:p>
          <w:p>
            <w:pPr>
              <w:pStyle w:val="105"/>
            </w:pPr>
            <w:r>
              <w:t>For other subframes, subcarriers corresponding to resource elements not allocated to RS.</w:t>
            </w:r>
          </w:p>
        </w:tc>
        <w:tc>
          <w:tcPr>
            <w:tcW w:w="2837" w:type="dxa"/>
          </w:tcPr>
          <w:p>
            <w:pPr>
              <w:pStyle w:val="105"/>
            </w:pPr>
            <w:r>
              <w:t>Mapping rule is specified in TS 36.211 Section 6.8B.5 (Note 1)</w:t>
            </w:r>
          </w:p>
          <w:p>
            <w:pPr>
              <w:pStyle w:val="105"/>
            </w:pPr>
          </w:p>
          <w:p>
            <w:pPr>
              <w:pStyle w:val="105"/>
            </w:pPr>
            <w:r>
              <w:t>Only required for UE category M1 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3"/>
            </w:pPr>
            <w:r>
              <w:t>PDSCH</w:t>
            </w:r>
          </w:p>
        </w:tc>
        <w:tc>
          <w:tcPr>
            <w:tcW w:w="2834" w:type="dxa"/>
          </w:tcPr>
          <w:p>
            <w:pPr>
              <w:pStyle w:val="105"/>
            </w:pPr>
            <w:r>
              <w:t>All remaining OFDM symbols of each subframe not allocated to PDCCH</w:t>
            </w:r>
          </w:p>
        </w:tc>
        <w:tc>
          <w:tcPr>
            <w:tcW w:w="3072" w:type="dxa"/>
          </w:tcPr>
          <w:p>
            <w:pPr>
              <w:pStyle w:val="105"/>
            </w:pPr>
            <w:r>
              <w:t xml:space="preserve">For Subframe 0, </w:t>
            </w:r>
          </w:p>
          <w:p>
            <w:pPr>
              <w:pStyle w:val="105"/>
            </w:pPr>
            <w:r>
              <w:t>REs not allocated to RS, PSS, SSS and PBCH, is allocated to PDSCH</w:t>
            </w:r>
          </w:p>
          <w:p>
            <w:pPr>
              <w:pStyle w:val="105"/>
            </w:pPr>
          </w:p>
          <w:p>
            <w:pPr>
              <w:pStyle w:val="105"/>
            </w:pPr>
            <w:r>
              <w:t xml:space="preserve">For Subframe 5, </w:t>
            </w:r>
          </w:p>
          <w:p>
            <w:pPr>
              <w:pStyle w:val="105"/>
            </w:pPr>
            <w:r>
              <w:t>REs not allocated to RS, PSS and SSS, is allocated to PDSCH</w:t>
            </w:r>
          </w:p>
          <w:p>
            <w:pPr>
              <w:pStyle w:val="105"/>
            </w:pPr>
          </w:p>
          <w:p>
            <w:pPr>
              <w:pStyle w:val="105"/>
            </w:pPr>
            <w:r>
              <w:t xml:space="preserve">For other subframes, </w:t>
            </w:r>
          </w:p>
          <w:p>
            <w:pPr>
              <w:pStyle w:val="105"/>
            </w:pPr>
            <w:r>
              <w:t>REs not allocated to RS, is allocated to PDSCH</w:t>
            </w:r>
          </w:p>
        </w:tc>
        <w:tc>
          <w:tcPr>
            <w:tcW w:w="2837" w:type="dxa"/>
          </w:tcPr>
          <w:p>
            <w:pPr>
              <w:pStyle w:val="105"/>
            </w:pPr>
            <w:r>
              <w:t>Note that there are reserved REs that are not used for transmission of any physical channels (Note 3 ) &amp; (Note 4) which need to be taken into account when allocating REs to PDSCH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49" w:type="dxa"/>
            <w:gridSpan w:val="4"/>
          </w:tcPr>
          <w:p>
            <w:pPr>
              <w:pStyle w:val="118"/>
            </w:pPr>
            <w:r>
              <w:rPr>
                <w:lang w:eastAsia="ko-KR"/>
              </w:rPr>
              <w:t>Note 1: In ca</w:t>
            </w:r>
            <w:r>
              <w:t>se a single cell-specific RS is configured, cell-specific RS shall be assume to be present on antenna ports 0 and 1 for the purpose of mapping a symbol-quadruplet to a REG (resource-element group). (See TS 36.211 Section 6.2.4).</w:t>
            </w:r>
          </w:p>
          <w:p>
            <w:pPr>
              <w:pStyle w:val="118"/>
            </w:pPr>
            <w:r>
              <w:rPr>
                <w:lang w:eastAsia="ko-KR"/>
              </w:rPr>
              <w:t xml:space="preserve">Note </w:t>
            </w:r>
            <w:r>
              <w:rPr>
                <w:lang w:eastAsia="ja-JP"/>
              </w:rPr>
              <w:t>2</w:t>
            </w:r>
            <w:r>
              <w:rPr>
                <w:lang w:eastAsia="ko-KR"/>
              </w:rPr>
              <w:t xml:space="preserve">: PBCH </w:t>
            </w:r>
            <w:r>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pPr>
              <w:pStyle w:val="118"/>
            </w:pPr>
            <w:r>
              <w:t xml:space="preserve">Note 3: In slot 0 </w:t>
            </w:r>
            <w:r>
              <w:rPr>
                <w:rFonts w:eastAsia="宋体"/>
                <w:lang w:eastAsia="zh-CN"/>
              </w:rPr>
              <w:t xml:space="preserve">and slot 10 </w:t>
            </w:r>
            <w:r>
              <w:t>of each radio frame, there are reserved REs for PSS and SSS that are not used for transmission of any physical channels. (See TS 36.211 Section 6.11.1.2 &amp; 6.11.2.2).</w:t>
            </w:r>
          </w:p>
          <w:p>
            <w:pPr>
              <w:pStyle w:val="118"/>
            </w:pPr>
            <w:r>
              <w:t>Note 4: REs used for RS transmission on any of the antenna ports in a slot shall not be used for any transmission on any other antenna port in the same slot and set to zero. (See TS 36.211 Section 6.10.1.2).</w:t>
            </w:r>
          </w:p>
        </w:tc>
      </w:tr>
    </w:tbl>
    <w:p>
      <w:pPr>
        <w:rPr>
          <w:lang w:eastAsia="zh-CN"/>
        </w:rPr>
      </w:pPr>
    </w:p>
    <w:p>
      <w:pPr>
        <w:pStyle w:val="113"/>
        <w:rPr>
          <w:lang w:eastAsia="ja-JP"/>
        </w:rPr>
      </w:pPr>
      <w:r>
        <w:t>Table C.1-</w:t>
      </w:r>
      <w:r>
        <w:rPr>
          <w:rFonts w:hint="eastAsia" w:eastAsia="宋体"/>
          <w:lang w:val="en-US" w:eastAsia="zh-CN"/>
        </w:rPr>
        <w:t>2</w:t>
      </w:r>
      <w:r>
        <w:t xml:space="preserve">: </w:t>
      </w:r>
      <w:r>
        <w:rPr>
          <w:lang w:eastAsia="ja-JP"/>
        </w:rPr>
        <w:t>M</w:t>
      </w:r>
      <w:r>
        <w:t>apping of downlink physical channels and signals to physical resources</w:t>
      </w:r>
      <w:r>
        <w:rPr>
          <w:lang w:eastAsia="ja-JP"/>
        </w:rPr>
        <w:t xml:space="preserve"> for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2851"/>
        <w:gridCol w:w="3085"/>
        <w:gridCol w:w="28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tcPr>
          <w:p>
            <w:pPr>
              <w:pStyle w:val="104"/>
            </w:pPr>
            <w:r>
              <w:t>Physical channel</w:t>
            </w:r>
          </w:p>
        </w:tc>
        <w:tc>
          <w:tcPr>
            <w:tcW w:w="2851" w:type="dxa"/>
          </w:tcPr>
          <w:p>
            <w:pPr>
              <w:pStyle w:val="104"/>
            </w:pPr>
            <w:r>
              <w:t xml:space="preserve">Time Domain Location </w:t>
            </w:r>
          </w:p>
        </w:tc>
        <w:tc>
          <w:tcPr>
            <w:tcW w:w="3085" w:type="dxa"/>
          </w:tcPr>
          <w:p>
            <w:pPr>
              <w:pStyle w:val="104"/>
            </w:pPr>
            <w:r>
              <w:t xml:space="preserve">Frequency Domain Location </w:t>
            </w:r>
          </w:p>
        </w:tc>
        <w:tc>
          <w:tcPr>
            <w:tcW w:w="2825"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tcPr>
          <w:p>
            <w:pPr>
              <w:pStyle w:val="103"/>
            </w:pPr>
            <w:r>
              <w:t>NPBCH</w:t>
            </w:r>
          </w:p>
        </w:tc>
        <w:tc>
          <w:tcPr>
            <w:tcW w:w="2851" w:type="dxa"/>
          </w:tcPr>
          <w:p>
            <w:pPr>
              <w:pStyle w:val="105"/>
              <w:jc w:val="left"/>
            </w:pPr>
            <w:r>
              <w:t>NPBCH is transmitted in subframe 0 in every radio frame.</w:t>
            </w:r>
          </w:p>
          <w:p>
            <w:pPr>
              <w:pStyle w:val="105"/>
              <w:jc w:val="left"/>
            </w:pPr>
            <w:r>
              <w:t>NPBCH consists of 8 independently decodable blocks of 80 ms duration.</w:t>
            </w:r>
          </w:p>
          <w:p>
            <w:pPr>
              <w:pStyle w:val="105"/>
              <w:jc w:val="left"/>
            </w:pPr>
            <w:r>
              <w:t>The time interval where MIB remains unchanged is 640 ms.</w:t>
            </w:r>
          </w:p>
          <w:p>
            <w:pPr>
              <w:pStyle w:val="105"/>
              <w:jc w:val="left"/>
            </w:pPr>
            <w:r>
              <w:t>NPBCH does not use the first 3 symbols in a subframe in in-band operation.</w:t>
            </w:r>
          </w:p>
          <w:p>
            <w:pPr>
              <w:pStyle w:val="105"/>
              <w:jc w:val="left"/>
            </w:pPr>
            <w:r>
              <w:t>For stand-alone and guard-band, the first 3 symbols (of the subframe transmitting NPBCH) contain no NPBCH.</w:t>
            </w:r>
          </w:p>
        </w:tc>
        <w:tc>
          <w:tcPr>
            <w:tcW w:w="3085" w:type="dxa"/>
          </w:tcPr>
          <w:p>
            <w:pPr>
              <w:pStyle w:val="105"/>
              <w:jc w:val="left"/>
            </w:pPr>
            <w:r>
              <w:t>Occupies any of the 12 subcarriers not reserved for transmission of reference signals</w:t>
            </w:r>
          </w:p>
        </w:tc>
        <w:tc>
          <w:tcPr>
            <w:tcW w:w="2825" w:type="dxa"/>
          </w:tcPr>
          <w:p>
            <w:pPr>
              <w:pStyle w:val="105"/>
              <w:jc w:val="left"/>
            </w:pPr>
            <w:r>
              <w:t>Mapping rule is specified in TS 36.211 [8] sub clause 10.2.4.4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tcPr>
          <w:p>
            <w:pPr>
              <w:pStyle w:val="103"/>
            </w:pPr>
            <w:r>
              <w:t>NPSS</w:t>
            </w:r>
          </w:p>
        </w:tc>
        <w:tc>
          <w:tcPr>
            <w:tcW w:w="2851" w:type="dxa"/>
          </w:tcPr>
          <w:p>
            <w:pPr>
              <w:pStyle w:val="105"/>
              <w:jc w:val="left"/>
            </w:pPr>
            <w:r>
              <w:t>NPSS is transmitted in subframe 5.</w:t>
            </w:r>
          </w:p>
          <w:p>
            <w:pPr>
              <w:pStyle w:val="105"/>
              <w:jc w:val="left"/>
            </w:pPr>
            <w:r>
              <w:t>NPSS uses the last 11 OFDM symbols of subframes in which NB-PSS occurs for normal CP.</w:t>
            </w:r>
          </w:p>
          <w:p>
            <w:pPr>
              <w:pStyle w:val="105"/>
              <w:jc w:val="left"/>
            </w:pPr>
            <w:r>
              <w:t>NB-IoT PSS/SSS do not use:</w:t>
            </w:r>
          </w:p>
          <w:p>
            <w:pPr>
              <w:pStyle w:val="105"/>
              <w:jc w:val="left"/>
            </w:pPr>
            <w:r>
              <w:t xml:space="preserve"> - the LTE PDCCH control region</w:t>
            </w:r>
          </w:p>
          <w:p>
            <w:pPr>
              <w:pStyle w:val="105"/>
              <w:jc w:val="left"/>
            </w:pPr>
            <w:r>
              <w:t xml:space="preserve"> - REs used by LTE CRS</w:t>
            </w:r>
          </w:p>
          <w:p>
            <w:pPr>
              <w:pStyle w:val="105"/>
              <w:jc w:val="left"/>
            </w:pPr>
            <w:r>
              <w:t>NSSS periodicity is 10ms.</w:t>
            </w:r>
          </w:p>
        </w:tc>
        <w:tc>
          <w:tcPr>
            <w:tcW w:w="3085" w:type="dxa"/>
          </w:tcPr>
          <w:p>
            <w:pPr>
              <w:pStyle w:val="105"/>
              <w:jc w:val="left"/>
            </w:pPr>
            <w:r>
              <w:t>NPSS is mapped to sub-carriers #0-10 of the NB-IoT carrier</w:t>
            </w:r>
          </w:p>
        </w:tc>
        <w:tc>
          <w:tcPr>
            <w:tcW w:w="2825" w:type="dxa"/>
          </w:tcPr>
          <w:p>
            <w:pPr>
              <w:pStyle w:val="105"/>
              <w:jc w:val="left"/>
            </w:pPr>
            <w:r>
              <w:t>Mapping rule is specified in TS 36.211 [8] sub clause 10.2.7.1.2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tcPr>
          <w:p>
            <w:pPr>
              <w:pStyle w:val="103"/>
            </w:pPr>
            <w:r>
              <w:t>NSSS</w:t>
            </w:r>
          </w:p>
        </w:tc>
        <w:tc>
          <w:tcPr>
            <w:tcW w:w="2851" w:type="dxa"/>
          </w:tcPr>
          <w:p>
            <w:pPr>
              <w:pStyle w:val="105"/>
              <w:jc w:val="left"/>
            </w:pPr>
            <w:r>
              <w:t>NSSS is transmitted in subframe 9.</w:t>
            </w:r>
          </w:p>
          <w:p>
            <w:pPr>
              <w:pStyle w:val="105"/>
              <w:jc w:val="left"/>
            </w:pPr>
            <w:r>
              <w:t>NSSS uses the last 11 OFDM symbols of subframes in which NB-SSS occurs for normal CP.</w:t>
            </w:r>
          </w:p>
          <w:p>
            <w:pPr>
              <w:pStyle w:val="105"/>
              <w:jc w:val="left"/>
            </w:pPr>
            <w:r>
              <w:t>NB-IoT PSS/SSS do not use:</w:t>
            </w:r>
          </w:p>
          <w:p>
            <w:pPr>
              <w:pStyle w:val="105"/>
              <w:jc w:val="left"/>
            </w:pPr>
            <w:r>
              <w:t xml:space="preserve"> - the LTE PDCCH control region</w:t>
            </w:r>
          </w:p>
          <w:p>
            <w:pPr>
              <w:pStyle w:val="105"/>
              <w:jc w:val="left"/>
            </w:pPr>
            <w:r>
              <w:t xml:space="preserve"> - REs used by LTE CRS</w:t>
            </w:r>
          </w:p>
          <w:p>
            <w:pPr>
              <w:pStyle w:val="105"/>
              <w:jc w:val="left"/>
            </w:pPr>
            <w:r>
              <w:t>NSSS periodicity is 20ms.</w:t>
            </w:r>
          </w:p>
        </w:tc>
        <w:tc>
          <w:tcPr>
            <w:tcW w:w="3085" w:type="dxa"/>
          </w:tcPr>
          <w:p>
            <w:pPr>
              <w:pStyle w:val="105"/>
              <w:jc w:val="left"/>
            </w:pPr>
            <w:r>
              <w:t>The number of subcarriers for NSSS is 12</w:t>
            </w:r>
          </w:p>
        </w:tc>
        <w:tc>
          <w:tcPr>
            <w:tcW w:w="2825" w:type="dxa"/>
          </w:tcPr>
          <w:p>
            <w:pPr>
              <w:pStyle w:val="105"/>
              <w:jc w:val="left"/>
            </w:pPr>
            <w:r>
              <w:t>Mapping rule is specified in TS 36.211 [8] sub clause 10.2.7.2.2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tcPr>
          <w:p>
            <w:pPr>
              <w:pStyle w:val="103"/>
            </w:pPr>
            <w:r>
              <w:t>NPDCCH</w:t>
            </w:r>
          </w:p>
        </w:tc>
        <w:tc>
          <w:tcPr>
            <w:tcW w:w="2851" w:type="dxa"/>
          </w:tcPr>
          <w:p>
            <w:pPr>
              <w:pStyle w:val="105"/>
              <w:jc w:val="left"/>
            </w:pPr>
            <w:r>
              <w:t>NPDCCH on a given NB-IoT carrier are not mapped to the subframes containing NPSS/NSSS/PBCH on that carrier.</w:t>
            </w:r>
          </w:p>
          <w:p>
            <w:pPr>
              <w:pStyle w:val="105"/>
              <w:jc w:val="left"/>
            </w:pPr>
            <w:r>
              <w:t>NPDCCH are not be mapped onto resources elements used for NRS.</w:t>
            </w:r>
          </w:p>
          <w:p>
            <w:pPr>
              <w:pStyle w:val="105"/>
              <w:jc w:val="left"/>
            </w:pPr>
            <w:r>
              <w:t>NPDCCH are not overlapped with PBCH, PSS, SSS, or CRS.</w:t>
            </w:r>
          </w:p>
          <w:p>
            <w:pPr>
              <w:pStyle w:val="105"/>
              <w:jc w:val="left"/>
            </w:pPr>
            <w:r>
              <w:t>One or two NPDCCHs can be transmitted in a subframe.</w:t>
            </w:r>
          </w:p>
          <w:p>
            <w:pPr>
              <w:pStyle w:val="105"/>
              <w:jc w:val="left"/>
            </w:pPr>
            <w:r>
              <w:t>In in-band, first 3 OFDM symbols are not used for NPDCCH.</w:t>
            </w:r>
          </w:p>
          <w:p>
            <w:pPr>
              <w:pStyle w:val="105"/>
              <w:jc w:val="left"/>
            </w:pPr>
            <w:r>
              <w:t>In stand-alone and guard-band, all OFDM symbols are available for NPDCCH.</w:t>
            </w:r>
          </w:p>
          <w:p>
            <w:pPr>
              <w:pStyle w:val="105"/>
              <w:jc w:val="left"/>
            </w:pPr>
            <w:r>
              <w:t>NPDCCH and NPDSCH are multiplexed only based on TDM at subframe level:</w:t>
            </w:r>
          </w:p>
          <w:p>
            <w:pPr>
              <w:pStyle w:val="105"/>
              <w:jc w:val="left"/>
            </w:pPr>
            <w:r>
              <w:t xml:space="preserve"> - It means that only cross subframe scheduling is supported</w:t>
            </w:r>
          </w:p>
          <w:p>
            <w:pPr>
              <w:pStyle w:val="105"/>
              <w:jc w:val="left"/>
            </w:pPr>
            <w:r>
              <w:t xml:space="preserve"> - The start of an NPDCCH search space is &gt;=4ms after the end of the last NPDCCH search space</w:t>
            </w:r>
          </w:p>
        </w:tc>
        <w:tc>
          <w:tcPr>
            <w:tcW w:w="3085" w:type="dxa"/>
          </w:tcPr>
          <w:p>
            <w:pPr>
              <w:pStyle w:val="105"/>
              <w:jc w:val="left"/>
            </w:pPr>
            <w:r>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pPr>
              <w:pStyle w:val="105"/>
              <w:jc w:val="left"/>
            </w:pPr>
            <w:r>
              <w:t>Mapping rule is specified in TS36.211 [8] sub clause 10.2.5.5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tcBorders>
              <w:bottom w:val="single" w:color="auto" w:sz="4" w:space="0"/>
            </w:tcBorders>
          </w:tcPr>
          <w:p>
            <w:pPr>
              <w:pStyle w:val="103"/>
            </w:pPr>
            <w:r>
              <w:t>NPDSCH</w:t>
            </w:r>
          </w:p>
        </w:tc>
        <w:tc>
          <w:tcPr>
            <w:tcW w:w="2851" w:type="dxa"/>
            <w:tcBorders>
              <w:bottom w:val="single" w:color="auto" w:sz="4" w:space="0"/>
            </w:tcBorders>
          </w:tcPr>
          <w:p>
            <w:pPr>
              <w:pStyle w:val="105"/>
              <w:jc w:val="left"/>
            </w:pPr>
            <w:r>
              <w:t>The start of NB-PDSCH transmission is &gt;=4ms later than the end of its associated DL assignment.</w:t>
            </w:r>
          </w:p>
          <w:p>
            <w:pPr>
              <w:pStyle w:val="105"/>
              <w:jc w:val="left"/>
            </w:pPr>
            <w:r>
              <w:t>NPDSCH on a given NB-IoT carrier are not mapped to the subframes containing NPSS/NSSS/PBCH on that carrier.</w:t>
            </w:r>
          </w:p>
          <w:p>
            <w:pPr>
              <w:pStyle w:val="105"/>
              <w:jc w:val="left"/>
            </w:pPr>
            <w:r>
              <w:t>NPDSCH resource elements should be different from the ones used for NRS.</w:t>
            </w:r>
          </w:p>
          <w:p>
            <w:pPr>
              <w:pStyle w:val="105"/>
              <w:jc w:val="left"/>
            </w:pPr>
            <w:r>
              <w:t>NPDSCH resource elements should be different from the ones used for CRS.</w:t>
            </w:r>
          </w:p>
        </w:tc>
        <w:tc>
          <w:tcPr>
            <w:tcW w:w="3085" w:type="dxa"/>
            <w:tcBorders>
              <w:bottom w:val="single" w:color="auto" w:sz="4" w:space="0"/>
            </w:tcBorders>
          </w:tcPr>
          <w:p>
            <w:pPr>
              <w:pStyle w:val="105"/>
              <w:jc w:val="left"/>
            </w:pPr>
            <w:r>
              <w:t>Occupies any of the 12 subcarriers not reserved for transmission of reference signals</w:t>
            </w:r>
          </w:p>
        </w:tc>
        <w:tc>
          <w:tcPr>
            <w:tcW w:w="2825" w:type="dxa"/>
            <w:tcBorders>
              <w:bottom w:val="single" w:color="auto" w:sz="4" w:space="0"/>
            </w:tcBorders>
          </w:tcPr>
          <w:p>
            <w:pPr>
              <w:pStyle w:val="105"/>
              <w:jc w:val="left"/>
            </w:pPr>
            <w:r>
              <w:t>Mapping rule is specified in TS 36.211 [8] sub clause 10.2.3.4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tcBorders>
              <w:bottom w:val="single" w:color="auto" w:sz="4" w:space="0"/>
            </w:tcBorders>
          </w:tcPr>
          <w:p>
            <w:pPr>
              <w:pStyle w:val="103"/>
            </w:pPr>
            <w:r>
              <w:t>NRS</w:t>
            </w:r>
          </w:p>
        </w:tc>
        <w:tc>
          <w:tcPr>
            <w:tcW w:w="2851" w:type="dxa"/>
            <w:tcBorders>
              <w:bottom w:val="single" w:color="auto" w:sz="4" w:space="0"/>
            </w:tcBorders>
          </w:tcPr>
          <w:p>
            <w:pPr>
              <w:pStyle w:val="105"/>
              <w:jc w:val="left"/>
            </w:pPr>
            <w:r>
              <w:t>Narrowband reference signals are transmitted in all NB-IoT downlink subframes in a cell supporting NPDSCH transmission.</w:t>
            </w:r>
          </w:p>
          <w:p>
            <w:pPr>
              <w:pStyle w:val="105"/>
              <w:jc w:val="left"/>
            </w:pPr>
            <w:r>
              <w:t>NRS is not transmitted in subframes that are not NB-IoT downlink subframes, except if these subframes contain NPBCH or NPDSCH carrying SystemInformationBlockType1-NB where NRS shall be transmitted</w:t>
            </w:r>
          </w:p>
          <w:p>
            <w:pPr>
              <w:pStyle w:val="105"/>
              <w:jc w:val="left"/>
            </w:pPr>
            <w:r>
              <w:t>Narrowband reference signals are transmitted in subframes #0 and #4 and in subframes #9 not containing NSSS [when no NB-IoT downlink subframes configuration has not been established].</w:t>
            </w:r>
          </w:p>
          <w:p>
            <w:pPr>
              <w:pStyle w:val="105"/>
              <w:jc w:val="left"/>
            </w:pPr>
            <w:r>
              <w:t>The narrowband reference signals shall not be mapped to subframes containing NPSS or NSSS.</w:t>
            </w:r>
          </w:p>
          <w:p>
            <w:pPr>
              <w:pStyle w:val="105"/>
              <w:jc w:val="left"/>
            </w:pPr>
            <w:r>
              <w:t>NRS are transmitted on one or two antenna ports 0 to 1 (Figure 10.2.6.2-1 in TS 36.211 [8]).</w:t>
            </w:r>
          </w:p>
        </w:tc>
        <w:tc>
          <w:tcPr>
            <w:tcW w:w="3085" w:type="dxa"/>
            <w:tcBorders>
              <w:bottom w:val="single" w:color="auto" w:sz="4" w:space="0"/>
            </w:tcBorders>
          </w:tcPr>
          <w:p>
            <w:pPr>
              <w:pStyle w:val="105"/>
              <w:jc w:val="left"/>
            </w:pPr>
            <w:r>
              <w:t>2 subcarriers per antenna port in any OFDM symbol where NRS is transmitted</w:t>
            </w:r>
          </w:p>
        </w:tc>
        <w:tc>
          <w:tcPr>
            <w:tcW w:w="2825" w:type="dxa"/>
            <w:tcBorders>
              <w:bottom w:val="single" w:color="auto" w:sz="4" w:space="0"/>
            </w:tcBorders>
          </w:tcPr>
          <w:p>
            <w:pPr>
              <w:pStyle w:val="105"/>
              <w:jc w:val="left"/>
            </w:pPr>
          </w:p>
        </w:tc>
      </w:tr>
    </w:tbl>
    <w:p>
      <w:pPr>
        <w:rPr>
          <w:lang w:eastAsia="zh-CN"/>
        </w:rPr>
      </w:pPr>
    </w:p>
    <w:p>
      <w:pPr>
        <w:pStyle w:val="3"/>
      </w:pPr>
      <w:bookmarkStart w:id="1993" w:name="_Toc18953"/>
      <w:bookmarkStart w:id="1994" w:name="_Toc31515"/>
      <w:bookmarkStart w:id="1995" w:name="_Toc232582146"/>
      <w:bookmarkStart w:id="1996" w:name="_Toc27496"/>
      <w:bookmarkStart w:id="1997" w:name="_Toc20316"/>
      <w:bookmarkStart w:id="1998" w:name="_Toc31511"/>
      <w:r>
        <w:t>C.2</w:t>
      </w:r>
      <w:r>
        <w:tab/>
      </w:r>
      <w:r>
        <w:t>Set-up</w:t>
      </w:r>
      <w:bookmarkEnd w:id="1993"/>
      <w:bookmarkEnd w:id="1994"/>
      <w:bookmarkEnd w:id="1995"/>
      <w:bookmarkEnd w:id="1996"/>
      <w:bookmarkEnd w:id="1997"/>
      <w:bookmarkEnd w:id="1998"/>
    </w:p>
    <w:p>
      <w:pPr>
        <w:rPr>
          <w:rFonts w:cs="v5.0.0"/>
          <w:lang w:val="en-US"/>
        </w:rPr>
      </w:pPr>
      <w:r>
        <w:rPr>
          <w:rFonts w:cs="v5.0.0"/>
          <w:lang w:val="en-US"/>
        </w:rPr>
        <w:t xml:space="preserve">Table </w:t>
      </w:r>
      <w:r>
        <w:rPr>
          <w:rFonts w:eastAsia="宋体" w:cs="v5.0.0"/>
          <w:b/>
          <w:lang w:val="en-US" w:eastAsia="zh-CN"/>
        </w:rPr>
        <w:t>C</w:t>
      </w:r>
      <w:r>
        <w:rPr>
          <w:rFonts w:cs="v5.0.0"/>
          <w:lang w:val="en-US"/>
        </w:rPr>
        <w:t>.2-1 and C.2-2 describes the downlink Physical Channels that are required for connection set up.</w:t>
      </w:r>
    </w:p>
    <w:p>
      <w:pPr>
        <w:pStyle w:val="113"/>
        <w:rPr>
          <w:rFonts w:cs="v5.0.0"/>
          <w:lang w:val="en-US"/>
        </w:rPr>
      </w:pPr>
      <w:r>
        <w:rPr>
          <w:rFonts w:cs="v5.0.0"/>
          <w:lang w:val="en-US"/>
        </w:rPr>
        <w:t xml:space="preserve">Table </w:t>
      </w:r>
      <w:r>
        <w:rPr>
          <w:rFonts w:eastAsia="宋体" w:cs="v5.0.0"/>
          <w:lang w:val="en-US" w:eastAsia="zh-CN"/>
        </w:rPr>
        <w:t>C</w:t>
      </w:r>
      <w:r>
        <w:rPr>
          <w:rFonts w:cs="v5.0.0"/>
          <w:lang w:val="en-US"/>
        </w:rPr>
        <w:t>.2-1: Downlink Physical Channels required</w:t>
      </w:r>
      <w:r>
        <w:rPr>
          <w:rFonts w:cs="v5.0.0"/>
          <w:lang w:val="en-US"/>
        </w:rPr>
        <w:br w:type="textWrapping"/>
      </w:r>
      <w:r>
        <w:rPr>
          <w:rFonts w:cs="v5.0.0"/>
          <w:lang w:val="en-US"/>
        </w:rPr>
        <w:t xml:space="preserve">for </w:t>
      </w:r>
      <w:r>
        <w:rPr>
          <w:rFonts w:hint="eastAsia"/>
        </w:rPr>
        <w:t>category M1</w:t>
      </w:r>
      <w:r>
        <w:rPr>
          <w:rFonts w:hint="eastAsia" w:eastAsia="宋体"/>
          <w:lang w:val="en-US" w:eastAsia="zh-CN"/>
        </w:rPr>
        <w:t xml:space="preserve"> </w:t>
      </w:r>
      <w:r>
        <w:rPr>
          <w:rFonts w:cs="v5.0.0"/>
          <w:lang w:val="en-US"/>
        </w:rPr>
        <w:t>connection set-up</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single" w:color="auto" w:sz="4" w:space="0"/>
              <w:left w:val="single" w:color="auto" w:sz="4" w:space="0"/>
              <w:bottom w:val="single" w:color="auto" w:sz="4" w:space="0"/>
              <w:right w:val="single" w:color="auto" w:sz="4" w:space="0"/>
            </w:tcBorders>
          </w:tcPr>
          <w:p>
            <w:pPr>
              <w:pStyle w:val="104"/>
              <w:rPr>
                <w:rFonts w:cs="v5.0.0"/>
                <w:lang w:val="en-US"/>
              </w:rPr>
            </w:pPr>
            <w:r>
              <w:rPr>
                <w:rFonts w:cs="v5.0.0"/>
                <w:lang w:val="en-US"/>
              </w:rPr>
              <w:t>Physical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nil"/>
            </w:tcBorders>
          </w:tcPr>
          <w:p>
            <w:pPr>
              <w:pStyle w:val="105"/>
              <w:rPr>
                <w:rFonts w:cs="Arial"/>
                <w:lang w:val="en-US"/>
              </w:rPr>
            </w:pPr>
            <w:r>
              <w:rPr>
                <w:rFonts w:cs="Arial"/>
                <w:lang w:val="en-US"/>
              </w:rPr>
              <w:t>PBCH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5"/>
              <w:rPr>
                <w:rFonts w:cs="Arial"/>
                <w:lang w:val="en-US"/>
              </w:rPr>
            </w:pPr>
            <w:r>
              <w:rPr>
                <w:rFonts w:cs="Arial"/>
                <w:snapToGrid w:val="0"/>
                <w:lang w:val="en-US"/>
              </w:rPr>
              <w:t xml:space="preserve">SSS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5"/>
              <w:rPr>
                <w:rFonts w:cs="Arial"/>
                <w:snapToGrid w:val="0"/>
                <w:lang w:val="en-US"/>
              </w:rPr>
            </w:pPr>
            <w:r>
              <w:rPr>
                <w:rFonts w:cs="Arial"/>
                <w:snapToGrid w:val="0"/>
                <w:lang w:val="en-US"/>
              </w:rPr>
              <w:t>PSS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5"/>
              <w:rPr>
                <w:rFonts w:cs="Arial"/>
                <w:snapToGrid w:val="0"/>
                <w:lang w:val="en-US"/>
              </w:rPr>
            </w:pPr>
            <w:r>
              <w:rPr>
                <w:rFonts w:cs="Arial"/>
                <w:snapToGrid w:val="0"/>
                <w:lang w:val="en-US"/>
              </w:rPr>
              <w:t>MPDCCH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5"/>
              <w:rPr>
                <w:rFonts w:cs="Arial"/>
                <w:snapToGrid w:val="0"/>
                <w:lang w:val="en-US"/>
              </w:rPr>
            </w:pPr>
            <w:r>
              <w:rPr>
                <w:rFonts w:cs="Arial"/>
                <w:snapToGrid w:val="0"/>
                <w:lang w:val="en-US"/>
              </w:rPr>
              <w:t>PDSCH</w:t>
            </w:r>
          </w:p>
        </w:tc>
      </w:tr>
    </w:tbl>
    <w:p>
      <w:pPr>
        <w:rPr>
          <w:rFonts w:eastAsia="Yu Mincho"/>
          <w:lang w:eastAsia="ja-JP"/>
        </w:rPr>
      </w:pPr>
    </w:p>
    <w:p>
      <w:pPr>
        <w:pStyle w:val="113"/>
        <w:rPr>
          <w:rFonts w:cs="v5.0.0"/>
          <w:lang w:val="en-US"/>
        </w:rPr>
      </w:pPr>
      <w:r>
        <w:rPr>
          <w:rFonts w:cs="v5.0.0" w:eastAsiaTheme="minorEastAsia"/>
          <w:lang w:val="en-US" w:eastAsia="en-US"/>
        </w:rPr>
        <w:t xml:space="preserve">Table </w:t>
      </w:r>
      <w:r>
        <w:rPr>
          <w:rFonts w:cs="v5.0.0"/>
          <w:lang w:val="en-US"/>
        </w:rPr>
        <w:t>C</w:t>
      </w:r>
      <w:r>
        <w:rPr>
          <w:rFonts w:cs="v5.0.0" w:eastAsiaTheme="minorEastAsia"/>
          <w:lang w:val="en-US" w:eastAsia="en-US"/>
        </w:rPr>
        <w:t>.2-2: Downlink Physical Channels required</w:t>
      </w:r>
      <w:r>
        <w:rPr>
          <w:rFonts w:cs="v5.0.0" w:eastAsiaTheme="minorEastAsia"/>
          <w:lang w:val="en-US" w:eastAsia="en-US"/>
        </w:rPr>
        <w:br w:type="textWrapping"/>
      </w:r>
      <w:r>
        <w:rPr>
          <w:rFonts w:cs="v5.0.0" w:eastAsiaTheme="minorEastAsia"/>
          <w:lang w:val="en-US" w:eastAsia="en-US"/>
        </w:rPr>
        <w:t xml:space="preserve">for </w:t>
      </w:r>
      <w:r>
        <w:rPr>
          <w:rFonts w:cs="v5.0.0"/>
          <w:lang w:val="en-US"/>
        </w:rPr>
        <w:t xml:space="preserve">category NB1 and NB2 </w:t>
      </w:r>
      <w:r>
        <w:rPr>
          <w:rFonts w:cs="v5.0.0" w:eastAsiaTheme="minorEastAsia"/>
          <w:lang w:val="en-US" w:eastAsia="en-US"/>
        </w:rPr>
        <w:t>connection set-up</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5" w:type="dxa"/>
          </w:tcPr>
          <w:p>
            <w:pPr>
              <w:pStyle w:val="104"/>
            </w:pPr>
            <w:r>
              <w:t>Physical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5" w:type="dxa"/>
          </w:tcPr>
          <w:p>
            <w:pPr>
              <w:pStyle w:val="105"/>
            </w:pPr>
            <w:r>
              <w:t>NPBCH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5" w:type="dxa"/>
          </w:tcPr>
          <w:p>
            <w:pPr>
              <w:pStyle w:val="105"/>
            </w:pPr>
            <w:r>
              <w:t>NSSS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5" w:type="dxa"/>
          </w:tcPr>
          <w:p>
            <w:pPr>
              <w:pStyle w:val="105"/>
            </w:pPr>
            <w:r>
              <w:t>NPSS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5" w:type="dxa"/>
          </w:tcPr>
          <w:p>
            <w:pPr>
              <w:pStyle w:val="105"/>
            </w:pPr>
            <w:r>
              <w:t>NPDCCH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5" w:type="dxa"/>
          </w:tcPr>
          <w:p>
            <w:pPr>
              <w:pStyle w:val="105"/>
            </w:pPr>
            <w:r>
              <w:t>NPDSCH</w:t>
            </w:r>
          </w:p>
        </w:tc>
      </w:tr>
    </w:tbl>
    <w:p>
      <w:pPr>
        <w:rPr>
          <w:rFonts w:eastAsia="Yu Mincho"/>
          <w:lang w:eastAsia="ja-JP"/>
        </w:rPr>
      </w:pPr>
    </w:p>
    <w:p>
      <w:pPr>
        <w:rPr>
          <w:rFonts w:cs="v5.0.0"/>
          <w:lang w:eastAsia="ja-JP"/>
        </w:rPr>
      </w:pPr>
      <w:r>
        <w:rPr>
          <w:rFonts w:cs="v5.0.0"/>
        </w:rPr>
        <w:t>Table C.2-</w:t>
      </w:r>
      <w:r>
        <w:rPr>
          <w:rFonts w:cs="v5.0.0"/>
          <w:lang w:eastAsia="ja-JP"/>
        </w:rPr>
        <w:t>2</w:t>
      </w:r>
      <w:r>
        <w:rPr>
          <w:rFonts w:cs="v5.0.0"/>
        </w:rPr>
        <w:t xml:space="preserve"> describes the </w:t>
      </w:r>
      <w:r>
        <w:rPr>
          <w:rFonts w:cs="v5.0.0"/>
          <w:lang w:eastAsia="ja-JP"/>
        </w:rPr>
        <w:t>configuration of PDSCH and MPDCCH</w:t>
      </w:r>
      <w:r>
        <w:rPr>
          <w:rFonts w:cs="v5.0.0"/>
        </w:rPr>
        <w:t xml:space="preserve"> </w:t>
      </w:r>
      <w:r>
        <w:rPr>
          <w:rFonts w:cs="v5.0.0"/>
          <w:lang w:eastAsia="ja-JP"/>
        </w:rPr>
        <w:t>before measurement</w:t>
      </w:r>
      <w:r>
        <w:rPr>
          <w:rFonts w:eastAsia="宋体" w:cs="v5.0.0"/>
          <w:lang w:eastAsia="zh-CN"/>
        </w:rPr>
        <w:t xml:space="preserve"> for FDD</w:t>
      </w:r>
      <w:r>
        <w:rPr>
          <w:rFonts w:cs="v5.0.0"/>
          <w:lang w:eastAsia="ja-JP"/>
        </w:rPr>
        <w:t>.</w:t>
      </w:r>
    </w:p>
    <w:p>
      <w:pPr>
        <w:pStyle w:val="113"/>
        <w:rPr>
          <w:lang w:eastAsia="ja-JP"/>
        </w:rPr>
      </w:pPr>
      <w:r>
        <w:t xml:space="preserve">Table </w:t>
      </w:r>
      <w:r>
        <w:rPr>
          <w:lang w:eastAsia="ja-JP"/>
        </w:rPr>
        <w:t>C.2-</w:t>
      </w:r>
      <w:r>
        <w:rPr>
          <w:rFonts w:hint="eastAsia" w:eastAsia="宋体"/>
          <w:lang w:val="en-US" w:eastAsia="zh-CN"/>
        </w:rPr>
        <w:t>2</w:t>
      </w:r>
      <w:r>
        <w:t xml:space="preserve">: </w:t>
      </w:r>
      <w:r>
        <w:rPr>
          <w:lang w:eastAsia="ja-JP"/>
        </w:rPr>
        <w:t>PDSCH and MPDCCH</w:t>
      </w:r>
      <w:r>
        <w:t xml:space="preserve"> </w:t>
      </w:r>
      <w:r>
        <w:rPr>
          <w:lang w:eastAsia="ja-JP"/>
        </w:rPr>
        <w:t>configuration</w:t>
      </w:r>
      <w:r>
        <w:rPr>
          <w:rFonts w:eastAsia="宋体" w:cs="v5.0.0"/>
          <w:lang w:eastAsia="zh-CN"/>
        </w:rPr>
        <w:t xml:space="preserve"> for FDD</w:t>
      </w:r>
    </w:p>
    <w:tbl>
      <w:tblPr>
        <w:tblStyle w:val="89"/>
        <w:tblW w:w="95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47"/>
        <w:gridCol w:w="1417"/>
        <w:gridCol w:w="1560"/>
        <w:gridCol w:w="2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tcPr>
          <w:p>
            <w:pPr>
              <w:pStyle w:val="104"/>
              <w:rPr>
                <w:lang w:eastAsia="zh-CN"/>
              </w:rPr>
            </w:pPr>
            <w:r>
              <w:rPr>
                <w:lang w:eastAsia="zh-CN"/>
              </w:rPr>
              <w:t>Parameter</w:t>
            </w:r>
          </w:p>
        </w:tc>
        <w:tc>
          <w:tcPr>
            <w:tcW w:w="1417" w:type="dxa"/>
          </w:tcPr>
          <w:p>
            <w:pPr>
              <w:pStyle w:val="104"/>
              <w:rPr>
                <w:lang w:eastAsia="zh-CN"/>
              </w:rPr>
            </w:pPr>
            <w:r>
              <w:rPr>
                <w:lang w:eastAsia="zh-CN"/>
              </w:rPr>
              <w:t>Unit</w:t>
            </w:r>
          </w:p>
        </w:tc>
        <w:tc>
          <w:tcPr>
            <w:tcW w:w="1560" w:type="dxa"/>
          </w:tcPr>
          <w:p>
            <w:pPr>
              <w:pStyle w:val="104"/>
              <w:rPr>
                <w:lang w:eastAsia="zh-CN"/>
              </w:rPr>
            </w:pPr>
            <w:r>
              <w:rPr>
                <w:lang w:eastAsia="zh-CN"/>
              </w:rPr>
              <w:t xml:space="preserve">Value </w:t>
            </w:r>
          </w:p>
        </w:tc>
        <w:tc>
          <w:tcPr>
            <w:tcW w:w="2939" w:type="dxa"/>
          </w:tcPr>
          <w:p>
            <w:pPr>
              <w:pStyle w:val="104"/>
              <w:rPr>
                <w:lang w:eastAsia="zh-CN"/>
              </w:rPr>
            </w:pPr>
            <w:r>
              <w:rPr>
                <w:lang w:eastAsia="zh-CN"/>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Allocated resource blocks</w:t>
            </w:r>
          </w:p>
        </w:tc>
        <w:tc>
          <w:tcPr>
            <w:tcW w:w="1417" w:type="dxa"/>
            <w:vAlign w:val="center"/>
          </w:tcPr>
          <w:p>
            <w:pPr>
              <w:pStyle w:val="105"/>
            </w:pPr>
          </w:p>
        </w:tc>
        <w:tc>
          <w:tcPr>
            <w:tcW w:w="1560" w:type="dxa"/>
            <w:vAlign w:val="center"/>
          </w:tcPr>
          <w:p>
            <w:pPr>
              <w:pStyle w:val="105"/>
              <w:rPr>
                <w:lang w:eastAsia="ja-JP"/>
              </w:rPr>
            </w:pPr>
            <w:r>
              <w:rPr>
                <w:lang w:eastAsia="ja-JP"/>
              </w:rPr>
              <w:t>[6]</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MCS Index</w:t>
            </w:r>
          </w:p>
        </w:tc>
        <w:tc>
          <w:tcPr>
            <w:tcW w:w="1417" w:type="dxa"/>
            <w:vAlign w:val="center"/>
          </w:tcPr>
          <w:p>
            <w:pPr>
              <w:pStyle w:val="105"/>
            </w:pPr>
          </w:p>
        </w:tc>
        <w:tc>
          <w:tcPr>
            <w:tcW w:w="1560" w:type="dxa"/>
            <w:vAlign w:val="center"/>
          </w:tcPr>
          <w:p>
            <w:pPr>
              <w:pStyle w:val="105"/>
            </w:pPr>
            <w:r>
              <w:rPr>
                <w:lang w:eastAsia="ja-JP"/>
              </w:rPr>
              <w:t>-</w:t>
            </w:r>
          </w:p>
        </w:tc>
        <w:tc>
          <w:tcPr>
            <w:tcW w:w="2939" w:type="dxa"/>
          </w:tcPr>
          <w:p>
            <w:pPr>
              <w:pStyle w:val="105"/>
            </w:pPr>
            <w:r>
              <w:t>TB</w:t>
            </w:r>
            <w:r>
              <w:rPr>
                <w:rFonts w:eastAsia="MS Mincho"/>
                <w:lang w:eastAsia="ja-JP"/>
              </w:rPr>
              <w:t xml:space="preserve"> </w:t>
            </w:r>
            <w:r>
              <w:t xml:space="preserve">Size </w:t>
            </w:r>
            <w:r>
              <w:rPr>
                <w:rFonts w:eastAsia="MS Mincho"/>
                <w:lang w:eastAsia="ja-JP"/>
              </w:rPr>
              <w:t xml:space="preserve">with </w:t>
            </w:r>
            <w:r>
              <w:t>transmit</w:t>
            </w:r>
            <w:r>
              <w:rPr>
                <w:rFonts w:eastAsia="MS Mincho"/>
                <w:lang w:eastAsia="ja-JP"/>
              </w:rPr>
              <w:t>ting m</w:t>
            </w:r>
            <w:r>
              <w:t xml:space="preserve">essage </w:t>
            </w:r>
            <w:r>
              <w:rPr>
                <w:rFonts w:eastAsia="MS Mincho"/>
                <w:lang w:eastAsia="ja-JP"/>
              </w:rPr>
              <w:t xml:space="preserve">in </w:t>
            </w:r>
            <w:r>
              <w:t>1TTI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Number of HARQ processes, CE Mode A</w:t>
            </w:r>
          </w:p>
        </w:tc>
        <w:tc>
          <w:tcPr>
            <w:tcW w:w="1417" w:type="dxa"/>
            <w:vAlign w:val="center"/>
          </w:tcPr>
          <w:p>
            <w:pPr>
              <w:pStyle w:val="105"/>
            </w:pPr>
            <w:r>
              <w:t>Processes</w:t>
            </w:r>
          </w:p>
        </w:tc>
        <w:tc>
          <w:tcPr>
            <w:tcW w:w="1560" w:type="dxa"/>
            <w:vAlign w:val="center"/>
          </w:tcPr>
          <w:p>
            <w:pPr>
              <w:pStyle w:val="105"/>
            </w:pPr>
            <w:r>
              <w:t>[8]</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Number of HARQ processes, CE Mode B</w:t>
            </w:r>
          </w:p>
        </w:tc>
        <w:tc>
          <w:tcPr>
            <w:tcW w:w="1417" w:type="dxa"/>
            <w:vAlign w:val="center"/>
          </w:tcPr>
          <w:p>
            <w:pPr>
              <w:pStyle w:val="105"/>
            </w:pPr>
            <w:r>
              <w:t>Processes</w:t>
            </w:r>
          </w:p>
        </w:tc>
        <w:tc>
          <w:tcPr>
            <w:tcW w:w="1560" w:type="dxa"/>
            <w:vAlign w:val="center"/>
          </w:tcPr>
          <w:p>
            <w:pPr>
              <w:pStyle w:val="105"/>
            </w:pPr>
            <w:r>
              <w:t>[2]</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rPr>
                <w:position w:val="-10"/>
              </w:rPr>
            </w:pPr>
            <w:r>
              <w:t>Maximum number of HARQ transmission</w:t>
            </w:r>
          </w:p>
        </w:tc>
        <w:tc>
          <w:tcPr>
            <w:tcW w:w="1417" w:type="dxa"/>
            <w:vAlign w:val="center"/>
          </w:tcPr>
          <w:p>
            <w:pPr>
              <w:pStyle w:val="105"/>
            </w:pPr>
          </w:p>
        </w:tc>
        <w:tc>
          <w:tcPr>
            <w:tcW w:w="1560" w:type="dxa"/>
            <w:vAlign w:val="center"/>
          </w:tcPr>
          <w:p>
            <w:pPr>
              <w:pStyle w:val="105"/>
              <w:rPr>
                <w:lang w:eastAsia="ja-JP"/>
              </w:rPr>
            </w:pPr>
            <w:r>
              <w:rPr>
                <w:lang w:eastAsia="ja-JP"/>
              </w:rPr>
              <w:t>[5]</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Aggregation level</w:t>
            </w:r>
          </w:p>
        </w:tc>
        <w:tc>
          <w:tcPr>
            <w:tcW w:w="1417" w:type="dxa"/>
            <w:vAlign w:val="center"/>
          </w:tcPr>
          <w:p>
            <w:pPr>
              <w:pStyle w:val="105"/>
            </w:pPr>
            <w:r>
              <w:rPr>
                <w:lang w:eastAsia="ja-JP"/>
              </w:rPr>
              <w:t>CCE</w:t>
            </w:r>
          </w:p>
        </w:tc>
        <w:tc>
          <w:tcPr>
            <w:tcW w:w="1560" w:type="dxa"/>
            <w:vAlign w:val="center"/>
          </w:tcPr>
          <w:p>
            <w:pPr>
              <w:pStyle w:val="105"/>
            </w:pPr>
            <w:r>
              <w:rPr>
                <w:lang w:eastAsia="ja-JP"/>
              </w:rPr>
              <w:t>[2]</w:t>
            </w:r>
          </w:p>
        </w:tc>
        <w:tc>
          <w:tcPr>
            <w:tcW w:w="2939" w:type="dxa"/>
          </w:tcPr>
          <w:p>
            <w:pPr>
              <w:pStyle w:val="105"/>
            </w:pPr>
            <w:r>
              <w:t>Note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PDSCH</w:t>
            </w:r>
          </w:p>
        </w:tc>
        <w:tc>
          <w:tcPr>
            <w:tcW w:w="1417" w:type="dxa"/>
            <w:vAlign w:val="center"/>
          </w:tcPr>
          <w:p>
            <w:pPr>
              <w:pStyle w:val="105"/>
            </w:pPr>
          </w:p>
        </w:tc>
        <w:tc>
          <w:tcPr>
            <w:tcW w:w="1560" w:type="dxa"/>
            <w:vAlign w:val="center"/>
          </w:tcPr>
          <w:p>
            <w:pPr>
              <w:pStyle w:val="105"/>
            </w:pPr>
            <w:r>
              <w:t>Format 6-1A</w:t>
            </w:r>
          </w:p>
        </w:tc>
        <w:tc>
          <w:tcPr>
            <w:tcW w:w="2939" w:type="dxa"/>
          </w:tcPr>
          <w:p>
            <w:pPr>
              <w:pStyle w:val="105"/>
            </w:pPr>
            <w:r>
              <w:t>CE Mode 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PDSCH</w:t>
            </w:r>
          </w:p>
        </w:tc>
        <w:tc>
          <w:tcPr>
            <w:tcW w:w="1417" w:type="dxa"/>
            <w:vAlign w:val="center"/>
          </w:tcPr>
          <w:p>
            <w:pPr>
              <w:pStyle w:val="105"/>
            </w:pPr>
          </w:p>
        </w:tc>
        <w:tc>
          <w:tcPr>
            <w:tcW w:w="1560" w:type="dxa"/>
            <w:vAlign w:val="center"/>
          </w:tcPr>
          <w:p>
            <w:pPr>
              <w:pStyle w:val="105"/>
            </w:pPr>
            <w:r>
              <w:t>Format 6-1B</w:t>
            </w:r>
          </w:p>
        </w:tc>
        <w:tc>
          <w:tcPr>
            <w:tcW w:w="2939" w:type="dxa"/>
          </w:tcPr>
          <w:p>
            <w:pPr>
              <w:pStyle w:val="105"/>
            </w:pPr>
            <w: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PUSCH</w:t>
            </w:r>
          </w:p>
        </w:tc>
        <w:tc>
          <w:tcPr>
            <w:tcW w:w="1417" w:type="dxa"/>
            <w:vAlign w:val="center"/>
          </w:tcPr>
          <w:p>
            <w:pPr>
              <w:pStyle w:val="105"/>
            </w:pPr>
          </w:p>
        </w:tc>
        <w:tc>
          <w:tcPr>
            <w:tcW w:w="1560" w:type="dxa"/>
            <w:vAlign w:val="center"/>
          </w:tcPr>
          <w:p>
            <w:pPr>
              <w:pStyle w:val="105"/>
            </w:pPr>
            <w:r>
              <w:rPr>
                <w:lang w:eastAsia="ja-JP"/>
              </w:rPr>
              <w:t>Format 6-0A</w:t>
            </w:r>
          </w:p>
        </w:tc>
        <w:tc>
          <w:tcPr>
            <w:tcW w:w="2939" w:type="dxa"/>
          </w:tcPr>
          <w:p>
            <w:pPr>
              <w:pStyle w:val="105"/>
            </w:pPr>
            <w:r>
              <w:t>CE Mode 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PUSCH</w:t>
            </w:r>
          </w:p>
        </w:tc>
        <w:tc>
          <w:tcPr>
            <w:tcW w:w="1417" w:type="dxa"/>
            <w:vAlign w:val="center"/>
          </w:tcPr>
          <w:p>
            <w:pPr>
              <w:pStyle w:val="105"/>
            </w:pPr>
          </w:p>
        </w:tc>
        <w:tc>
          <w:tcPr>
            <w:tcW w:w="1560" w:type="dxa"/>
            <w:vAlign w:val="center"/>
          </w:tcPr>
          <w:p>
            <w:pPr>
              <w:pStyle w:val="105"/>
              <w:rPr>
                <w:lang w:eastAsia="ja-JP"/>
              </w:rPr>
            </w:pPr>
            <w:r>
              <w:rPr>
                <w:lang w:eastAsia="ja-JP"/>
              </w:rPr>
              <w:t>Format 6-0B</w:t>
            </w:r>
          </w:p>
        </w:tc>
        <w:tc>
          <w:tcPr>
            <w:tcW w:w="2939" w:type="dxa"/>
          </w:tcPr>
          <w:p>
            <w:pPr>
              <w:pStyle w:val="105"/>
            </w:pPr>
            <w: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9563" w:type="dxa"/>
            <w:gridSpan w:val="4"/>
            <w:vAlign w:val="center"/>
          </w:tcPr>
          <w:p>
            <w:pPr>
              <w:pStyle w:val="118"/>
              <w:rPr>
                <w:lang w:eastAsia="ja-JP"/>
              </w:rPr>
            </w:pPr>
            <w:r>
              <w:t>Note 1:</w:t>
            </w:r>
            <w:r>
              <w:tab/>
            </w:r>
            <w:r>
              <w:t>[2] symbols allocated to PDCCH for 20 MHz, 15 MHz and 10 MHz channel BW. [3] symbols allocated to PDCCH for 5 MHz and 3 MHz. [4] symbols allocated to PDCCH for 1.4 MHz.</w:t>
            </w:r>
          </w:p>
          <w:p>
            <w:pPr>
              <w:pStyle w:val="118"/>
              <w:rPr>
                <w:lang w:eastAsia="ja-JP"/>
              </w:rPr>
            </w:pPr>
            <w:r>
              <w:t>Note 2:</w:t>
            </w:r>
            <w:r>
              <w:tab/>
            </w:r>
            <w:r>
              <w:t>Reference signal, Synchronization signals and PBCH allocated as per TS 36.211 [</w:t>
            </w:r>
            <w:r>
              <w:rPr>
                <w:lang w:eastAsia="zh-CN"/>
              </w:rPr>
              <w:t>8</w:t>
            </w:r>
            <w:r>
              <w:t>]</w:t>
            </w:r>
            <w:r>
              <w:rPr>
                <w:lang w:eastAsia="ja-JP"/>
              </w:rPr>
              <w:t>.</w:t>
            </w:r>
          </w:p>
          <w:p>
            <w:pPr>
              <w:pStyle w:val="118"/>
              <w:rPr>
                <w:lang w:eastAsia="ja-JP"/>
              </w:rPr>
            </w:pPr>
            <w:r>
              <w:t>Note 3:</w:t>
            </w:r>
            <w:r>
              <w:tab/>
            </w:r>
            <w:r>
              <w:t>Void.</w:t>
            </w:r>
          </w:p>
          <w:p>
            <w:pPr>
              <w:pStyle w:val="118"/>
              <w:rPr>
                <w:lang w:eastAsia="ja-JP"/>
              </w:rPr>
            </w:pPr>
            <w:r>
              <w:t>Note 4:</w:t>
            </w:r>
            <w:r>
              <w:tab/>
            </w:r>
            <w:r>
              <w:t>For MPDCCH using SI-RNTI, Aggregation level</w:t>
            </w:r>
            <w:r>
              <w:rPr>
                <w:lang w:eastAsia="ja-JP"/>
              </w:rPr>
              <w:t>:</w:t>
            </w:r>
          </w:p>
          <w:p>
            <w:pPr>
              <w:pStyle w:val="118"/>
              <w:ind w:left="1030" w:firstLine="0"/>
              <w:rPr>
                <w:lang w:eastAsia="ja-JP"/>
              </w:rPr>
            </w:pPr>
            <w:r>
              <w:rPr>
                <w:lang w:eastAsia="ja-JP"/>
              </w:rPr>
              <w:t>a)Tables C.3.0-3, C.3.1-3, and C.3.2-3 for RF tests</w:t>
            </w:r>
            <w:r>
              <w:rPr>
                <w:lang w:eastAsia="ja-JP"/>
              </w:rPr>
              <w:br w:type="textWrapping"/>
            </w:r>
            <w:r>
              <w:rPr>
                <w:lang w:eastAsia="ja-JP"/>
              </w:rPr>
              <w:t>b)</w:t>
            </w:r>
            <w:r>
              <w:t>Table A.2.1-1</w:t>
            </w:r>
            <w:r>
              <w:rPr>
                <w:lang w:eastAsia="ja-JP"/>
              </w:rPr>
              <w:t xml:space="preserve"> of 36.521-3 for RRM tests.</w:t>
            </w:r>
          </w:p>
        </w:tc>
      </w:tr>
    </w:tbl>
    <w:p>
      <w:pPr>
        <w:rPr>
          <w:lang w:eastAsia="ja-JP"/>
        </w:rPr>
      </w:pPr>
    </w:p>
    <w:p>
      <w:pPr>
        <w:pStyle w:val="113"/>
        <w:rPr>
          <w:rFonts w:eastAsia="宋体"/>
          <w:lang w:val="en-US" w:eastAsia="zh-CN"/>
        </w:rPr>
      </w:pPr>
      <w:r>
        <w:t>Table C.2-</w:t>
      </w:r>
      <w:r>
        <w:rPr>
          <w:rFonts w:hint="eastAsia" w:eastAsia="宋体"/>
          <w:lang w:val="en-US" w:eastAsia="zh-CN"/>
        </w:rPr>
        <w:t>3</w:t>
      </w:r>
      <w:r>
        <w:t xml:space="preserve">: Downlink Physical Channels required for connection set-up,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494"/>
        <w:gridCol w:w="1990"/>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94" w:type="dxa"/>
          </w:tcPr>
          <w:p>
            <w:pPr>
              <w:pStyle w:val="104"/>
            </w:pPr>
            <w:r>
              <w:t>Physical Channel</w:t>
            </w:r>
          </w:p>
        </w:tc>
        <w:tc>
          <w:tcPr>
            <w:tcW w:w="1990" w:type="dxa"/>
          </w:tcPr>
          <w:p>
            <w:pPr>
              <w:pStyle w:val="104"/>
            </w:pPr>
            <w:r>
              <w:t>EPRE Ratio</w:t>
            </w:r>
          </w:p>
        </w:tc>
        <w:tc>
          <w:tcPr>
            <w:tcW w:w="1603"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restart"/>
          </w:tcPr>
          <w:p>
            <w:pPr>
              <w:pStyle w:val="104"/>
            </w:pPr>
            <w:r>
              <w:t>NPBCH</w:t>
            </w:r>
          </w:p>
        </w:tc>
        <w:tc>
          <w:tcPr>
            <w:tcW w:w="1990" w:type="dxa"/>
          </w:tcPr>
          <w:p>
            <w:pPr>
              <w:pStyle w:val="105"/>
            </w:pPr>
            <w:r>
              <w:t>NPBCH_RA = 0 dB</w:t>
            </w:r>
          </w:p>
        </w:tc>
        <w:tc>
          <w:tcPr>
            <w:tcW w:w="1603" w:type="dxa"/>
            <w:vMerge w:val="restart"/>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continue"/>
          </w:tcPr>
          <w:p>
            <w:pPr>
              <w:pStyle w:val="104"/>
            </w:pPr>
          </w:p>
        </w:tc>
        <w:tc>
          <w:tcPr>
            <w:tcW w:w="1990" w:type="dxa"/>
          </w:tcPr>
          <w:p>
            <w:pPr>
              <w:pStyle w:val="105"/>
            </w:pPr>
            <w:r>
              <w:t>NPBCH_RB = 0 dB</w:t>
            </w:r>
          </w:p>
        </w:tc>
        <w:tc>
          <w:tcPr>
            <w:tcW w:w="1603" w:type="dxa"/>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94" w:type="dxa"/>
          </w:tcPr>
          <w:p>
            <w:pPr>
              <w:pStyle w:val="104"/>
            </w:pPr>
            <w:r>
              <w:t>NPSS</w:t>
            </w:r>
          </w:p>
        </w:tc>
        <w:tc>
          <w:tcPr>
            <w:tcW w:w="1990" w:type="dxa"/>
          </w:tcPr>
          <w:p>
            <w:pPr>
              <w:pStyle w:val="105"/>
            </w:pPr>
            <w:r>
              <w:t>NPSS_RA = 0 dB</w:t>
            </w:r>
          </w:p>
        </w:tc>
        <w:tc>
          <w:tcPr>
            <w:tcW w:w="1603"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94" w:type="dxa"/>
          </w:tcPr>
          <w:p>
            <w:pPr>
              <w:pStyle w:val="104"/>
            </w:pPr>
            <w:r>
              <w:t>NSSS</w:t>
            </w:r>
          </w:p>
        </w:tc>
        <w:tc>
          <w:tcPr>
            <w:tcW w:w="1990" w:type="dxa"/>
          </w:tcPr>
          <w:p>
            <w:pPr>
              <w:pStyle w:val="105"/>
            </w:pPr>
            <w:r>
              <w:t>NSSS_RA = 0 dB</w:t>
            </w:r>
          </w:p>
        </w:tc>
        <w:tc>
          <w:tcPr>
            <w:tcW w:w="1603"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restart"/>
          </w:tcPr>
          <w:p>
            <w:pPr>
              <w:pStyle w:val="104"/>
            </w:pPr>
            <w:r>
              <w:t>NPDCCH</w:t>
            </w:r>
          </w:p>
        </w:tc>
        <w:tc>
          <w:tcPr>
            <w:tcW w:w="1990" w:type="dxa"/>
          </w:tcPr>
          <w:p>
            <w:pPr>
              <w:pStyle w:val="105"/>
            </w:pPr>
            <w:r>
              <w:t>NPDCCH_RA = 0 dB</w:t>
            </w:r>
          </w:p>
        </w:tc>
        <w:tc>
          <w:tcPr>
            <w:tcW w:w="1603" w:type="dxa"/>
            <w:vMerge w:val="restart"/>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continue"/>
          </w:tcPr>
          <w:p>
            <w:pPr>
              <w:pStyle w:val="104"/>
            </w:pPr>
          </w:p>
        </w:tc>
        <w:tc>
          <w:tcPr>
            <w:tcW w:w="1990" w:type="dxa"/>
          </w:tcPr>
          <w:p>
            <w:pPr>
              <w:pStyle w:val="105"/>
            </w:pPr>
            <w:r>
              <w:t>NPDCCH_RB = 0 dB</w:t>
            </w:r>
          </w:p>
        </w:tc>
        <w:tc>
          <w:tcPr>
            <w:tcW w:w="1603" w:type="dxa"/>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restart"/>
          </w:tcPr>
          <w:p>
            <w:pPr>
              <w:pStyle w:val="104"/>
              <w:rPr>
                <w:szCs w:val="22"/>
              </w:rPr>
            </w:pPr>
            <w:r>
              <w:rPr>
                <w:szCs w:val="22"/>
              </w:rPr>
              <w:t>NPDSCH</w:t>
            </w:r>
          </w:p>
        </w:tc>
        <w:tc>
          <w:tcPr>
            <w:tcW w:w="1990" w:type="dxa"/>
          </w:tcPr>
          <w:p>
            <w:pPr>
              <w:pStyle w:val="105"/>
            </w:pPr>
            <w:r>
              <w:t>NPDSCH_RA = 0 dB</w:t>
            </w:r>
          </w:p>
        </w:tc>
        <w:tc>
          <w:tcPr>
            <w:tcW w:w="1603" w:type="dxa"/>
            <w:vMerge w:val="restart"/>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continue"/>
          </w:tcPr>
          <w:p>
            <w:pPr>
              <w:pStyle w:val="104"/>
              <w:rPr>
                <w:szCs w:val="22"/>
              </w:rPr>
            </w:pPr>
          </w:p>
        </w:tc>
        <w:tc>
          <w:tcPr>
            <w:tcW w:w="1990" w:type="dxa"/>
          </w:tcPr>
          <w:p>
            <w:pPr>
              <w:pStyle w:val="105"/>
            </w:pPr>
            <w:r>
              <w:t>NPDSCH_RB = 0 dB</w:t>
            </w:r>
          </w:p>
        </w:tc>
        <w:tc>
          <w:tcPr>
            <w:tcW w:w="1603" w:type="dxa"/>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087" w:type="dxa"/>
            <w:gridSpan w:val="3"/>
          </w:tcPr>
          <w:p>
            <w:pPr>
              <w:pStyle w:val="118"/>
            </w:pPr>
            <w:r>
              <w:t>Note 1:</w:t>
            </w:r>
            <w:r>
              <w:tab/>
            </w:r>
            <w:r>
              <w:t>No boosting is applied.</w:t>
            </w:r>
          </w:p>
        </w:tc>
      </w:tr>
    </w:tbl>
    <w:p/>
    <w:p>
      <w:pPr>
        <w:rPr>
          <w:rFonts w:cs="v5.0.0"/>
          <w:lang w:eastAsia="ja-JP"/>
        </w:rPr>
      </w:pPr>
      <w:r>
        <w:rPr>
          <w:rFonts w:cs="v5.0.0"/>
        </w:rPr>
        <w:t>Table C.2-</w:t>
      </w:r>
      <w:r>
        <w:rPr>
          <w:rFonts w:hint="eastAsia" w:eastAsia="宋体" w:cs="v5.0.0"/>
          <w:lang w:val="en-US" w:eastAsia="zh-CN"/>
        </w:rPr>
        <w:t>4</w:t>
      </w:r>
      <w:r>
        <w:rPr>
          <w:rFonts w:cs="v5.0.0"/>
        </w:rPr>
        <w:t xml:space="preserve"> describes the </w:t>
      </w:r>
      <w:r>
        <w:rPr>
          <w:rFonts w:cs="v5.0.0"/>
          <w:lang w:eastAsia="ja-JP"/>
        </w:rPr>
        <w:t>configuration of NPDSCH and NPDCCH</w:t>
      </w:r>
      <w:r>
        <w:rPr>
          <w:rFonts w:cs="v5.0.0"/>
        </w:rPr>
        <w:t xml:space="preserve"> </w:t>
      </w:r>
      <w:r>
        <w:rPr>
          <w:rFonts w:cs="v5.0.0"/>
          <w:lang w:eastAsia="ja-JP"/>
        </w:rPr>
        <w:t>before measurement</w:t>
      </w:r>
      <w:r>
        <w:rPr>
          <w:rFonts w:eastAsia="宋体" w:cs="v5.0.0"/>
          <w:lang w:eastAsia="zh-CN"/>
        </w:rPr>
        <w:t xml:space="preserve"> for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r>
        <w:rPr>
          <w:rFonts w:cs="v5.0.0"/>
          <w:lang w:eastAsia="ja-JP"/>
        </w:rPr>
        <w:t>.</w:t>
      </w:r>
    </w:p>
    <w:p>
      <w:pPr>
        <w:pStyle w:val="113"/>
        <w:rPr>
          <w:rFonts w:eastAsia="宋体"/>
          <w:lang w:val="en-US" w:eastAsia="zh-CN"/>
        </w:rPr>
      </w:pPr>
      <w:r>
        <w:t xml:space="preserve">Table </w:t>
      </w:r>
      <w:r>
        <w:rPr>
          <w:lang w:eastAsia="ja-JP"/>
        </w:rPr>
        <w:t>C.2-</w:t>
      </w:r>
      <w:r>
        <w:rPr>
          <w:rFonts w:hint="eastAsia" w:eastAsia="宋体"/>
          <w:lang w:val="en-US" w:eastAsia="zh-CN"/>
        </w:rPr>
        <w:t>4</w:t>
      </w:r>
      <w:r>
        <w:t>: N</w:t>
      </w:r>
      <w:r>
        <w:rPr>
          <w:lang w:eastAsia="ja-JP"/>
        </w:rPr>
        <w:t>PDSCH and NPDCCH</w:t>
      </w:r>
      <w:r>
        <w:t xml:space="preserve"> </w:t>
      </w:r>
      <w:r>
        <w:rPr>
          <w:lang w:eastAsia="ja-JP"/>
        </w:rPr>
        <w:t>configuration</w:t>
      </w:r>
      <w:r>
        <w:rPr>
          <w:rFonts w:eastAsia="宋体" w:cs="v5.0.0"/>
          <w:lang w:eastAsia="zh-CN"/>
        </w:rPr>
        <w:t xml:space="preserve"> for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p>
    <w:tbl>
      <w:tblPr>
        <w:tblStyle w:val="89"/>
        <w:tblW w:w="95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47"/>
        <w:gridCol w:w="1417"/>
        <w:gridCol w:w="1560"/>
        <w:gridCol w:w="2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tcPr>
          <w:p>
            <w:pPr>
              <w:pStyle w:val="104"/>
            </w:pPr>
            <w:r>
              <w:t>Parameter</w:t>
            </w:r>
          </w:p>
        </w:tc>
        <w:tc>
          <w:tcPr>
            <w:tcW w:w="1417" w:type="dxa"/>
          </w:tcPr>
          <w:p>
            <w:pPr>
              <w:pStyle w:val="104"/>
            </w:pPr>
            <w:r>
              <w:t>Unit</w:t>
            </w:r>
          </w:p>
        </w:tc>
        <w:tc>
          <w:tcPr>
            <w:tcW w:w="1560" w:type="dxa"/>
          </w:tcPr>
          <w:p>
            <w:pPr>
              <w:pStyle w:val="104"/>
            </w:pPr>
            <w:r>
              <w:t xml:space="preserve">Value </w:t>
            </w:r>
          </w:p>
        </w:tc>
        <w:tc>
          <w:tcPr>
            <w:tcW w:w="2939" w:type="dxa"/>
          </w:tcPr>
          <w:p>
            <w:pPr>
              <w:pStyle w:val="104"/>
            </w:pPr>
            <w: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Allocated subcarriers</w:t>
            </w:r>
          </w:p>
        </w:tc>
        <w:tc>
          <w:tcPr>
            <w:tcW w:w="1417" w:type="dxa"/>
            <w:vAlign w:val="center"/>
          </w:tcPr>
          <w:p>
            <w:pPr>
              <w:pStyle w:val="105"/>
            </w:pPr>
          </w:p>
        </w:tc>
        <w:tc>
          <w:tcPr>
            <w:tcW w:w="1560" w:type="dxa"/>
            <w:vAlign w:val="center"/>
          </w:tcPr>
          <w:p>
            <w:pPr>
              <w:pStyle w:val="105"/>
              <w:rPr>
                <w:lang w:eastAsia="ja-JP"/>
              </w:rPr>
            </w:pPr>
            <w:r>
              <w:rPr>
                <w:lang w:eastAsia="ja-JP"/>
              </w:rPr>
              <w:t>[FFS]</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MCS Index</w:t>
            </w:r>
          </w:p>
        </w:tc>
        <w:tc>
          <w:tcPr>
            <w:tcW w:w="1417" w:type="dxa"/>
            <w:vAlign w:val="center"/>
          </w:tcPr>
          <w:p>
            <w:pPr>
              <w:pStyle w:val="105"/>
            </w:pPr>
          </w:p>
        </w:tc>
        <w:tc>
          <w:tcPr>
            <w:tcW w:w="1560" w:type="dxa"/>
            <w:vAlign w:val="center"/>
          </w:tcPr>
          <w:p>
            <w:pPr>
              <w:pStyle w:val="105"/>
            </w:pPr>
            <w:r>
              <w:rPr>
                <w:lang w:eastAsia="ja-JP"/>
              </w:rPr>
              <w:t>-</w:t>
            </w:r>
          </w:p>
        </w:tc>
        <w:tc>
          <w:tcPr>
            <w:tcW w:w="2939" w:type="dxa"/>
          </w:tcPr>
          <w:p>
            <w:pPr>
              <w:pStyle w:val="105"/>
            </w:pPr>
            <w:r>
              <w:t>TB</w:t>
            </w:r>
            <w:r>
              <w:rPr>
                <w:rFonts w:eastAsia="MS Mincho"/>
                <w:lang w:eastAsia="ja-JP"/>
              </w:rPr>
              <w:t xml:space="preserve"> </w:t>
            </w:r>
            <w:r>
              <w:t xml:space="preserve">Size </w:t>
            </w:r>
            <w:r>
              <w:rPr>
                <w:rFonts w:eastAsia="MS Mincho"/>
                <w:lang w:eastAsia="ja-JP"/>
              </w:rPr>
              <w:t xml:space="preserve">with </w:t>
            </w:r>
            <w:r>
              <w:t>transmit</w:t>
            </w:r>
            <w:r>
              <w:rPr>
                <w:rFonts w:eastAsia="MS Mincho"/>
                <w:lang w:eastAsia="ja-JP"/>
              </w:rPr>
              <w:t>ting m</w:t>
            </w:r>
            <w:r>
              <w:t xml:space="preserve">essage </w:t>
            </w:r>
            <w:r>
              <w:rPr>
                <w:rFonts w:eastAsia="MS Mincho"/>
                <w:lang w:eastAsia="ja-JP"/>
              </w:rPr>
              <w:t xml:space="preserve">in </w:t>
            </w:r>
            <w:r>
              <w:t>1TTI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Number of HARQ processes</w:t>
            </w:r>
          </w:p>
        </w:tc>
        <w:tc>
          <w:tcPr>
            <w:tcW w:w="1417" w:type="dxa"/>
            <w:vAlign w:val="center"/>
          </w:tcPr>
          <w:p>
            <w:pPr>
              <w:pStyle w:val="105"/>
            </w:pPr>
            <w:r>
              <w:t>Processes</w:t>
            </w:r>
          </w:p>
        </w:tc>
        <w:tc>
          <w:tcPr>
            <w:tcW w:w="1560" w:type="dxa"/>
            <w:vAlign w:val="center"/>
          </w:tcPr>
          <w:p>
            <w:pPr>
              <w:pStyle w:val="105"/>
            </w:pPr>
            <w:r>
              <w:t>1</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rPr>
                <w:position w:val="-10"/>
              </w:rPr>
            </w:pPr>
            <w:r>
              <w:t>Maximum number of HARQ transmission</w:t>
            </w:r>
          </w:p>
        </w:tc>
        <w:tc>
          <w:tcPr>
            <w:tcW w:w="1417" w:type="dxa"/>
            <w:vAlign w:val="center"/>
          </w:tcPr>
          <w:p>
            <w:pPr>
              <w:pStyle w:val="105"/>
            </w:pPr>
          </w:p>
        </w:tc>
        <w:tc>
          <w:tcPr>
            <w:tcW w:w="1560" w:type="dxa"/>
            <w:vAlign w:val="center"/>
          </w:tcPr>
          <w:p>
            <w:pPr>
              <w:pStyle w:val="105"/>
              <w:rPr>
                <w:lang w:eastAsia="ja-JP"/>
              </w:rPr>
            </w:pPr>
            <w:r>
              <w:rPr>
                <w:lang w:eastAsia="ja-JP"/>
              </w:rPr>
              <w:t>1</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Aggregation level</w:t>
            </w:r>
          </w:p>
        </w:tc>
        <w:tc>
          <w:tcPr>
            <w:tcW w:w="1417" w:type="dxa"/>
            <w:vAlign w:val="center"/>
          </w:tcPr>
          <w:p>
            <w:pPr>
              <w:pStyle w:val="105"/>
            </w:pPr>
            <w:r>
              <w:t>NCCE</w:t>
            </w:r>
          </w:p>
        </w:tc>
        <w:tc>
          <w:tcPr>
            <w:tcW w:w="1560" w:type="dxa"/>
            <w:vAlign w:val="center"/>
          </w:tcPr>
          <w:p>
            <w:pPr>
              <w:pStyle w:val="105"/>
            </w:pPr>
            <w:r>
              <w:t>2</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NPDSCH</w:t>
            </w:r>
          </w:p>
        </w:tc>
        <w:tc>
          <w:tcPr>
            <w:tcW w:w="1417" w:type="dxa"/>
            <w:vAlign w:val="center"/>
          </w:tcPr>
          <w:p>
            <w:pPr>
              <w:pStyle w:val="105"/>
            </w:pPr>
          </w:p>
        </w:tc>
        <w:tc>
          <w:tcPr>
            <w:tcW w:w="1560" w:type="dxa"/>
            <w:vAlign w:val="center"/>
          </w:tcPr>
          <w:p>
            <w:pPr>
              <w:pStyle w:val="105"/>
            </w:pPr>
            <w:r>
              <w:rPr>
                <w:lang w:eastAsia="ja-JP"/>
              </w:rPr>
              <w:t>Format N1</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NPUSCH</w:t>
            </w:r>
          </w:p>
        </w:tc>
        <w:tc>
          <w:tcPr>
            <w:tcW w:w="1417" w:type="dxa"/>
            <w:vAlign w:val="center"/>
          </w:tcPr>
          <w:p>
            <w:pPr>
              <w:pStyle w:val="105"/>
            </w:pPr>
          </w:p>
        </w:tc>
        <w:tc>
          <w:tcPr>
            <w:tcW w:w="1560" w:type="dxa"/>
            <w:vAlign w:val="center"/>
          </w:tcPr>
          <w:p>
            <w:pPr>
              <w:pStyle w:val="105"/>
            </w:pPr>
            <w:r>
              <w:rPr>
                <w:lang w:eastAsia="ja-JP"/>
              </w:rPr>
              <w:t>Format N0</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9563" w:type="dxa"/>
            <w:gridSpan w:val="4"/>
            <w:vAlign w:val="center"/>
          </w:tcPr>
          <w:p>
            <w:pPr>
              <w:pStyle w:val="118"/>
              <w:rPr>
                <w:lang w:eastAsia="ja-JP"/>
              </w:rPr>
            </w:pPr>
            <w:r>
              <w:t>Note 1:</w:t>
            </w:r>
            <w:r>
              <w:tab/>
            </w:r>
            <w:r>
              <w:t>Reference signal NRS, Synchronization signals NPSS, NSSS and NPBCH allocated as per TS 36.211 [</w:t>
            </w:r>
            <w:r>
              <w:rPr>
                <w:lang w:eastAsia="zh-CN"/>
              </w:rPr>
              <w:t>8</w:t>
            </w:r>
            <w:r>
              <w:t>]</w:t>
            </w:r>
          </w:p>
        </w:tc>
      </w:tr>
    </w:tbl>
    <w:p>
      <w:pPr>
        <w:rPr>
          <w:lang w:eastAsia="ja-JP"/>
        </w:rPr>
      </w:pPr>
    </w:p>
    <w:p>
      <w:pPr>
        <w:pStyle w:val="3"/>
      </w:pPr>
      <w:bookmarkStart w:id="1999" w:name="_Toc13145"/>
      <w:bookmarkStart w:id="2000" w:name="_Toc32354"/>
      <w:bookmarkStart w:id="2001" w:name="_Toc22883"/>
      <w:bookmarkStart w:id="2002" w:name="_Toc232582147"/>
      <w:bookmarkStart w:id="2003" w:name="_Toc25629"/>
      <w:bookmarkStart w:id="2004" w:name="_Toc365"/>
      <w:r>
        <w:t>C.3</w:t>
      </w:r>
      <w:r>
        <w:tab/>
      </w:r>
      <w:r>
        <w:t>Connection</w:t>
      </w:r>
      <w:bookmarkEnd w:id="1999"/>
      <w:bookmarkEnd w:id="2000"/>
      <w:bookmarkEnd w:id="2001"/>
      <w:bookmarkEnd w:id="2002"/>
      <w:bookmarkEnd w:id="2003"/>
      <w:bookmarkEnd w:id="2004"/>
    </w:p>
    <w:p>
      <w:pPr>
        <w:rPr>
          <w:rFonts w:cs="v5.0.0"/>
        </w:rPr>
      </w:pPr>
      <w:r>
        <w:rPr>
          <w:rFonts w:cs="v5.0.0"/>
        </w:rPr>
        <w:t>The following clauses describes the downlink Physical Channels that are transmitted during a connection i.e., when measurements are done.</w:t>
      </w:r>
    </w:p>
    <w:p>
      <w:pPr>
        <w:pStyle w:val="4"/>
      </w:pPr>
      <w:bookmarkStart w:id="2005" w:name="_Toc16247"/>
      <w:bookmarkStart w:id="2006" w:name="_Toc22655"/>
      <w:bookmarkStart w:id="2007" w:name="_Toc20248"/>
      <w:bookmarkStart w:id="2008" w:name="_Toc11971"/>
      <w:bookmarkStart w:id="2009" w:name="_Toc232582148"/>
      <w:bookmarkStart w:id="2010" w:name="_Toc15325"/>
      <w:r>
        <w:t>C.3.0</w:t>
      </w:r>
      <w:r>
        <w:tab/>
      </w:r>
      <w:r>
        <w:t>Measurement of Transmitter Characteristics</w:t>
      </w:r>
      <w:bookmarkEnd w:id="2005"/>
      <w:bookmarkEnd w:id="2006"/>
      <w:bookmarkEnd w:id="2007"/>
      <w:bookmarkEnd w:id="2008"/>
      <w:bookmarkEnd w:id="2009"/>
      <w:bookmarkEnd w:id="2010"/>
    </w:p>
    <w:p>
      <w:pPr>
        <w:rPr>
          <w:rFonts w:cs="v5.0.0"/>
        </w:rPr>
      </w:pPr>
      <w:r>
        <w:rPr>
          <w:rFonts w:cs="v5.0.0"/>
        </w:rPr>
        <w:t>Table C.3.0-1 is applicable for measurements on the Transmitter Characteristics (clause 6).</w:t>
      </w:r>
    </w:p>
    <w:p>
      <w:pPr>
        <w:pStyle w:val="113"/>
        <w:rPr>
          <w:rFonts w:cs="v5.0.0"/>
        </w:rPr>
      </w:pPr>
      <w:r>
        <w:t xml:space="preserve">Table C.3.0-1: Downlink Physical Channels transmitted </w:t>
      </w:r>
      <w:r>
        <w:rPr>
          <w:rFonts w:cs="v5.0.0"/>
          <w:lang w:val="en-US"/>
        </w:rPr>
        <w:t xml:space="preserve">for </w:t>
      </w:r>
      <w:r>
        <w:rPr>
          <w:rFonts w:hint="eastAsia"/>
        </w:rPr>
        <w:t>category M1</w:t>
      </w:r>
      <w:r>
        <w:rPr>
          <w:rFonts w:hint="eastAsia" w:eastAsia="宋体"/>
          <w:lang w:val="en-US" w:eastAsia="zh-CN"/>
        </w:rPr>
        <w:t xml:space="preserve"> </w:t>
      </w:r>
      <w:r>
        <w:t>during a connection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1826"/>
        <w:gridCol w:w="17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4"/>
              <w:rPr>
                <w:rFonts w:cs="Tahoma"/>
                <w:lang w:eastAsia="zh-CN"/>
              </w:rPr>
            </w:pPr>
            <w:r>
              <w:rPr>
                <w:rFonts w:cs="Tahoma"/>
                <w:lang w:eastAsia="zh-CN"/>
              </w:rPr>
              <w:t>Physical Channel</w:t>
            </w:r>
          </w:p>
        </w:tc>
        <w:tc>
          <w:tcPr>
            <w:tcW w:w="1826" w:type="dxa"/>
          </w:tcPr>
          <w:p>
            <w:pPr>
              <w:pStyle w:val="104"/>
              <w:rPr>
                <w:rFonts w:cs="Tahoma"/>
                <w:lang w:eastAsia="zh-CN"/>
              </w:rPr>
            </w:pPr>
            <w:r>
              <w:rPr>
                <w:rFonts w:cs="Tahoma"/>
                <w:lang w:eastAsia="zh-CN"/>
              </w:rPr>
              <w:t>EPRE Ratio</w:t>
            </w:r>
          </w:p>
        </w:tc>
        <w:tc>
          <w:tcPr>
            <w:tcW w:w="1767" w:type="dxa"/>
          </w:tcPr>
          <w:p>
            <w:pPr>
              <w:pStyle w:val="104"/>
              <w:rPr>
                <w:rFonts w:cs="Tahoma"/>
                <w:lang w:eastAsia="zh-CN"/>
              </w:rPr>
            </w:pPr>
            <w:r>
              <w:rPr>
                <w:rFonts w:cs="Tahoma"/>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Tahoma"/>
                <w:szCs w:val="16"/>
              </w:rPr>
            </w:pPr>
            <w:r>
              <w:rPr>
                <w:rFonts w:cs="Tahoma"/>
                <w:szCs w:val="16"/>
              </w:rPr>
              <w:t>PBCH</w:t>
            </w:r>
          </w:p>
        </w:tc>
        <w:tc>
          <w:tcPr>
            <w:tcW w:w="1826" w:type="dxa"/>
          </w:tcPr>
          <w:p>
            <w:pPr>
              <w:pStyle w:val="105"/>
              <w:rPr>
                <w:rFonts w:cs="Tahoma"/>
              </w:rPr>
            </w:pPr>
            <w:r>
              <w:rPr>
                <w:rFonts w:cs="Tahoma"/>
              </w:rPr>
              <w:t>PBCH_RA = 0 dB</w:t>
            </w:r>
          </w:p>
        </w:tc>
        <w:tc>
          <w:tcPr>
            <w:tcW w:w="176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Tahoma"/>
                <w:szCs w:val="16"/>
              </w:rPr>
            </w:pPr>
          </w:p>
        </w:tc>
        <w:tc>
          <w:tcPr>
            <w:tcW w:w="1826" w:type="dxa"/>
          </w:tcPr>
          <w:p>
            <w:pPr>
              <w:pStyle w:val="105"/>
              <w:rPr>
                <w:rFonts w:cs="Tahoma"/>
              </w:rPr>
            </w:pPr>
            <w:r>
              <w:rPr>
                <w:rFonts w:cs="Tahoma"/>
              </w:rPr>
              <w:t>PBCH_RB = 0 dB</w:t>
            </w:r>
          </w:p>
        </w:tc>
        <w:tc>
          <w:tcPr>
            <w:tcW w:w="176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Tahoma"/>
                <w:szCs w:val="16"/>
              </w:rPr>
            </w:pPr>
            <w:r>
              <w:rPr>
                <w:rFonts w:cs="Tahoma"/>
                <w:szCs w:val="16"/>
              </w:rPr>
              <w:t>PSS</w:t>
            </w:r>
          </w:p>
        </w:tc>
        <w:tc>
          <w:tcPr>
            <w:tcW w:w="1826" w:type="dxa"/>
          </w:tcPr>
          <w:p>
            <w:pPr>
              <w:pStyle w:val="105"/>
              <w:rPr>
                <w:rFonts w:cs="Tahoma"/>
              </w:rPr>
            </w:pPr>
            <w:r>
              <w:rPr>
                <w:rFonts w:cs="Tahoma"/>
              </w:rPr>
              <w:t>PSS_RA = 0 dB</w:t>
            </w:r>
          </w:p>
        </w:tc>
        <w:tc>
          <w:tcPr>
            <w:tcW w:w="1767" w:type="dxa"/>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Tahoma"/>
                <w:szCs w:val="16"/>
              </w:rPr>
            </w:pPr>
            <w:r>
              <w:rPr>
                <w:rFonts w:cs="Tahoma"/>
                <w:szCs w:val="16"/>
              </w:rPr>
              <w:t>SSS</w:t>
            </w:r>
          </w:p>
        </w:tc>
        <w:tc>
          <w:tcPr>
            <w:tcW w:w="1826" w:type="dxa"/>
          </w:tcPr>
          <w:p>
            <w:pPr>
              <w:pStyle w:val="105"/>
              <w:rPr>
                <w:rFonts w:cs="Tahoma"/>
              </w:rPr>
            </w:pPr>
            <w:r>
              <w:rPr>
                <w:rFonts w:cs="Tahoma"/>
              </w:rPr>
              <w:t>SSS_RA = 0 dB</w:t>
            </w:r>
          </w:p>
        </w:tc>
        <w:tc>
          <w:tcPr>
            <w:tcW w:w="1767" w:type="dxa"/>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Tahoma"/>
                <w:szCs w:val="22"/>
              </w:rPr>
            </w:pPr>
            <w:r>
              <w:rPr>
                <w:rFonts w:cs="Tahoma"/>
                <w:szCs w:val="22"/>
              </w:rPr>
              <w:t>MPDCCH</w:t>
            </w:r>
          </w:p>
        </w:tc>
        <w:tc>
          <w:tcPr>
            <w:tcW w:w="1826" w:type="dxa"/>
          </w:tcPr>
          <w:p>
            <w:pPr>
              <w:pStyle w:val="105"/>
              <w:rPr>
                <w:rFonts w:cs="Tahoma"/>
              </w:rPr>
            </w:pPr>
            <w:r>
              <w:rPr>
                <w:rFonts w:cs="Tahoma"/>
              </w:rPr>
              <w:t>MPDCCH_RA = 0 dB</w:t>
            </w:r>
          </w:p>
        </w:tc>
        <w:tc>
          <w:tcPr>
            <w:tcW w:w="1767" w:type="dxa"/>
            <w:vMerge w:val="restart"/>
          </w:tcPr>
          <w:p>
            <w:pPr>
              <w:pStyle w:val="105"/>
              <w:rPr>
                <w:rFonts w:cs="Tahoma"/>
              </w:rPr>
            </w:pPr>
            <w:r>
              <w:t>Only required for UE category M1 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Tahoma"/>
                <w:szCs w:val="16"/>
              </w:rPr>
            </w:pPr>
          </w:p>
        </w:tc>
        <w:tc>
          <w:tcPr>
            <w:tcW w:w="1826" w:type="dxa"/>
          </w:tcPr>
          <w:p>
            <w:pPr>
              <w:pStyle w:val="105"/>
              <w:rPr>
                <w:rFonts w:cs="Tahoma"/>
              </w:rPr>
            </w:pPr>
            <w:r>
              <w:rPr>
                <w:rFonts w:cs="Tahoma"/>
              </w:rPr>
              <w:t>MPDCCH_RB = 0 dB</w:t>
            </w:r>
          </w:p>
        </w:tc>
        <w:tc>
          <w:tcPr>
            <w:tcW w:w="176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Tahoma"/>
                <w:szCs w:val="22"/>
              </w:rPr>
            </w:pPr>
            <w:r>
              <w:rPr>
                <w:rFonts w:cs="Tahoma"/>
                <w:szCs w:val="22"/>
              </w:rPr>
              <w:t>PDSCH</w:t>
            </w:r>
          </w:p>
        </w:tc>
        <w:tc>
          <w:tcPr>
            <w:tcW w:w="1826" w:type="dxa"/>
          </w:tcPr>
          <w:p>
            <w:pPr>
              <w:pStyle w:val="105"/>
              <w:rPr>
                <w:rFonts w:cs="Tahoma"/>
              </w:rPr>
            </w:pPr>
            <w:r>
              <w:rPr>
                <w:rFonts w:cs="Tahoma"/>
              </w:rPr>
              <w:t>PDSCH_RA = 0 dB</w:t>
            </w:r>
          </w:p>
        </w:tc>
        <w:tc>
          <w:tcPr>
            <w:tcW w:w="176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Tahoma"/>
                <w:szCs w:val="22"/>
              </w:rPr>
            </w:pPr>
          </w:p>
        </w:tc>
        <w:tc>
          <w:tcPr>
            <w:tcW w:w="1826" w:type="dxa"/>
          </w:tcPr>
          <w:p>
            <w:pPr>
              <w:pStyle w:val="105"/>
              <w:rPr>
                <w:rFonts w:cs="Tahoma"/>
              </w:rPr>
            </w:pPr>
            <w:r>
              <w:rPr>
                <w:rFonts w:cs="Tahoma"/>
              </w:rPr>
              <w:t>PDSCH_RB = 0 dB</w:t>
            </w:r>
          </w:p>
        </w:tc>
        <w:tc>
          <w:tcPr>
            <w:tcW w:w="1767" w:type="dxa"/>
            <w:vMerge w:val="continue"/>
          </w:tcPr>
          <w:p>
            <w:pPr>
              <w:pStyle w:val="105"/>
              <w:rPr>
                <w:rFonts w:cs="Tahoma"/>
              </w:rPr>
            </w:pPr>
          </w:p>
        </w:tc>
      </w:tr>
    </w:tbl>
    <w:p/>
    <w:p>
      <w:pPr>
        <w:pStyle w:val="100"/>
      </w:pPr>
      <w:r>
        <w:t>NOTE 1:</w:t>
      </w:r>
      <w:r>
        <w:tab/>
      </w:r>
      <w:r>
        <w:t>No boosting is applied.</w:t>
      </w:r>
    </w:p>
    <w:p>
      <w:pPr>
        <w:pStyle w:val="113"/>
        <w:rPr>
          <w:rFonts w:cs="v5.0.0"/>
        </w:rPr>
      </w:pPr>
      <w:r>
        <w:t>Table C.3.0-2: Power allocation for OFDM symbols and reference signals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684"/>
        <w:gridCol w:w="1684"/>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4"/>
              <w:rPr>
                <w:rFonts w:cs="Tahoma"/>
                <w:lang w:eastAsia="zh-CN"/>
              </w:rPr>
            </w:pPr>
            <w:r>
              <w:rPr>
                <w:rFonts w:cs="Tahoma"/>
                <w:lang w:eastAsia="zh-CN"/>
              </w:rPr>
              <w:t>Parameter</w:t>
            </w:r>
          </w:p>
        </w:tc>
        <w:tc>
          <w:tcPr>
            <w:tcW w:w="1684" w:type="dxa"/>
          </w:tcPr>
          <w:p>
            <w:pPr>
              <w:pStyle w:val="104"/>
              <w:rPr>
                <w:rFonts w:cs="Tahoma"/>
                <w:lang w:eastAsia="zh-CN"/>
              </w:rPr>
            </w:pPr>
            <w:r>
              <w:rPr>
                <w:rFonts w:cs="Tahoma"/>
                <w:lang w:eastAsia="zh-CN"/>
              </w:rPr>
              <w:t>Unit</w:t>
            </w:r>
          </w:p>
        </w:tc>
        <w:tc>
          <w:tcPr>
            <w:tcW w:w="1684" w:type="dxa"/>
          </w:tcPr>
          <w:p>
            <w:pPr>
              <w:pStyle w:val="104"/>
              <w:rPr>
                <w:rFonts w:cs="Tahoma"/>
                <w:lang w:eastAsia="zh-CN"/>
              </w:rPr>
            </w:pPr>
            <w:r>
              <w:rPr>
                <w:rFonts w:cs="Tahoma"/>
                <w:lang w:eastAsia="zh-CN"/>
              </w:rPr>
              <w:t>Value</w:t>
            </w:r>
          </w:p>
        </w:tc>
        <w:tc>
          <w:tcPr>
            <w:tcW w:w="1860" w:type="dxa"/>
          </w:tcPr>
          <w:p>
            <w:pPr>
              <w:pStyle w:val="104"/>
              <w:rPr>
                <w:rFonts w:cs="Tahoma"/>
                <w:lang w:eastAsia="zh-CN"/>
              </w:rPr>
            </w:pPr>
            <w:r>
              <w:rPr>
                <w:rFonts w:cs="Tahoma"/>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 xml:space="preserve">Transmitted power spectral density </w:t>
            </w:r>
            <w:r>
              <w:rPr>
                <w:rFonts w:cs="v5.0.0"/>
                <w:position w:val="-12"/>
                <w:szCs w:val="16"/>
              </w:rPr>
              <w:object>
                <v:shape id="_x0000_i1118" o:spt="75" type="#_x0000_t75" style="height:17.4pt;width:15pt;" o:ole="t" filled="f" o:preferrelative="t" stroked="f" coordsize="21600,21600">
                  <v:path/>
                  <v:fill on="f" focussize="0,0"/>
                  <v:stroke on="f" joinstyle="miter"/>
                  <v:imagedata r:id="rId173" o:title=""/>
                  <o:lock v:ext="edit" aspectratio="t"/>
                  <w10:wrap type="none"/>
                  <w10:anchorlock/>
                </v:shape>
                <o:OLEObject Type="Embed" ProgID="Equation.3" ShapeID="_x0000_i1118" DrawAspect="Content" ObjectID="_1468075818" r:id="rId172">
                  <o:LockedField>false</o:LockedField>
                </o:OLEObject>
              </w:object>
            </w:r>
          </w:p>
        </w:tc>
        <w:tc>
          <w:tcPr>
            <w:tcW w:w="1684" w:type="dxa"/>
          </w:tcPr>
          <w:p>
            <w:pPr>
              <w:pStyle w:val="105"/>
              <w:rPr>
                <w:rFonts w:cs="Tahoma"/>
              </w:rPr>
            </w:pPr>
            <w:r>
              <w:rPr>
                <w:rFonts w:cs="Tahoma"/>
              </w:rPr>
              <w:t>dBm/15 kHz</w:t>
            </w:r>
          </w:p>
        </w:tc>
        <w:tc>
          <w:tcPr>
            <w:tcW w:w="1684" w:type="dxa"/>
          </w:tcPr>
          <w:p>
            <w:pPr>
              <w:pStyle w:val="105"/>
              <w:rPr>
                <w:rFonts w:cs="Tahoma"/>
              </w:rPr>
            </w:pPr>
            <w:r>
              <w:rPr>
                <w:rFonts w:cs="Tahoma"/>
              </w:rPr>
              <w:t>Test specific</w:t>
            </w:r>
          </w:p>
        </w:tc>
        <w:tc>
          <w:tcPr>
            <w:tcW w:w="1860" w:type="dxa"/>
          </w:tcPr>
          <w:p>
            <w:pPr>
              <w:pStyle w:val="103"/>
              <w:rPr>
                <w:rFonts w:cs="Tahoma"/>
                <w:szCs w:val="16"/>
              </w:rPr>
            </w:pPr>
            <w:r>
              <w:rPr>
                <w:rFonts w:cs="Tahoma"/>
                <w:szCs w:val="16"/>
              </w:rPr>
              <w:t xml:space="preserve">1. </w:t>
            </w:r>
            <w:r>
              <w:rPr>
                <w:rFonts w:cs="v5.0.0"/>
                <w:position w:val="-12"/>
                <w:szCs w:val="16"/>
              </w:rPr>
              <w:object>
                <v:shape id="_x0000_i1119" o:spt="75" type="#_x0000_t75" style="height:17.4pt;width:15pt;" o:ole="t" filled="f" o:preferrelative="t" stroked="f" coordsize="21600,21600">
                  <v:path/>
                  <v:fill on="f" focussize="0,0"/>
                  <v:stroke on="f" joinstyle="miter"/>
                  <v:imagedata r:id="rId173" o:title=""/>
                  <o:lock v:ext="edit" aspectratio="t"/>
                  <w10:wrap type="none"/>
                  <w10:anchorlock/>
                </v:shape>
                <o:OLEObject Type="Embed" ProgID="Equation.3" ShapeID="_x0000_i1119" DrawAspect="Content" ObjectID="_1468075819" r:id="rId174">
                  <o:LockedField>false</o:LockedField>
                </o:OLEObject>
              </w:object>
            </w:r>
            <w:r>
              <w:rPr>
                <w:rFonts w:cs="v5.0.0"/>
                <w:szCs w:val="16"/>
              </w:rPr>
              <w:t>shall be kept constant throughout all OFDM symbols</w:t>
            </w:r>
          </w:p>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Cell-specific reference signal power ratio</w:t>
            </w:r>
            <w:r>
              <w:rPr>
                <w:rFonts w:cs="v5.0.0"/>
                <w:position w:val="-12"/>
                <w:szCs w:val="16"/>
              </w:rPr>
              <w:object>
                <v:shape id="_x0000_i1120" o:spt="75" type="#_x0000_t75" style="height:17.4pt;width:39pt;" o:ole="t" filled="f" o:preferrelative="t" stroked="f" coordsize="21600,21600">
                  <v:path/>
                  <v:fill on="f" focussize="0,0"/>
                  <v:stroke on="f" joinstyle="miter"/>
                  <v:imagedata r:id="rId176" o:title=""/>
                  <o:lock v:ext="edit" aspectratio="t"/>
                  <w10:wrap type="none"/>
                  <w10:anchorlock/>
                </v:shape>
                <o:OLEObject Type="Embed" ProgID="Equation.3" ShapeID="_x0000_i1120" DrawAspect="Content" ObjectID="_1468075820" r:id="rId175">
                  <o:LockedField>false</o:LockedField>
                </o:OLEObject>
              </w:object>
            </w:r>
          </w:p>
        </w:tc>
        <w:tc>
          <w:tcPr>
            <w:tcW w:w="1684" w:type="dxa"/>
          </w:tcPr>
          <w:p>
            <w:pPr>
              <w:pStyle w:val="105"/>
              <w:rPr>
                <w:rFonts w:cs="Tahoma"/>
              </w:rPr>
            </w:pPr>
          </w:p>
        </w:tc>
        <w:tc>
          <w:tcPr>
            <w:tcW w:w="1684" w:type="dxa"/>
          </w:tcPr>
          <w:p>
            <w:pPr>
              <w:pStyle w:val="105"/>
              <w:rPr>
                <w:rFonts w:cs="Tahoma"/>
              </w:rPr>
            </w:pPr>
            <w:r>
              <w:rPr>
                <w:rFonts w:cs="Tahoma"/>
              </w:rPr>
              <w:t>0 dB</w:t>
            </w:r>
          </w:p>
        </w:tc>
        <w:tc>
          <w:tcPr>
            <w:tcW w:w="1860" w:type="dxa"/>
          </w:tcPr>
          <w:p>
            <w:pPr>
              <w:pStyle w:val="105"/>
              <w:rPr>
                <w:rFonts w:cs="Tahoma"/>
              </w:rPr>
            </w:pPr>
          </w:p>
        </w:tc>
      </w:tr>
    </w:tbl>
    <w:p/>
    <w:p>
      <w:pPr>
        <w:pStyle w:val="113"/>
        <w:rPr>
          <w:rFonts w:cs="v5.0.0"/>
        </w:rPr>
      </w:pPr>
      <w:r>
        <w:t>Table C.3.0-3: PDCCH Aggregation Level (in CCE-s)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2"/>
        <w:gridCol w:w="1842"/>
        <w:gridCol w:w="1842"/>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4"/>
              <w:rPr>
                <w:lang w:eastAsia="zh-CN"/>
              </w:rPr>
            </w:pPr>
            <w:r>
              <w:rPr>
                <w:lang w:eastAsia="zh-CN"/>
              </w:rPr>
              <w:t>Bandwidth</w:t>
            </w:r>
          </w:p>
        </w:tc>
        <w:tc>
          <w:tcPr>
            <w:tcW w:w="1842" w:type="dxa"/>
          </w:tcPr>
          <w:p>
            <w:pPr>
              <w:pStyle w:val="104"/>
              <w:rPr>
                <w:lang w:eastAsia="zh-CN"/>
              </w:rPr>
            </w:pPr>
            <w:r>
              <w:rPr>
                <w:lang w:eastAsia="zh-CN"/>
              </w:rPr>
              <w:t>DCI for DL</w:t>
            </w:r>
            <w:r>
              <w:rPr>
                <w:lang w:eastAsia="zh-CN"/>
              </w:rPr>
              <w:br w:type="textWrapping"/>
            </w:r>
            <w:r>
              <w:rPr>
                <w:lang w:eastAsia="zh-CN"/>
              </w:rPr>
              <w:t>(SI-RNTI)</w:t>
            </w:r>
          </w:p>
        </w:tc>
        <w:tc>
          <w:tcPr>
            <w:tcW w:w="1842" w:type="dxa"/>
          </w:tcPr>
          <w:p>
            <w:pPr>
              <w:pStyle w:val="104"/>
              <w:rPr>
                <w:lang w:eastAsia="zh-CN"/>
              </w:rPr>
            </w:pPr>
            <w:r>
              <w:rPr>
                <w:lang w:eastAsia="zh-CN"/>
              </w:rPr>
              <w:t>DCI for DL</w:t>
            </w:r>
            <w:r>
              <w:rPr>
                <w:lang w:eastAsia="zh-CN"/>
              </w:rPr>
              <w:br w:type="textWrapping"/>
            </w:r>
            <w:r>
              <w:rPr>
                <w:lang w:eastAsia="zh-CN"/>
              </w:rPr>
              <w:t>(C-RNTI)</w:t>
            </w:r>
          </w:p>
        </w:tc>
        <w:tc>
          <w:tcPr>
            <w:tcW w:w="1843" w:type="dxa"/>
          </w:tcPr>
          <w:p>
            <w:pPr>
              <w:pStyle w:val="104"/>
              <w:rPr>
                <w:lang w:eastAsia="zh-CN"/>
              </w:rPr>
            </w:pPr>
            <w:r>
              <w:rPr>
                <w:lang w:eastAsia="zh-CN"/>
              </w:rPr>
              <w:t>DCI for UL</w:t>
            </w:r>
            <w:r>
              <w:rPr>
                <w:lang w:eastAsia="zh-CN"/>
              </w:rPr>
              <w:br w:type="textWrapping"/>
            </w:r>
            <w:r>
              <w:rPr>
                <w:lang w:eastAsia="zh-CN"/>
              </w:rPr>
              <w:t>(C-RNTI)</w:t>
            </w:r>
          </w:p>
        </w:tc>
        <w:tc>
          <w:tcPr>
            <w:tcW w:w="1843" w:type="dxa"/>
          </w:tcPr>
          <w:p>
            <w:pPr>
              <w:pStyle w:val="104"/>
              <w:rPr>
                <w:lang w:eastAsia="zh-CN"/>
              </w:rPr>
            </w:pPr>
            <w:r>
              <w:rPr>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3"/>
              <w:overflowPunct w:val="0"/>
              <w:autoSpaceDE w:val="0"/>
              <w:autoSpaceDN w:val="0"/>
              <w:adjustRightInd w:val="0"/>
              <w:textAlignment w:val="baseline"/>
            </w:pPr>
            <w:r>
              <w:t>1.4 MHz</w:t>
            </w:r>
          </w:p>
        </w:tc>
        <w:tc>
          <w:tcPr>
            <w:tcW w:w="1842" w:type="dxa"/>
          </w:tcPr>
          <w:p>
            <w:pPr>
              <w:pStyle w:val="105"/>
            </w:pPr>
            <w:r>
              <w:t>4</w:t>
            </w:r>
          </w:p>
        </w:tc>
        <w:tc>
          <w:tcPr>
            <w:tcW w:w="1842" w:type="dxa"/>
          </w:tcPr>
          <w:p>
            <w:pPr>
              <w:pStyle w:val="105"/>
            </w:pPr>
            <w:r>
              <w:t>1</w:t>
            </w:r>
          </w:p>
        </w:tc>
        <w:tc>
          <w:tcPr>
            <w:tcW w:w="1843" w:type="dxa"/>
          </w:tcPr>
          <w:p>
            <w:pPr>
              <w:pStyle w:val="105"/>
            </w:pPr>
            <w:r>
              <w:t>1</w:t>
            </w:r>
          </w:p>
        </w:tc>
        <w:tc>
          <w:tcPr>
            <w:tcW w:w="1843" w:type="dxa"/>
          </w:tcPr>
          <w:p>
            <w:pPr>
              <w:pStyle w:val="105"/>
            </w:pPr>
            <w:r>
              <w:t>Note 1</w:t>
            </w:r>
          </w:p>
        </w:tc>
      </w:tr>
    </w:tbl>
    <w:p/>
    <w:p>
      <w:pPr>
        <w:pStyle w:val="113"/>
      </w:pPr>
      <w:r>
        <w:t>Table C.3.0-3a: MPDCCH Aggregation Level (in ECCE-s)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2"/>
        <w:gridCol w:w="1842"/>
        <w:gridCol w:w="18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4"/>
              <w:rPr>
                <w:lang w:eastAsia="zh-CN"/>
              </w:rPr>
            </w:pPr>
            <w:r>
              <w:rPr>
                <w:lang w:eastAsia="zh-CN"/>
              </w:rPr>
              <w:t>Bandwidth</w:t>
            </w:r>
          </w:p>
        </w:tc>
        <w:tc>
          <w:tcPr>
            <w:tcW w:w="1842" w:type="dxa"/>
          </w:tcPr>
          <w:p>
            <w:pPr>
              <w:pStyle w:val="104"/>
              <w:rPr>
                <w:lang w:eastAsia="zh-CN"/>
              </w:rPr>
            </w:pPr>
            <w:r>
              <w:rPr>
                <w:lang w:eastAsia="zh-CN"/>
              </w:rPr>
              <w:t>DCI for DL</w:t>
            </w:r>
            <w:r>
              <w:rPr>
                <w:lang w:eastAsia="zh-CN"/>
              </w:rPr>
              <w:br w:type="textWrapping"/>
            </w:r>
            <w:r>
              <w:rPr>
                <w:lang w:eastAsia="zh-CN"/>
              </w:rPr>
              <w:t>(C-RNTI)</w:t>
            </w:r>
          </w:p>
        </w:tc>
        <w:tc>
          <w:tcPr>
            <w:tcW w:w="1842" w:type="dxa"/>
          </w:tcPr>
          <w:p>
            <w:pPr>
              <w:pStyle w:val="104"/>
              <w:rPr>
                <w:lang w:eastAsia="zh-CN"/>
              </w:rPr>
            </w:pPr>
            <w:r>
              <w:rPr>
                <w:lang w:eastAsia="zh-CN"/>
              </w:rPr>
              <w:t>DCI for UL</w:t>
            </w:r>
            <w:r>
              <w:rPr>
                <w:lang w:eastAsia="zh-CN"/>
              </w:rPr>
              <w:br w:type="textWrapping"/>
            </w:r>
            <w:r>
              <w:rPr>
                <w:lang w:eastAsia="zh-CN"/>
              </w:rPr>
              <w:t>(C-RNTI)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3"/>
              <w:overflowPunct w:val="0"/>
              <w:autoSpaceDE w:val="0"/>
              <w:autoSpaceDN w:val="0"/>
              <w:adjustRightInd w:val="0"/>
              <w:textAlignment w:val="baseline"/>
            </w:pPr>
            <w:r>
              <w:t>1.4 MHz</w:t>
            </w:r>
          </w:p>
        </w:tc>
        <w:tc>
          <w:tcPr>
            <w:tcW w:w="1842" w:type="dxa"/>
          </w:tcPr>
          <w:p>
            <w:pPr>
              <w:pStyle w:val="105"/>
            </w:pPr>
            <w:r>
              <w:rPr>
                <w:lang w:eastAsia="ja-JP"/>
              </w:rPr>
              <w:t>2</w:t>
            </w:r>
          </w:p>
        </w:tc>
        <w:tc>
          <w:tcPr>
            <w:tcW w:w="1842" w:type="dxa"/>
          </w:tcPr>
          <w:p>
            <w:pPr>
              <w:pStyle w:val="105"/>
            </w:pPr>
            <w:r>
              <w:rPr>
                <w:lang w:eastAsia="ja-JP"/>
              </w:rPr>
              <w:t>4</w:t>
            </w:r>
          </w:p>
        </w:tc>
      </w:tr>
    </w:tbl>
    <w:p/>
    <w:p>
      <w:pPr>
        <w:pStyle w:val="4"/>
      </w:pPr>
      <w:bookmarkStart w:id="2011" w:name="_Toc232582149"/>
      <w:bookmarkStart w:id="2012" w:name="_Toc8211"/>
      <w:bookmarkStart w:id="2013" w:name="_Toc22569"/>
      <w:bookmarkStart w:id="2014" w:name="_Toc18374"/>
      <w:bookmarkStart w:id="2015" w:name="_Toc23576"/>
      <w:bookmarkStart w:id="2016" w:name="_Toc27045"/>
      <w:r>
        <w:t>C.3.1</w:t>
      </w:r>
      <w:r>
        <w:tab/>
      </w:r>
      <w:r>
        <w:t>Measurement of Receiver Characteristics</w:t>
      </w:r>
      <w:bookmarkEnd w:id="2011"/>
      <w:bookmarkEnd w:id="2012"/>
      <w:bookmarkEnd w:id="2013"/>
      <w:bookmarkEnd w:id="2014"/>
      <w:bookmarkEnd w:id="2015"/>
      <w:bookmarkEnd w:id="2016"/>
    </w:p>
    <w:p>
      <w:pPr>
        <w:rPr>
          <w:rFonts w:cs="v5.0.0"/>
          <w:lang w:val="en-US"/>
        </w:rPr>
      </w:pPr>
      <w:r>
        <w:rPr>
          <w:rFonts w:cs="v5.0.0"/>
          <w:lang w:val="en-US"/>
        </w:rPr>
        <w:t>Unless otherwise stated, Table B.3.1-1 is applicable for measurements on the Receiver Characteristics (clause 7).</w:t>
      </w:r>
    </w:p>
    <w:p>
      <w:pPr>
        <w:pStyle w:val="113"/>
        <w:rPr>
          <w:rFonts w:cs="v5.0.0"/>
          <w:lang w:val="en-US"/>
        </w:rPr>
      </w:pPr>
      <w:r>
        <w:rPr>
          <w:lang w:val="en-US"/>
        </w:rPr>
        <w:t>Table B.3.1-1: Downlink Physical Channels transmitted during a connection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18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4"/>
              <w:rPr>
                <w:rFonts w:cs="Arial"/>
                <w:lang w:val="en-US"/>
              </w:rPr>
            </w:pPr>
            <w:r>
              <w:rPr>
                <w:rFonts w:cs="Arial"/>
                <w:lang w:val="en-US"/>
              </w:rPr>
              <w:t>Physical Channel</w:t>
            </w:r>
          </w:p>
        </w:tc>
        <w:tc>
          <w:tcPr>
            <w:tcW w:w="1826" w:type="dxa"/>
          </w:tcPr>
          <w:p>
            <w:pPr>
              <w:pStyle w:val="104"/>
              <w:rPr>
                <w:rFonts w:cs="Arial"/>
                <w:lang w:val="en-US"/>
              </w:rPr>
            </w:pPr>
            <w:r>
              <w:rPr>
                <w:rFonts w:cs="Arial"/>
                <w:lang w:val="en-US"/>
              </w:rPr>
              <w:t>EPRE Ratio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Arial"/>
                <w:lang w:val="en-US"/>
              </w:rPr>
            </w:pPr>
            <w:r>
              <w:rPr>
                <w:rFonts w:cs="Arial"/>
                <w:lang w:val="en-US"/>
              </w:rPr>
              <w:t>PBCH</w:t>
            </w:r>
          </w:p>
        </w:tc>
        <w:tc>
          <w:tcPr>
            <w:tcW w:w="1826" w:type="dxa"/>
          </w:tcPr>
          <w:p>
            <w:pPr>
              <w:pStyle w:val="105"/>
              <w:rPr>
                <w:rFonts w:cs="Arial"/>
                <w:lang w:val="en-US"/>
              </w:rPr>
            </w:pPr>
            <w:r>
              <w:rPr>
                <w:rFonts w:cs="Arial"/>
                <w:lang w:val="en-US"/>
              </w:rPr>
              <w:t>PBCH_RA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Arial"/>
                <w:lang w:val="en-US"/>
              </w:rPr>
            </w:pPr>
          </w:p>
        </w:tc>
        <w:tc>
          <w:tcPr>
            <w:tcW w:w="1826" w:type="dxa"/>
          </w:tcPr>
          <w:p>
            <w:pPr>
              <w:pStyle w:val="105"/>
              <w:rPr>
                <w:rFonts w:cs="Arial"/>
                <w:lang w:val="en-US"/>
              </w:rPr>
            </w:pPr>
            <w:r>
              <w:rPr>
                <w:rFonts w:cs="Arial"/>
                <w:lang w:val="en-US"/>
              </w:rPr>
              <w:t>PBCH_RB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PSS</w:t>
            </w:r>
          </w:p>
        </w:tc>
        <w:tc>
          <w:tcPr>
            <w:tcW w:w="1826" w:type="dxa"/>
          </w:tcPr>
          <w:p>
            <w:pPr>
              <w:pStyle w:val="105"/>
              <w:rPr>
                <w:rFonts w:cs="Arial"/>
                <w:lang w:val="en-US"/>
              </w:rPr>
            </w:pPr>
            <w:r>
              <w:rPr>
                <w:rFonts w:cs="Arial"/>
                <w:lang w:val="en-US"/>
              </w:rPr>
              <w:t>PSS_RA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SSS</w:t>
            </w:r>
          </w:p>
        </w:tc>
        <w:tc>
          <w:tcPr>
            <w:tcW w:w="1826" w:type="dxa"/>
          </w:tcPr>
          <w:p>
            <w:pPr>
              <w:pStyle w:val="105"/>
              <w:rPr>
                <w:rFonts w:cs="Arial"/>
                <w:lang w:val="en-US"/>
              </w:rPr>
            </w:pPr>
            <w:r>
              <w:rPr>
                <w:rFonts w:cs="Arial"/>
                <w:lang w:val="en-US"/>
              </w:rPr>
              <w:t>SSS_RA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Arial"/>
                <w:szCs w:val="22"/>
                <w:lang w:val="en-US"/>
              </w:rPr>
            </w:pPr>
            <w:r>
              <w:rPr>
                <w:rFonts w:cs="Arial"/>
                <w:szCs w:val="22"/>
                <w:lang w:val="en-US"/>
              </w:rPr>
              <w:t>PDSCH</w:t>
            </w:r>
          </w:p>
        </w:tc>
        <w:tc>
          <w:tcPr>
            <w:tcW w:w="1826" w:type="dxa"/>
          </w:tcPr>
          <w:p>
            <w:pPr>
              <w:pStyle w:val="105"/>
              <w:rPr>
                <w:rFonts w:cs="Arial"/>
                <w:lang w:val="en-US"/>
              </w:rPr>
            </w:pPr>
            <w:r>
              <w:rPr>
                <w:rFonts w:cs="Arial"/>
                <w:lang w:val="en-US"/>
              </w:rPr>
              <w:t>PDSCH_RA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Arial"/>
                <w:szCs w:val="22"/>
                <w:lang w:val="en-US"/>
              </w:rPr>
            </w:pPr>
          </w:p>
        </w:tc>
        <w:tc>
          <w:tcPr>
            <w:tcW w:w="1826" w:type="dxa"/>
          </w:tcPr>
          <w:p>
            <w:pPr>
              <w:pStyle w:val="105"/>
              <w:rPr>
                <w:rFonts w:cs="Arial"/>
                <w:lang w:val="en-US"/>
              </w:rPr>
            </w:pPr>
            <w:r>
              <w:rPr>
                <w:rFonts w:cs="Arial"/>
                <w:lang w:val="en-US"/>
              </w:rPr>
              <w:t>PDSCH_RB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2494" w:type="dxa"/>
            <w:vMerge w:val="restart"/>
          </w:tcPr>
          <w:p>
            <w:pPr>
              <w:pStyle w:val="103"/>
              <w:rPr>
                <w:rFonts w:cs="Arial"/>
                <w:lang w:val="en-US"/>
              </w:rPr>
            </w:pPr>
            <w:r>
              <w:rPr>
                <w:rFonts w:cs="Arial"/>
                <w:lang w:val="en-US"/>
              </w:rPr>
              <w:t>OCNG</w:t>
            </w:r>
          </w:p>
        </w:tc>
        <w:tc>
          <w:tcPr>
            <w:tcW w:w="1826" w:type="dxa"/>
          </w:tcPr>
          <w:p>
            <w:pPr>
              <w:pStyle w:val="105"/>
              <w:rPr>
                <w:rFonts w:cs="Arial"/>
                <w:lang w:val="en-US"/>
              </w:rPr>
            </w:pPr>
            <w:r>
              <w:rPr>
                <w:rFonts w:cs="Arial"/>
                <w:lang w:val="en-US"/>
              </w:rPr>
              <w:t>OCNG_RA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2494" w:type="dxa"/>
            <w:vMerge w:val="continue"/>
          </w:tcPr>
          <w:p>
            <w:pPr>
              <w:pStyle w:val="103"/>
              <w:rPr>
                <w:rFonts w:cs="Arial"/>
                <w:lang w:val="en-US"/>
              </w:rPr>
            </w:pPr>
          </w:p>
        </w:tc>
        <w:tc>
          <w:tcPr>
            <w:tcW w:w="1826" w:type="dxa"/>
          </w:tcPr>
          <w:p>
            <w:pPr>
              <w:pStyle w:val="105"/>
              <w:rPr>
                <w:rFonts w:cs="Arial"/>
                <w:lang w:val="en-US"/>
              </w:rPr>
            </w:pPr>
            <w:r>
              <w:rPr>
                <w:rFonts w:cs="Arial"/>
                <w:lang w:val="en-US"/>
              </w:rPr>
              <w:t>OCNG_RB = 0 dB</w:t>
            </w:r>
          </w:p>
        </w:tc>
      </w:tr>
    </w:tbl>
    <w:p>
      <w:pPr>
        <w:rPr>
          <w:lang w:val="en-US"/>
        </w:rPr>
      </w:pPr>
    </w:p>
    <w:p>
      <w:pPr>
        <w:pStyle w:val="100"/>
        <w:rPr>
          <w:lang w:val="en-US"/>
        </w:rPr>
      </w:pPr>
      <w:r>
        <w:rPr>
          <w:lang w:val="en-US"/>
        </w:rPr>
        <w:t>NOTE 1:</w:t>
      </w:r>
      <w:r>
        <w:rPr>
          <w:rFonts w:cs="v5.0.0"/>
          <w:lang w:val="en-US"/>
        </w:rPr>
        <w:tab/>
      </w:r>
      <w:r>
        <w:rPr>
          <w:lang w:val="en-US"/>
        </w:rPr>
        <w:t>No boosting is applied.</w:t>
      </w:r>
    </w:p>
    <w:p>
      <w:pPr>
        <w:pStyle w:val="113"/>
        <w:rPr>
          <w:rFonts w:cs="v5.0.0"/>
          <w:lang w:val="en-US"/>
        </w:rPr>
      </w:pPr>
      <w:r>
        <w:rPr>
          <w:lang w:val="en-US"/>
        </w:rPr>
        <w:t>Table B.3.1-2: Power allocation for OFDM symbols and reference signals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684"/>
        <w:gridCol w:w="1684"/>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4"/>
              <w:rPr>
                <w:rFonts w:cs="Arial"/>
                <w:lang w:val="en-US"/>
              </w:rPr>
            </w:pPr>
            <w:r>
              <w:rPr>
                <w:rFonts w:cs="Arial"/>
                <w:lang w:val="en-US"/>
              </w:rPr>
              <w:t>Parameter</w:t>
            </w:r>
          </w:p>
        </w:tc>
        <w:tc>
          <w:tcPr>
            <w:tcW w:w="1684" w:type="dxa"/>
          </w:tcPr>
          <w:p>
            <w:pPr>
              <w:pStyle w:val="104"/>
              <w:rPr>
                <w:rFonts w:cs="Arial"/>
                <w:lang w:val="en-US"/>
              </w:rPr>
            </w:pPr>
            <w:r>
              <w:rPr>
                <w:rFonts w:cs="Arial"/>
                <w:lang w:val="en-US"/>
              </w:rPr>
              <w:t>Unit</w:t>
            </w:r>
          </w:p>
        </w:tc>
        <w:tc>
          <w:tcPr>
            <w:tcW w:w="1684" w:type="dxa"/>
          </w:tcPr>
          <w:p>
            <w:pPr>
              <w:pStyle w:val="104"/>
              <w:rPr>
                <w:rFonts w:cs="Arial"/>
                <w:lang w:val="en-US"/>
              </w:rPr>
            </w:pPr>
            <w:r>
              <w:rPr>
                <w:rFonts w:cs="Arial"/>
                <w:lang w:val="en-US"/>
              </w:rPr>
              <w:t>Value</w:t>
            </w:r>
          </w:p>
        </w:tc>
        <w:tc>
          <w:tcPr>
            <w:tcW w:w="1860" w:type="dxa"/>
          </w:tcPr>
          <w:p>
            <w:pPr>
              <w:pStyle w:val="104"/>
              <w:rPr>
                <w:rFonts w:cs="Arial"/>
                <w:lang w:val="en-US"/>
              </w:rPr>
            </w:pPr>
            <w:r>
              <w:rPr>
                <w:rFonts w:cs="Arial"/>
                <w:lang w:val="en-US"/>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Arial"/>
                <w:lang w:val="en-US"/>
              </w:rPr>
            </w:pPr>
            <w:r>
              <w:rPr>
                <w:rFonts w:cs="Arial"/>
                <w:lang w:val="en-US"/>
              </w:rPr>
              <w:t xml:space="preserve">Transmitted power spectral density </w:t>
            </w:r>
            <m:oMath>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p>
        </w:tc>
        <w:tc>
          <w:tcPr>
            <w:tcW w:w="1684" w:type="dxa"/>
          </w:tcPr>
          <w:p>
            <w:pPr>
              <w:pStyle w:val="105"/>
              <w:rPr>
                <w:rFonts w:cs="v5.0.0"/>
                <w:lang w:val="en-US"/>
              </w:rPr>
            </w:pPr>
            <w:r>
              <w:rPr>
                <w:rFonts w:cs="v5.0.0"/>
                <w:lang w:val="en-US"/>
              </w:rPr>
              <w:t>dBm/15 kHz</w:t>
            </w:r>
          </w:p>
        </w:tc>
        <w:tc>
          <w:tcPr>
            <w:tcW w:w="1684" w:type="dxa"/>
          </w:tcPr>
          <w:p>
            <w:pPr>
              <w:pStyle w:val="105"/>
              <w:rPr>
                <w:rFonts w:cs="v5.0.0"/>
                <w:lang w:val="en-US"/>
              </w:rPr>
            </w:pPr>
            <w:r>
              <w:rPr>
                <w:rFonts w:cs="v5.0.0"/>
                <w:lang w:val="en-US"/>
              </w:rPr>
              <w:t>Test specific</w:t>
            </w:r>
          </w:p>
        </w:tc>
        <w:tc>
          <w:tcPr>
            <w:tcW w:w="1860" w:type="dxa"/>
          </w:tcPr>
          <w:p>
            <w:pPr>
              <w:pStyle w:val="103"/>
              <w:rPr>
                <w:rFonts w:cs="Arial"/>
                <w:lang w:val="en-US"/>
              </w:rPr>
            </w:pPr>
            <w:r>
              <w:rPr>
                <w:rFonts w:cs="Arial"/>
                <w:lang w:val="en-US"/>
              </w:rPr>
              <w:t xml:space="preserve">1. </w:t>
            </w:r>
            <m:oMath>
              <m:sSub>
                <m:sSubPr>
                  <m:ctrlPr>
                    <w:rPr>
                      <w:rFonts w:ascii="Cambria Math" w:hAnsi="Cambria Math" w:cs="v5.0.0"/>
                      <w:i/>
                      <w:lang w:val="en-US"/>
                    </w:rPr>
                  </m:ctrlPr>
                </m:sSubPr>
                <m:e>
                  <m:r>
                    <m:rPr/>
                    <w:rPr>
                      <w:rFonts w:ascii="Cambria Math" w:hAnsi="Cambria Math" w:cs="v5.0.0"/>
                      <w:lang w:val="en-US"/>
                    </w:rPr>
                    <m:t>I</m:t>
                  </m:r>
                  <m:ctrlPr>
                    <w:rPr>
                      <w:rFonts w:ascii="Cambria Math" w:hAnsi="Cambria Math" w:cs="v5.0.0"/>
                      <w:i/>
                      <w:lang w:val="en-US"/>
                    </w:rPr>
                  </m:ctrlPr>
                </m:e>
                <m:sub>
                  <m:r>
                    <m:rPr/>
                    <w:rPr>
                      <w:rFonts w:ascii="Cambria Math" w:hAnsi="Cambria Math" w:cs="v5.0.0"/>
                      <w:lang w:val="en-US"/>
                    </w:rPr>
                    <m:t>or</m:t>
                  </m:r>
                  <m:ctrlPr>
                    <w:rPr>
                      <w:rFonts w:ascii="Cambria Math" w:hAnsi="Cambria Math" w:cs="v5.0.0"/>
                      <w:i/>
                      <w:lang w:val="en-US"/>
                    </w:rPr>
                  </m:ctrlPr>
                </m:sub>
              </m:sSub>
            </m:oMath>
            <w:r>
              <w:rPr>
                <w:rFonts w:cs="v5.0.0"/>
                <w:lang w:val="en-US"/>
              </w:rPr>
              <w:t xml:space="preserve"> shall be kept constant throughout all OFDM symbols</w:t>
            </w:r>
          </w:p>
          <w:p>
            <w:pPr>
              <w:pStyle w:val="105"/>
              <w:jc w:val="left"/>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2402" w:type="dxa"/>
          </w:tcPr>
          <w:p>
            <w:pPr>
              <w:pStyle w:val="103"/>
              <w:rPr>
                <w:rFonts w:cs="Arial"/>
                <w:lang w:val="en-US"/>
              </w:rPr>
            </w:pPr>
            <w:r>
              <w:rPr>
                <w:rFonts w:cs="Arial"/>
                <w:lang w:val="en-US"/>
              </w:rPr>
              <w:t xml:space="preserve">Cell-specific reference signal power ratio </w:t>
            </w:r>
            <m:oMath>
              <m:sSub>
                <m:sSubPr>
                  <m:ctrlPr>
                    <w:rPr>
                      <w:rFonts w:ascii="Cambria Math" w:hAnsi="Cambria Math" w:cs="Arial"/>
                      <w:i/>
                      <w:lang w:val="en-US"/>
                    </w:rPr>
                  </m:ctrlPr>
                </m:sSubPr>
                <m:e>
                  <m:r>
                    <m:rPr/>
                    <w:rPr>
                      <w:rFonts w:ascii="Cambria Math" w:hAnsi="Cambria Math" w:cs="Arial"/>
                      <w:lang w:val="en-US"/>
                    </w:rPr>
                    <m:t>E</m:t>
                  </m:r>
                  <m:ctrlPr>
                    <w:rPr>
                      <w:rFonts w:ascii="Cambria Math" w:hAnsi="Cambria Math" w:cs="Arial"/>
                      <w:i/>
                      <w:lang w:val="en-US"/>
                    </w:rPr>
                  </m:ctrlPr>
                </m:e>
                <m:sub>
                  <m:r>
                    <m:rPr/>
                    <w:rPr>
                      <w:rFonts w:ascii="Cambria Math" w:hAnsi="Cambria Math" w:cs="Arial"/>
                      <w:lang w:val="en-US"/>
                    </w:rPr>
                    <m:t>RS</m:t>
                  </m:r>
                  <m:ctrlPr>
                    <w:rPr>
                      <w:rFonts w:ascii="Cambria Math" w:hAnsi="Cambria Math" w:cs="Arial"/>
                      <w:i/>
                      <w:lang w:val="en-US"/>
                    </w:rPr>
                  </m:ctrlPr>
                </m:sub>
              </m:sSub>
              <m:r>
                <m:rPr/>
                <w:rPr>
                  <w:rFonts w:ascii="Cambria Math" w:hAnsi="Cambria Math" w:cs="Arial"/>
                  <w:lang w:val="en-US"/>
                </w:rPr>
                <m:t>/</m:t>
              </m:r>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p>
        </w:tc>
        <w:tc>
          <w:tcPr>
            <w:tcW w:w="1684" w:type="dxa"/>
          </w:tcPr>
          <w:p>
            <w:pPr>
              <w:pStyle w:val="105"/>
              <w:rPr>
                <w:rFonts w:cs="v5.0.0"/>
                <w:lang w:val="en-US"/>
              </w:rPr>
            </w:pPr>
          </w:p>
        </w:tc>
        <w:tc>
          <w:tcPr>
            <w:tcW w:w="1684" w:type="dxa"/>
          </w:tcPr>
          <w:p>
            <w:pPr>
              <w:pStyle w:val="105"/>
              <w:rPr>
                <w:rFonts w:cs="Arial"/>
                <w:lang w:val="en-US"/>
              </w:rPr>
            </w:pPr>
            <w:r>
              <w:rPr>
                <w:rFonts w:cs="v5.0.0"/>
                <w:lang w:val="en-US"/>
              </w:rPr>
              <w:t>0 dB</w:t>
            </w:r>
          </w:p>
        </w:tc>
        <w:tc>
          <w:tcPr>
            <w:tcW w:w="1860" w:type="dxa"/>
          </w:tcPr>
          <w:p>
            <w:pPr>
              <w:pStyle w:val="103"/>
              <w:rPr>
                <w:rFonts w:cs="Arial"/>
                <w:lang w:val="en-US"/>
              </w:rPr>
            </w:pPr>
          </w:p>
        </w:tc>
      </w:tr>
    </w:tbl>
    <w:p>
      <w:pPr>
        <w:rPr>
          <w:rFonts w:cs="v5.0.0"/>
        </w:rPr>
      </w:pPr>
    </w:p>
    <w:p>
      <w:pPr>
        <w:pStyle w:val="4"/>
      </w:pPr>
      <w:bookmarkStart w:id="2017" w:name="_Toc1286"/>
      <w:bookmarkStart w:id="2018" w:name="_Toc23137"/>
      <w:bookmarkStart w:id="2019" w:name="_Toc941"/>
      <w:bookmarkStart w:id="2020" w:name="_Toc12503"/>
      <w:bookmarkStart w:id="2021" w:name="_Toc14517"/>
      <w:bookmarkStart w:id="2022" w:name="_Toc232582150"/>
      <w:r>
        <w:t>C.3.2</w:t>
      </w:r>
      <w:r>
        <w:tab/>
      </w:r>
      <w:r>
        <w:t>Measurement of Performance requirements</w:t>
      </w:r>
      <w:bookmarkEnd w:id="2017"/>
      <w:bookmarkEnd w:id="2018"/>
      <w:bookmarkEnd w:id="2019"/>
      <w:bookmarkEnd w:id="2020"/>
      <w:bookmarkEnd w:id="2021"/>
      <w:bookmarkEnd w:id="2022"/>
    </w:p>
    <w:p>
      <w:r>
        <w:t>Table C.3.2-1 is applicable for measurements in which uniform RS-to-EPRE boosting for all downlink physical channels</w:t>
      </w:r>
      <w:r>
        <w:rPr>
          <w:rFonts w:hint="eastAsia" w:eastAsia="宋体"/>
          <w:lang w:val="en-US" w:eastAsia="zh-CN"/>
        </w:rPr>
        <w:t>, unless otherwise stated</w:t>
      </w:r>
      <w:r>
        <w:t>.</w:t>
      </w:r>
    </w:p>
    <w:p>
      <w:pPr>
        <w:pStyle w:val="113"/>
        <w:rPr>
          <w:rFonts w:cs="v5.0.0"/>
        </w:rPr>
      </w:pPr>
      <w:r>
        <w:t>Table C.3.2-1: Downlink Physical Channels transmitted during a connection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4"/>
        <w:gridCol w:w="2126"/>
        <w:gridCol w:w="1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4" w:type="dxa"/>
          </w:tcPr>
          <w:p>
            <w:pPr>
              <w:pStyle w:val="104"/>
              <w:rPr>
                <w:rFonts w:cs="Tahoma"/>
                <w:lang w:eastAsia="zh-CN"/>
              </w:rPr>
            </w:pPr>
            <w:r>
              <w:rPr>
                <w:rFonts w:cs="Tahoma"/>
                <w:lang w:eastAsia="zh-CN"/>
              </w:rPr>
              <w:t>Physical Channel</w:t>
            </w:r>
          </w:p>
        </w:tc>
        <w:tc>
          <w:tcPr>
            <w:tcW w:w="2126" w:type="dxa"/>
          </w:tcPr>
          <w:p>
            <w:pPr>
              <w:pStyle w:val="104"/>
              <w:rPr>
                <w:rFonts w:cs="Tahoma"/>
                <w:lang w:eastAsia="zh-CN"/>
              </w:rPr>
            </w:pPr>
            <w:r>
              <w:rPr>
                <w:rFonts w:cs="Tahoma"/>
                <w:lang w:eastAsia="zh-CN"/>
              </w:rPr>
              <w:t>EPRE Ratio</w:t>
            </w:r>
          </w:p>
        </w:tc>
        <w:tc>
          <w:tcPr>
            <w:tcW w:w="1627" w:type="dxa"/>
          </w:tcPr>
          <w:p>
            <w:pPr>
              <w:pStyle w:val="104"/>
              <w:rPr>
                <w:rFonts w:cs="Tahoma"/>
                <w:lang w:eastAsia="zh-CN"/>
              </w:rPr>
            </w:pPr>
            <w:r>
              <w:rPr>
                <w:rFonts w:cs="Tahoma"/>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restart"/>
          </w:tcPr>
          <w:p>
            <w:pPr>
              <w:pStyle w:val="103"/>
              <w:rPr>
                <w:rFonts w:cs="Tahoma"/>
                <w:szCs w:val="16"/>
              </w:rPr>
            </w:pPr>
            <w:r>
              <w:rPr>
                <w:rFonts w:cs="Tahoma"/>
                <w:szCs w:val="16"/>
              </w:rPr>
              <w:t>PBCH</w:t>
            </w:r>
          </w:p>
        </w:tc>
        <w:tc>
          <w:tcPr>
            <w:tcW w:w="2126" w:type="dxa"/>
          </w:tcPr>
          <w:p>
            <w:pPr>
              <w:pStyle w:val="105"/>
            </w:pPr>
            <w:r>
              <w:rPr>
                <w:rFonts w:cs="Tahoma"/>
              </w:rPr>
              <w:t xml:space="preserve">PBCH_RA = </w:t>
            </w:r>
            <w:r>
              <w:rPr>
                <w:rFonts w:ascii="Symbol" w:hAnsi="Symbol" w:cs="Tahoma"/>
              </w:rPr>
              <w:t></w:t>
            </w:r>
            <w:r>
              <w:rPr>
                <w:rFonts w:cs="Tahoma"/>
                <w:vertAlign w:val="subscript"/>
              </w:rPr>
              <w:t>A</w:t>
            </w:r>
            <w:r>
              <w:t xml:space="preserve"> + </w:t>
            </w:r>
            <w:r>
              <w:rPr>
                <w:rFonts w:ascii="Symbol" w:hAnsi="Symbol" w:cs="Arial"/>
              </w:rPr>
              <w:t></w:t>
            </w:r>
          </w:p>
        </w:tc>
        <w:tc>
          <w:tcPr>
            <w:tcW w:w="162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continue"/>
          </w:tcPr>
          <w:p>
            <w:pPr>
              <w:pStyle w:val="103"/>
              <w:rPr>
                <w:rFonts w:cs="Tahoma"/>
                <w:szCs w:val="16"/>
              </w:rPr>
            </w:pPr>
          </w:p>
        </w:tc>
        <w:tc>
          <w:tcPr>
            <w:tcW w:w="2126" w:type="dxa"/>
          </w:tcPr>
          <w:p>
            <w:pPr>
              <w:pStyle w:val="105"/>
              <w:rPr>
                <w:rFonts w:cs="Tahoma"/>
              </w:rPr>
            </w:pPr>
            <w:r>
              <w:rPr>
                <w:rFonts w:cs="Tahoma"/>
              </w:rPr>
              <w:t xml:space="preserve">PBCH_RB = </w:t>
            </w:r>
            <w:r>
              <w:rPr>
                <w:rFonts w:ascii="Symbol" w:hAnsi="Symbol" w:cs="Tahoma"/>
              </w:rPr>
              <w:t></w:t>
            </w:r>
            <w:r>
              <w:rPr>
                <w:rFonts w:cs="Tahoma"/>
                <w:vertAlign w:val="subscript"/>
              </w:rPr>
              <w:t>B</w:t>
            </w:r>
            <w:r>
              <w:t xml:space="preserve"> + </w:t>
            </w:r>
            <w:r>
              <w:rPr>
                <w:rFonts w:ascii="Symbol" w:hAnsi="Symbol" w:cs="Arial"/>
              </w:rPr>
              <w:t></w:t>
            </w:r>
          </w:p>
        </w:tc>
        <w:tc>
          <w:tcPr>
            <w:tcW w:w="162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4" w:type="dxa"/>
          </w:tcPr>
          <w:p>
            <w:pPr>
              <w:pStyle w:val="103"/>
              <w:rPr>
                <w:rFonts w:cs="Tahoma"/>
                <w:szCs w:val="16"/>
              </w:rPr>
            </w:pPr>
            <w:r>
              <w:rPr>
                <w:rFonts w:cs="Tahoma"/>
                <w:szCs w:val="16"/>
              </w:rPr>
              <w:t>PSS</w:t>
            </w:r>
          </w:p>
        </w:tc>
        <w:tc>
          <w:tcPr>
            <w:tcW w:w="2126" w:type="dxa"/>
          </w:tcPr>
          <w:p>
            <w:pPr>
              <w:pStyle w:val="105"/>
              <w:rPr>
                <w:rFonts w:cs="Tahoma"/>
              </w:rPr>
            </w:pPr>
            <w:r>
              <w:rPr>
                <w:rFonts w:cs="Tahoma"/>
              </w:rPr>
              <w:t xml:space="preserve">PSS_RA = 0 (Note </w:t>
            </w:r>
            <w:r>
              <w:rPr>
                <w:rFonts w:hint="eastAsia" w:eastAsia="宋体" w:cs="Tahoma"/>
                <w:lang w:val="en-US" w:eastAsia="zh-CN"/>
              </w:rPr>
              <w:t>3</w:t>
            </w:r>
            <w:r>
              <w:rPr>
                <w:rFonts w:cs="Tahoma"/>
              </w:rPr>
              <w:t>)</w:t>
            </w:r>
          </w:p>
        </w:tc>
        <w:tc>
          <w:tcPr>
            <w:tcW w:w="1627" w:type="dxa"/>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4" w:type="dxa"/>
          </w:tcPr>
          <w:p>
            <w:pPr>
              <w:pStyle w:val="103"/>
              <w:rPr>
                <w:rFonts w:cs="Tahoma"/>
                <w:szCs w:val="16"/>
              </w:rPr>
            </w:pPr>
            <w:r>
              <w:rPr>
                <w:rFonts w:cs="Tahoma"/>
                <w:szCs w:val="16"/>
              </w:rPr>
              <w:t>SSS</w:t>
            </w:r>
          </w:p>
        </w:tc>
        <w:tc>
          <w:tcPr>
            <w:tcW w:w="2126" w:type="dxa"/>
          </w:tcPr>
          <w:p>
            <w:pPr>
              <w:pStyle w:val="105"/>
              <w:rPr>
                <w:rFonts w:cs="Tahoma"/>
              </w:rPr>
            </w:pPr>
            <w:r>
              <w:rPr>
                <w:rFonts w:cs="Tahoma"/>
              </w:rPr>
              <w:t xml:space="preserve">SSS_RA = 0 (Note </w:t>
            </w:r>
            <w:r>
              <w:rPr>
                <w:rFonts w:hint="eastAsia" w:eastAsia="宋体" w:cs="Tahoma"/>
                <w:lang w:val="en-US" w:eastAsia="zh-CN"/>
              </w:rPr>
              <w:t>3</w:t>
            </w:r>
            <w:r>
              <w:rPr>
                <w:rFonts w:cs="Tahoma"/>
              </w:rPr>
              <w:t>)</w:t>
            </w:r>
          </w:p>
        </w:tc>
        <w:tc>
          <w:tcPr>
            <w:tcW w:w="1627" w:type="dxa"/>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restart"/>
          </w:tcPr>
          <w:p>
            <w:pPr>
              <w:pStyle w:val="103"/>
              <w:rPr>
                <w:rFonts w:cs="Tahoma"/>
                <w:szCs w:val="22"/>
              </w:rPr>
            </w:pPr>
            <w:r>
              <w:rPr>
                <w:rFonts w:cs="Tahoma"/>
                <w:szCs w:val="16"/>
                <w:lang w:eastAsia="zh-CN"/>
              </w:rPr>
              <w:t>MPDCCH</w:t>
            </w:r>
          </w:p>
        </w:tc>
        <w:tc>
          <w:tcPr>
            <w:tcW w:w="2126" w:type="dxa"/>
          </w:tcPr>
          <w:p>
            <w:pPr>
              <w:pStyle w:val="105"/>
              <w:rPr>
                <w:rFonts w:cs="Tahoma"/>
              </w:rPr>
            </w:pPr>
            <w:r>
              <w:t xml:space="preserve">MPDCCH_RA = </w:t>
            </w:r>
            <w:r>
              <w:rPr>
                <w:rFonts w:ascii="Symbol" w:hAnsi="Symbol"/>
              </w:rPr>
              <w:t></w:t>
            </w:r>
            <w:r>
              <w:rPr>
                <w:vertAlign w:val="subscript"/>
              </w:rPr>
              <w:t>A</w:t>
            </w:r>
            <w:r>
              <w:t>+</w:t>
            </w:r>
            <w:r>
              <w:rPr>
                <w:rFonts w:cs="Arial"/>
              </w:rPr>
              <w:t>δ</w:t>
            </w:r>
          </w:p>
        </w:tc>
        <w:tc>
          <w:tcPr>
            <w:tcW w:w="1627" w:type="dxa"/>
            <w:vMerge w:val="restart"/>
          </w:tcPr>
          <w:p>
            <w:pPr>
              <w:pStyle w:val="105"/>
              <w:rPr>
                <w:rFonts w:cs="Tahoma"/>
              </w:rPr>
            </w:pPr>
            <w:r>
              <w:t>Only required for UE category M1 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continue"/>
          </w:tcPr>
          <w:p>
            <w:pPr>
              <w:pStyle w:val="103"/>
              <w:rPr>
                <w:rFonts w:cs="Tahoma"/>
                <w:szCs w:val="22"/>
              </w:rPr>
            </w:pPr>
          </w:p>
        </w:tc>
        <w:tc>
          <w:tcPr>
            <w:tcW w:w="2126" w:type="dxa"/>
          </w:tcPr>
          <w:p>
            <w:pPr>
              <w:pStyle w:val="105"/>
              <w:rPr>
                <w:rFonts w:cs="Tahoma"/>
              </w:rPr>
            </w:pPr>
            <w:r>
              <w:t xml:space="preserve">MPDCCH_RB = </w:t>
            </w:r>
            <w:r>
              <w:rPr>
                <w:rFonts w:ascii="Symbol" w:hAnsi="Symbol"/>
              </w:rPr>
              <w:t></w:t>
            </w:r>
            <w:r>
              <w:rPr>
                <w:vertAlign w:val="subscript"/>
              </w:rPr>
              <w:t>B</w:t>
            </w:r>
            <w:r>
              <w:t>+</w:t>
            </w:r>
            <w:r>
              <w:rPr>
                <w:rFonts w:cs="Arial"/>
              </w:rPr>
              <w:t>δ</w:t>
            </w:r>
          </w:p>
        </w:tc>
        <w:tc>
          <w:tcPr>
            <w:tcW w:w="162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restart"/>
          </w:tcPr>
          <w:p>
            <w:pPr>
              <w:pStyle w:val="103"/>
              <w:rPr>
                <w:rFonts w:cs="Tahoma"/>
                <w:szCs w:val="22"/>
              </w:rPr>
            </w:pPr>
            <w:r>
              <w:rPr>
                <w:rFonts w:cs="Tahoma"/>
                <w:szCs w:val="22"/>
              </w:rPr>
              <w:t>PDSCH</w:t>
            </w:r>
          </w:p>
        </w:tc>
        <w:tc>
          <w:tcPr>
            <w:tcW w:w="2126" w:type="dxa"/>
          </w:tcPr>
          <w:p>
            <w:pPr>
              <w:pStyle w:val="105"/>
              <w:rPr>
                <w:rFonts w:cs="Tahoma"/>
              </w:rPr>
            </w:pPr>
            <w:r>
              <w:rPr>
                <w:rFonts w:cs="Tahoma"/>
              </w:rPr>
              <w:t xml:space="preserve">PDSCH_RA = </w:t>
            </w:r>
            <w:r>
              <w:rPr>
                <w:rFonts w:ascii="Symbol" w:hAnsi="Symbol" w:cs="Tahoma"/>
              </w:rPr>
              <w:t></w:t>
            </w:r>
            <w:r>
              <w:rPr>
                <w:rFonts w:cs="Tahoma"/>
                <w:vertAlign w:val="subscript"/>
              </w:rPr>
              <w:t>A</w:t>
            </w:r>
          </w:p>
        </w:tc>
        <w:tc>
          <w:tcPr>
            <w:tcW w:w="162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continue"/>
          </w:tcPr>
          <w:p>
            <w:pPr>
              <w:pStyle w:val="103"/>
              <w:rPr>
                <w:rFonts w:cs="Tahoma"/>
                <w:szCs w:val="22"/>
              </w:rPr>
            </w:pPr>
          </w:p>
        </w:tc>
        <w:tc>
          <w:tcPr>
            <w:tcW w:w="2126" w:type="dxa"/>
          </w:tcPr>
          <w:p>
            <w:pPr>
              <w:pStyle w:val="105"/>
              <w:rPr>
                <w:rFonts w:cs="Tahoma"/>
              </w:rPr>
            </w:pPr>
            <w:r>
              <w:rPr>
                <w:rFonts w:cs="Tahoma"/>
              </w:rPr>
              <w:t xml:space="preserve">PDSCH_RB = </w:t>
            </w:r>
            <w:r>
              <w:rPr>
                <w:rFonts w:ascii="Symbol" w:hAnsi="Symbol" w:cs="Tahoma"/>
              </w:rPr>
              <w:t></w:t>
            </w:r>
            <w:r>
              <w:rPr>
                <w:rFonts w:cs="Tahoma"/>
                <w:vertAlign w:val="subscript"/>
              </w:rPr>
              <w:t>B</w:t>
            </w:r>
          </w:p>
        </w:tc>
        <w:tc>
          <w:tcPr>
            <w:tcW w:w="162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jc w:val="center"/>
        </w:trPr>
        <w:tc>
          <w:tcPr>
            <w:tcW w:w="2334" w:type="dxa"/>
            <w:vMerge w:val="restart"/>
          </w:tcPr>
          <w:p>
            <w:pPr>
              <w:pStyle w:val="103"/>
              <w:rPr>
                <w:rFonts w:cs="Tahoma"/>
                <w:szCs w:val="16"/>
              </w:rPr>
            </w:pPr>
            <w:r>
              <w:rPr>
                <w:rFonts w:cs="Tahoma"/>
                <w:szCs w:val="16"/>
              </w:rPr>
              <w:t>OCNG</w:t>
            </w:r>
          </w:p>
        </w:tc>
        <w:tc>
          <w:tcPr>
            <w:tcW w:w="2126" w:type="dxa"/>
          </w:tcPr>
          <w:p>
            <w:pPr>
              <w:pStyle w:val="105"/>
              <w:rPr>
                <w:rFonts w:cs="Tahoma"/>
              </w:rPr>
            </w:pPr>
            <w:r>
              <w:rPr>
                <w:rFonts w:cs="Tahoma"/>
              </w:rPr>
              <w:t xml:space="preserve">OCNG_RA = </w:t>
            </w:r>
            <w:r>
              <w:rPr>
                <w:rFonts w:ascii="Symbol" w:hAnsi="Symbol" w:cs="Tahoma"/>
              </w:rPr>
              <w:t></w:t>
            </w:r>
            <w:r>
              <w:rPr>
                <w:rFonts w:cs="Tahoma"/>
                <w:vertAlign w:val="subscript"/>
              </w:rPr>
              <w:t>A</w:t>
            </w:r>
            <w:r>
              <w:t xml:space="preserve"> + </w:t>
            </w:r>
            <w:r>
              <w:rPr>
                <w:rFonts w:ascii="Symbol" w:hAnsi="Symbol" w:cs="Arial"/>
              </w:rPr>
              <w:t></w:t>
            </w:r>
          </w:p>
        </w:tc>
        <w:tc>
          <w:tcPr>
            <w:tcW w:w="162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jc w:val="center"/>
        </w:trPr>
        <w:tc>
          <w:tcPr>
            <w:tcW w:w="2334" w:type="dxa"/>
            <w:vMerge w:val="continue"/>
          </w:tcPr>
          <w:p>
            <w:pPr>
              <w:pStyle w:val="103"/>
              <w:rPr>
                <w:rFonts w:cs="Tahoma"/>
                <w:szCs w:val="16"/>
              </w:rPr>
            </w:pPr>
          </w:p>
        </w:tc>
        <w:tc>
          <w:tcPr>
            <w:tcW w:w="2126" w:type="dxa"/>
          </w:tcPr>
          <w:p>
            <w:pPr>
              <w:pStyle w:val="105"/>
              <w:rPr>
                <w:rFonts w:cs="Tahoma"/>
              </w:rPr>
            </w:pPr>
            <w:r>
              <w:rPr>
                <w:rFonts w:cs="Tahoma"/>
              </w:rPr>
              <w:t xml:space="preserve">OCNG_RB = </w:t>
            </w:r>
            <w:r>
              <w:rPr>
                <w:rFonts w:ascii="Symbol" w:hAnsi="Symbol" w:cs="Tahoma"/>
              </w:rPr>
              <w:t></w:t>
            </w:r>
            <w:r>
              <w:rPr>
                <w:rFonts w:cs="Tahoma"/>
                <w:vertAlign w:val="subscript"/>
              </w:rPr>
              <w:t>B</w:t>
            </w:r>
            <w:r>
              <w:t xml:space="preserve"> + </w:t>
            </w:r>
            <w:r>
              <w:rPr>
                <w:rFonts w:ascii="Symbol" w:hAnsi="Symbol" w:cs="Arial"/>
              </w:rPr>
              <w:t></w:t>
            </w:r>
          </w:p>
        </w:tc>
        <w:tc>
          <w:tcPr>
            <w:tcW w:w="1627" w:type="dxa"/>
            <w:vMerge w:val="continue"/>
          </w:tcPr>
          <w:p>
            <w:pPr>
              <w:pStyle w:val="105"/>
              <w:rPr>
                <w:rFonts w:cs="Tahoma"/>
              </w:rPr>
            </w:pPr>
          </w:p>
        </w:tc>
      </w:tr>
    </w:tbl>
    <w:p/>
    <w:p>
      <w:pPr>
        <w:pStyle w:val="100"/>
      </w:pPr>
      <w:r>
        <w:t xml:space="preserve">NOTE </w:t>
      </w:r>
      <w:r>
        <w:rPr>
          <w:rFonts w:hint="eastAsia" w:eastAsia="宋体"/>
          <w:lang w:val="en-US" w:eastAsia="zh-CN"/>
        </w:rPr>
        <w:t>1</w:t>
      </w:r>
      <w:r>
        <w:t>:</w:t>
      </w:r>
      <w:r>
        <w:tab/>
      </w:r>
      <w:r>
        <w:rPr>
          <w:rFonts w:ascii="Symbol" w:hAnsi="Symbol"/>
        </w:rPr>
        <w:t></w:t>
      </w:r>
      <w:r>
        <w:rPr>
          <w:vertAlign w:val="subscript"/>
        </w:rPr>
        <w:t>A</w:t>
      </w:r>
      <w:r>
        <w:t xml:space="preserve">= </w:t>
      </w:r>
      <w:r>
        <w:rPr>
          <w:rFonts w:ascii="Symbol" w:hAnsi="Symbol"/>
        </w:rPr>
        <w:t></w:t>
      </w:r>
      <w:r>
        <w:rPr>
          <w:vertAlign w:val="subscript"/>
        </w:rPr>
        <w:t>B</w:t>
      </w:r>
      <w:r>
        <w:t xml:space="preserve"> = 0 dB means no RS boosting.</w:t>
      </w:r>
    </w:p>
    <w:p>
      <w:pPr>
        <w:pStyle w:val="100"/>
      </w:pPr>
      <w:r>
        <w:t xml:space="preserve">NOTE </w:t>
      </w:r>
      <w:r>
        <w:rPr>
          <w:rFonts w:hint="eastAsia" w:eastAsia="宋体"/>
          <w:lang w:val="en-US" w:eastAsia="zh-CN"/>
        </w:rPr>
        <w:t>2</w:t>
      </w:r>
      <w:r>
        <w:t>:</w:t>
      </w:r>
      <w:r>
        <w:tab/>
      </w:r>
      <w:r>
        <w:t>OCNG are not defined downlink physical channels in [</w:t>
      </w:r>
      <w:r>
        <w:rPr>
          <w:rFonts w:hint="eastAsia" w:eastAsia="宋体"/>
          <w:lang w:val="en-US" w:eastAsia="zh-CN"/>
        </w:rPr>
        <w:t>4</w:t>
      </w:r>
      <w:r>
        <w:t>].</w:t>
      </w:r>
    </w:p>
    <w:p>
      <w:pPr>
        <w:pStyle w:val="100"/>
      </w:pPr>
      <w:r>
        <w:t xml:space="preserve">NOTE </w:t>
      </w:r>
      <w:r>
        <w:rPr>
          <w:rFonts w:hint="eastAsia" w:eastAsia="宋体"/>
          <w:lang w:val="en-US" w:eastAsia="zh-CN"/>
        </w:rPr>
        <w:t>3</w:t>
      </w:r>
      <w:r>
        <w:t>:</w:t>
      </w:r>
      <w:r>
        <w:tab/>
      </w:r>
      <w:r>
        <w:t>Assuming PSS and SSS transmitted on a single antenna port.</w:t>
      </w:r>
    </w:p>
    <w:p>
      <w:pPr>
        <w:pStyle w:val="100"/>
      </w:pPr>
      <w:r>
        <w:t xml:space="preserve">NOTE </w:t>
      </w:r>
      <w:r>
        <w:rPr>
          <w:rFonts w:hint="eastAsia" w:eastAsia="宋体"/>
          <w:lang w:val="en-US" w:eastAsia="zh-CN"/>
        </w:rPr>
        <w:t>4</w:t>
      </w:r>
      <w:r>
        <w:t xml:space="preserve">: </w:t>
      </w:r>
      <w:r>
        <w:rPr>
          <w:rFonts w:ascii="Symbol" w:hAnsi="Symbol"/>
          <w:lang w:val="en-US"/>
        </w:rPr>
        <w:t></w:t>
      </w:r>
      <w:r>
        <w:rPr>
          <w:vertAlign w:val="subscript"/>
          <w:lang w:val="en-US"/>
        </w:rPr>
        <w:t>A</w:t>
      </w:r>
      <w:r>
        <w:rPr>
          <w:lang w:val="en-US"/>
        </w:rPr>
        <w:t xml:space="preserve">, </w:t>
      </w:r>
      <w:r>
        <w:rPr>
          <w:rFonts w:ascii="Symbol" w:hAnsi="Symbol"/>
          <w:lang w:val="en-US"/>
        </w:rPr>
        <w:t></w:t>
      </w:r>
      <w:r>
        <w:rPr>
          <w:vertAlign w:val="subscript"/>
          <w:lang w:val="en-US"/>
        </w:rPr>
        <w:t>B</w:t>
      </w:r>
      <w:r>
        <w:rPr>
          <w:vertAlign w:val="subscript"/>
          <w:lang w:val="en-US" w:eastAsia="zh-CN"/>
        </w:rPr>
        <w:t>,</w:t>
      </w:r>
      <w:r>
        <w:rPr>
          <w:lang w:val="en-US"/>
        </w:rPr>
        <w:t xml:space="preserve"> </w:t>
      </w:r>
      <w:r>
        <w:rPr>
          <w:lang w:val="en-US"/>
        </w:rPr>
        <w:sym w:font="Symbol" w:char="F073"/>
      </w:r>
      <w:r>
        <w:rPr>
          <w:lang w:val="en-US" w:eastAsia="zh-CN"/>
        </w:rPr>
        <w:t xml:space="preserve">, and </w:t>
      </w:r>
      <w:r>
        <w:rPr>
          <w:rFonts w:ascii="Arial" w:hAnsi="Arial" w:cs="Arial"/>
          <w:sz w:val="18"/>
          <w:lang w:val="en-US" w:eastAsia="zh-CN"/>
        </w:rPr>
        <w:t>δ</w:t>
      </w:r>
      <w:r>
        <w:rPr>
          <w:lang w:val="en-US"/>
        </w:rPr>
        <w:t xml:space="preserve"> are test specific</w:t>
      </w:r>
      <w:r>
        <w:t>.</w:t>
      </w:r>
    </w:p>
    <w:p>
      <w:pPr>
        <w:pStyle w:val="113"/>
        <w:rPr>
          <w:rFonts w:cs="v5.0.0"/>
        </w:rPr>
      </w:pPr>
      <w:r>
        <w:t>Table C.3.2-2: Power allocation for OFDM symbols and reference signals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388"/>
        <w:gridCol w:w="1559"/>
        <w:gridCol w:w="22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4"/>
              <w:rPr>
                <w:rFonts w:cs="Tahoma"/>
                <w:lang w:eastAsia="zh-CN"/>
              </w:rPr>
            </w:pPr>
            <w:r>
              <w:rPr>
                <w:rFonts w:cs="Tahoma"/>
                <w:lang w:eastAsia="zh-CN"/>
              </w:rPr>
              <w:t>Parameter</w:t>
            </w:r>
          </w:p>
        </w:tc>
        <w:tc>
          <w:tcPr>
            <w:tcW w:w="1388" w:type="dxa"/>
          </w:tcPr>
          <w:p>
            <w:pPr>
              <w:pStyle w:val="104"/>
              <w:rPr>
                <w:rFonts w:cs="Tahoma"/>
                <w:lang w:eastAsia="zh-CN"/>
              </w:rPr>
            </w:pPr>
            <w:r>
              <w:rPr>
                <w:rFonts w:cs="Tahoma"/>
                <w:lang w:eastAsia="zh-CN"/>
              </w:rPr>
              <w:t>Unit</w:t>
            </w:r>
          </w:p>
        </w:tc>
        <w:tc>
          <w:tcPr>
            <w:tcW w:w="1559" w:type="dxa"/>
          </w:tcPr>
          <w:p>
            <w:pPr>
              <w:pStyle w:val="104"/>
              <w:rPr>
                <w:rFonts w:cs="Tahoma"/>
                <w:lang w:eastAsia="zh-CN"/>
              </w:rPr>
            </w:pPr>
            <w:r>
              <w:rPr>
                <w:rFonts w:cs="Tahoma"/>
                <w:lang w:eastAsia="zh-CN"/>
              </w:rPr>
              <w:t>Value</w:t>
            </w:r>
          </w:p>
        </w:tc>
        <w:tc>
          <w:tcPr>
            <w:tcW w:w="2229" w:type="dxa"/>
          </w:tcPr>
          <w:p>
            <w:pPr>
              <w:pStyle w:val="104"/>
              <w:rPr>
                <w:rFonts w:cs="Tahoma"/>
                <w:lang w:eastAsia="zh-CN"/>
              </w:rPr>
            </w:pPr>
            <w:r>
              <w:rPr>
                <w:rFonts w:cs="Tahoma"/>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 xml:space="preserve">Total transmitted power spectral density </w:t>
            </w:r>
            <w:r>
              <w:rPr>
                <w:rFonts w:cs="v5.0.0"/>
                <w:position w:val="-12"/>
                <w:szCs w:val="16"/>
              </w:rPr>
              <w:object>
                <v:shape id="_x0000_i1121" o:spt="75" type="#_x0000_t75" style="height:17.4pt;width:15pt;" o:ole="t" filled="f" o:preferrelative="t" stroked="f" coordsize="21600,21600">
                  <v:path/>
                  <v:fill on="f" focussize="0,0"/>
                  <v:stroke on="f" joinstyle="miter"/>
                  <v:imagedata r:id="rId173" o:title=""/>
                  <o:lock v:ext="edit" aspectratio="t"/>
                  <w10:wrap type="none"/>
                  <w10:anchorlock/>
                </v:shape>
                <o:OLEObject Type="Embed" ProgID="Equation.3" ShapeID="_x0000_i1121" DrawAspect="Content" ObjectID="_1468075821" r:id="rId177">
                  <o:LockedField>false</o:LockedField>
                </o:OLEObject>
              </w:object>
            </w:r>
          </w:p>
        </w:tc>
        <w:tc>
          <w:tcPr>
            <w:tcW w:w="1388" w:type="dxa"/>
          </w:tcPr>
          <w:p>
            <w:pPr>
              <w:pStyle w:val="105"/>
              <w:rPr>
                <w:rFonts w:cs="Tahoma"/>
              </w:rPr>
            </w:pPr>
            <w:r>
              <w:rPr>
                <w:rFonts w:cs="Tahoma"/>
              </w:rPr>
              <w:t>dBm/15 kHz</w:t>
            </w:r>
          </w:p>
        </w:tc>
        <w:tc>
          <w:tcPr>
            <w:tcW w:w="1559" w:type="dxa"/>
          </w:tcPr>
          <w:p>
            <w:pPr>
              <w:pStyle w:val="105"/>
              <w:rPr>
                <w:rFonts w:cs="Tahoma"/>
              </w:rPr>
            </w:pPr>
            <w:r>
              <w:rPr>
                <w:rFonts w:cs="Tahoma"/>
              </w:rPr>
              <w:t>Test specific</w:t>
            </w:r>
          </w:p>
        </w:tc>
        <w:tc>
          <w:tcPr>
            <w:tcW w:w="2229" w:type="dxa"/>
          </w:tcPr>
          <w:p>
            <w:pPr>
              <w:pStyle w:val="103"/>
              <w:rPr>
                <w:rFonts w:cs="Tahoma"/>
                <w:szCs w:val="16"/>
              </w:rPr>
            </w:pPr>
            <w:r>
              <w:rPr>
                <w:rFonts w:cs="Tahoma"/>
                <w:szCs w:val="16"/>
              </w:rPr>
              <w:t xml:space="preserve">1. </w:t>
            </w:r>
            <w:r>
              <w:rPr>
                <w:rFonts w:cs="v5.0.0"/>
                <w:position w:val="-12"/>
                <w:szCs w:val="16"/>
              </w:rPr>
              <w:object>
                <v:shape id="_x0000_i1122" o:spt="75" type="#_x0000_t75" style="height:17.4pt;width:15pt;" o:ole="t" filled="f" o:preferrelative="t" stroked="f" coordsize="21600,21600">
                  <v:path/>
                  <v:fill on="f" focussize="0,0"/>
                  <v:stroke on="f" joinstyle="miter"/>
                  <v:imagedata r:id="rId173" o:title=""/>
                  <o:lock v:ext="edit" aspectratio="t"/>
                  <w10:wrap type="none"/>
                  <w10:anchorlock/>
                </v:shape>
                <o:OLEObject Type="Embed" ProgID="Equation.3" ShapeID="_x0000_i1122" DrawAspect="Content" ObjectID="_1468075822" r:id="rId178">
                  <o:LockedField>false</o:LockedField>
                </o:OLEObject>
              </w:object>
            </w:r>
            <w:r>
              <w:rPr>
                <w:rFonts w:cs="v5.0.0"/>
                <w:szCs w:val="16"/>
              </w:rPr>
              <w:t>shall be kept constant throughout all OFDM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Cell-specific reference signal power ratio</w:t>
            </w:r>
            <w:r>
              <w:rPr>
                <w:rFonts w:cs="v5.0.0"/>
                <w:position w:val="-12"/>
                <w:szCs w:val="16"/>
              </w:rPr>
              <w:object>
                <v:shape id="_x0000_i1123" o:spt="75" type="#_x0000_t75" style="height:17.4pt;width:39pt;" o:ole="t" filled="f" o:preferrelative="t" stroked="f" coordsize="21600,21600">
                  <v:path/>
                  <v:fill on="f" focussize="0,0"/>
                  <v:stroke on="f" joinstyle="miter"/>
                  <v:imagedata r:id="rId176" o:title=""/>
                  <o:lock v:ext="edit" aspectratio="t"/>
                  <w10:wrap type="none"/>
                  <w10:anchorlock/>
                </v:shape>
                <o:OLEObject Type="Embed" ProgID="Equation.3" ShapeID="_x0000_i1123" DrawAspect="Content" ObjectID="_1468075823" r:id="rId179">
                  <o:LockedField>false</o:LockedField>
                </o:OLEObject>
              </w:object>
            </w:r>
          </w:p>
        </w:tc>
        <w:tc>
          <w:tcPr>
            <w:tcW w:w="1388" w:type="dxa"/>
          </w:tcPr>
          <w:p>
            <w:pPr>
              <w:pStyle w:val="105"/>
              <w:rPr>
                <w:rFonts w:cs="Tahoma"/>
              </w:rPr>
            </w:pPr>
          </w:p>
        </w:tc>
        <w:tc>
          <w:tcPr>
            <w:tcW w:w="1559" w:type="dxa"/>
          </w:tcPr>
          <w:p>
            <w:pPr>
              <w:pStyle w:val="105"/>
              <w:rPr>
                <w:rFonts w:cs="Tahoma"/>
              </w:rPr>
            </w:pPr>
            <w:r>
              <w:rPr>
                <w:rFonts w:cs="Tahoma"/>
              </w:rPr>
              <w:t>Test specific</w:t>
            </w:r>
          </w:p>
        </w:tc>
        <w:tc>
          <w:tcPr>
            <w:tcW w:w="2229" w:type="dxa"/>
          </w:tcPr>
          <w:p>
            <w:pPr>
              <w:pStyle w:val="103"/>
              <w:rPr>
                <w:rFonts w:cs="Tahoma"/>
                <w:szCs w:val="16"/>
              </w:rPr>
            </w:pPr>
            <w:r>
              <w:rPr>
                <w:rFonts w:cs="Tahoma"/>
                <w:szCs w:val="16"/>
              </w:rPr>
              <w:t xml:space="preserve">1. </w:t>
            </w:r>
            <w:r>
              <w:rPr>
                <w:rFonts w:cs="v5.0.0"/>
                <w:szCs w:val="16"/>
              </w:rPr>
              <w:t xml:space="preserve">Applies for antenna port </w:t>
            </w:r>
            <w:r>
              <w:rPr>
                <w:rFonts w:cs="v5.0.0"/>
                <w:i/>
                <w:iCs/>
                <w:szCs w:val="16"/>
              </w:rPr>
              <w: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Energy per resource element EPRE</w:t>
            </w:r>
          </w:p>
        </w:tc>
        <w:tc>
          <w:tcPr>
            <w:tcW w:w="1388" w:type="dxa"/>
          </w:tcPr>
          <w:p>
            <w:pPr>
              <w:pStyle w:val="105"/>
              <w:rPr>
                <w:rFonts w:cs="Tahoma"/>
              </w:rPr>
            </w:pPr>
          </w:p>
        </w:tc>
        <w:tc>
          <w:tcPr>
            <w:tcW w:w="1559" w:type="dxa"/>
          </w:tcPr>
          <w:p>
            <w:pPr>
              <w:pStyle w:val="105"/>
              <w:rPr>
                <w:rFonts w:cs="Tahoma"/>
              </w:rPr>
            </w:pPr>
            <w:r>
              <w:rPr>
                <w:rFonts w:cs="Tahoma"/>
              </w:rPr>
              <w:t>Test specific</w:t>
            </w:r>
          </w:p>
        </w:tc>
        <w:tc>
          <w:tcPr>
            <w:tcW w:w="2229" w:type="dxa"/>
          </w:tcPr>
          <w:p>
            <w:pPr>
              <w:pStyle w:val="103"/>
              <w:rPr>
                <w:rFonts w:cs="Tahoma"/>
                <w:szCs w:val="16"/>
              </w:rPr>
            </w:pPr>
            <w:r>
              <w:rPr>
                <w:rFonts w:cs="Tahoma"/>
                <w:szCs w:val="16"/>
              </w:rPr>
              <w:t xml:space="preserve">1. The complex-valued symbols </w:t>
            </w:r>
            <w:r>
              <w:rPr>
                <w:position w:val="-10"/>
              </w:rPr>
              <w:object>
                <v:shape id="_x0000_i1124" o:spt="75" type="#_x0000_t75" style="height:14.4pt;width:28.2pt;" o:ole="t" filled="f" o:preferrelative="t" stroked="f" coordsize="21600,21600">
                  <v:path/>
                  <v:fill on="f" focussize="0,0"/>
                  <v:stroke on="f" joinstyle="miter"/>
                  <v:imagedata r:id="rId181" o:title=""/>
                  <o:lock v:ext="edit" aspectratio="t"/>
                  <w10:wrap type="none"/>
                  <w10:anchorlock/>
                </v:shape>
                <o:OLEObject Type="Embed" ProgID="Equation.3" ShapeID="_x0000_i1124" DrawAspect="Content" ObjectID="_1468075824" r:id="rId180">
                  <o:LockedField>false</o:LockedField>
                </o:OLEObject>
              </w:object>
            </w:r>
            <w:r>
              <w:rPr>
                <w:rFonts w:cs="Tahoma"/>
                <w:szCs w:val="16"/>
              </w:rPr>
              <w:t xml:space="preserve"> and </w:t>
            </w:r>
            <w:r>
              <w:rPr>
                <w:position w:val="-14"/>
                <w:sz w:val="20"/>
              </w:rPr>
              <w:object>
                <v:shape id="_x0000_i1125" o:spt="75" type="#_x0000_t75" style="height:19.2pt;width:20.4pt;" o:ole="t" filled="f" o:preferrelative="t" stroked="f" coordsize="21600,21600">
                  <v:path/>
                  <v:fill on="f" focussize="0,0"/>
                  <v:stroke on="f" joinstyle="miter"/>
                  <v:imagedata r:id="rId183" o:title=""/>
                  <o:lock v:ext="edit" aspectratio="t"/>
                  <w10:wrap type="none"/>
                  <w10:anchorlock/>
                </v:shape>
                <o:OLEObject Type="Embed" ProgID="Equation.3" ShapeID="_x0000_i1125" DrawAspect="Content" ObjectID="_1468075825" r:id="rId182">
                  <o:LockedField>false</o:LockedField>
                </o:OLEObject>
              </w:object>
            </w:r>
            <w:r>
              <w:rPr>
                <w:sz w:val="20"/>
              </w:rPr>
              <w:t xml:space="preserve"> </w:t>
            </w:r>
            <w:r>
              <w:rPr>
                <w:rFonts w:cs="Tahoma"/>
                <w:szCs w:val="16"/>
              </w:rPr>
              <w:t xml:space="preserve">defined in </w:t>
            </w:r>
            <w:r>
              <w:rPr>
                <w:rFonts w:eastAsia="宋体" w:cs="Tahoma"/>
                <w:szCs w:val="16"/>
                <w:lang w:val="en-US" w:eastAsia="zh-CN"/>
              </w:rPr>
              <w:t xml:space="preserve">TS 36.211 </w:t>
            </w:r>
            <w:r>
              <w:rPr>
                <w:rFonts w:cs="Tahoma"/>
                <w:szCs w:val="16"/>
              </w:rPr>
              <w:t>[</w:t>
            </w:r>
            <w:r>
              <w:rPr>
                <w:rFonts w:eastAsia="宋体" w:cs="Tahoma"/>
                <w:szCs w:val="16"/>
                <w:lang w:val="en-US" w:eastAsia="zh-CN"/>
              </w:rPr>
              <w:t>3</w:t>
            </w:r>
            <w:r>
              <w:rPr>
                <w:rFonts w:cs="Tahoma"/>
                <w:szCs w:val="16"/>
              </w:rPr>
              <w:t>] shall conform to the given EPRE value.</w:t>
            </w:r>
          </w:p>
        </w:tc>
      </w:tr>
    </w:tbl>
    <w:p>
      <w:pPr>
        <w:pStyle w:val="108"/>
      </w:pPr>
    </w:p>
    <w:p>
      <w:pPr>
        <w:pStyle w:val="113"/>
      </w:pPr>
      <w:r>
        <w:t>Table C.3.2-3: MPDCCH Aggregation Level (in ECCE-s) for PDSCH demodulation tests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2"/>
        <w:gridCol w:w="1842"/>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842" w:type="dxa"/>
          </w:tcPr>
          <w:p>
            <w:pPr>
              <w:pStyle w:val="104"/>
              <w:rPr>
                <w:lang w:eastAsia="zh-CN"/>
              </w:rPr>
            </w:pPr>
            <w:r>
              <w:rPr>
                <w:lang w:eastAsia="zh-CN"/>
              </w:rPr>
              <w:t>Bandwidth</w:t>
            </w:r>
          </w:p>
        </w:tc>
        <w:tc>
          <w:tcPr>
            <w:tcW w:w="1842" w:type="dxa"/>
          </w:tcPr>
          <w:p>
            <w:pPr>
              <w:pStyle w:val="104"/>
              <w:rPr>
                <w:lang w:eastAsia="zh-CN"/>
              </w:rPr>
            </w:pPr>
            <w:r>
              <w:rPr>
                <w:lang w:eastAsia="zh-CN"/>
              </w:rPr>
              <w:t>DCI for DL</w:t>
            </w:r>
            <w:r>
              <w:rPr>
                <w:lang w:eastAsia="zh-CN"/>
              </w:rPr>
              <w:br w:type="textWrapping"/>
            </w:r>
            <w:r>
              <w:rPr>
                <w:lang w:eastAsia="zh-CN"/>
              </w:rPr>
              <w:t>(C-RNTI)</w:t>
            </w:r>
          </w:p>
        </w:tc>
        <w:tc>
          <w:tcPr>
            <w:tcW w:w="1843" w:type="dxa"/>
          </w:tcPr>
          <w:p>
            <w:pPr>
              <w:pStyle w:val="104"/>
              <w:rPr>
                <w:lang w:eastAsia="zh-CN"/>
              </w:rPr>
            </w:pPr>
            <w:r>
              <w:rPr>
                <w:lang w:eastAsia="zh-CN"/>
              </w:rPr>
              <w:t>DCI for UL</w:t>
            </w:r>
            <w:r>
              <w:rPr>
                <w:lang w:eastAsia="zh-CN"/>
              </w:rPr>
              <w:br w:type="textWrapping"/>
            </w:r>
            <w:r>
              <w:rPr>
                <w:lang w:eastAsia="zh-CN"/>
              </w:rPr>
              <w:t>(C-RNTI)</w:t>
            </w:r>
          </w:p>
        </w:tc>
        <w:tc>
          <w:tcPr>
            <w:tcW w:w="1843" w:type="dxa"/>
          </w:tcPr>
          <w:p>
            <w:pPr>
              <w:pStyle w:val="104"/>
              <w:rPr>
                <w:lang w:eastAsia="zh-CN"/>
              </w:rPr>
            </w:pPr>
            <w:r>
              <w:rPr>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3"/>
              <w:overflowPunct w:val="0"/>
              <w:autoSpaceDE w:val="0"/>
              <w:autoSpaceDN w:val="0"/>
              <w:adjustRightInd w:val="0"/>
              <w:textAlignment w:val="baseline"/>
            </w:pPr>
            <w:r>
              <w:t>1.4 MHz</w:t>
            </w:r>
          </w:p>
        </w:tc>
        <w:tc>
          <w:tcPr>
            <w:tcW w:w="1842" w:type="dxa"/>
          </w:tcPr>
          <w:p>
            <w:pPr>
              <w:pStyle w:val="105"/>
            </w:pPr>
            <w:r>
              <w:t>16</w:t>
            </w:r>
          </w:p>
        </w:tc>
        <w:tc>
          <w:tcPr>
            <w:tcW w:w="1843" w:type="dxa"/>
          </w:tcPr>
          <w:p>
            <w:pPr>
              <w:pStyle w:val="105"/>
            </w:pPr>
            <w:r>
              <w:t>16</w:t>
            </w:r>
          </w:p>
        </w:tc>
        <w:tc>
          <w:tcPr>
            <w:tcW w:w="1843" w:type="dxa"/>
          </w:tcPr>
          <w:p>
            <w:pPr>
              <w:pStyle w:val="105"/>
            </w:pPr>
            <w:r>
              <w:t>Note 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70" w:type="dxa"/>
            <w:gridSpan w:val="4"/>
          </w:tcPr>
          <w:p>
            <w:pPr>
              <w:pStyle w:val="118"/>
            </w:pPr>
            <w:r>
              <w:t>Note 1:</w:t>
            </w:r>
            <w:r>
              <w:tab/>
            </w:r>
            <w:r>
              <w:t>No DL data allocated on subframe 5</w:t>
            </w:r>
          </w:p>
          <w:p>
            <w:pPr>
              <w:pStyle w:val="118"/>
            </w:pPr>
            <w:r>
              <w:t xml:space="preserve">Note </w:t>
            </w:r>
            <w:r>
              <w:rPr>
                <w:rFonts w:hint="eastAsia" w:eastAsia="宋体"/>
                <w:lang w:val="en-US" w:eastAsia="zh-CN"/>
              </w:rPr>
              <w:t>2</w:t>
            </w:r>
            <w:r>
              <w:t>:</w:t>
            </w:r>
            <w:r>
              <w:tab/>
            </w:r>
            <w:r>
              <w:t>For using 2PRB for MPDCCH, aggregation level 2 and 4 are used to transmit DCI for DL(C-RNTI) and UL(C-RNTI), respectively.</w:t>
            </w:r>
          </w:p>
        </w:tc>
      </w:tr>
    </w:tbl>
    <w:p/>
    <w:p>
      <w:pPr>
        <w:pStyle w:val="4"/>
        <w:rPr>
          <w:lang w:val="en-US"/>
        </w:rPr>
      </w:pPr>
      <w:bookmarkStart w:id="2023" w:name="_Toc13117"/>
      <w:bookmarkStart w:id="2024" w:name="_Toc29662"/>
      <w:bookmarkStart w:id="2025" w:name="_Toc19375"/>
      <w:bookmarkStart w:id="2026" w:name="_Toc13677"/>
      <w:bookmarkStart w:id="2027" w:name="_Toc137401362"/>
      <w:bookmarkStart w:id="2028" w:name="_Toc137386476"/>
      <w:bookmarkStart w:id="2029" w:name="_Toc138894886"/>
      <w:bookmarkStart w:id="2030" w:name="_Toc11582"/>
      <w:r>
        <w:rPr>
          <w:rFonts w:eastAsia="宋体"/>
          <w:lang w:val="en-US" w:eastAsia="zh-CN"/>
        </w:rPr>
        <w:t>C</w:t>
      </w:r>
      <w:r>
        <w:rPr>
          <w:lang w:val="en-US"/>
        </w:rPr>
        <w:t>.3.3</w:t>
      </w:r>
      <w:r>
        <w:rPr>
          <w:lang w:val="en-US"/>
        </w:rPr>
        <w:tab/>
      </w:r>
      <w:r>
        <w:rPr>
          <w:lang w:val="en-US"/>
        </w:rPr>
        <w:t>Measurement of Receiver Characteristics for Narrowband IoT</w:t>
      </w:r>
      <w:bookmarkEnd w:id="2023"/>
      <w:bookmarkEnd w:id="2024"/>
      <w:bookmarkEnd w:id="2025"/>
      <w:bookmarkEnd w:id="2026"/>
      <w:bookmarkEnd w:id="2027"/>
      <w:bookmarkEnd w:id="2028"/>
      <w:bookmarkEnd w:id="2029"/>
      <w:bookmarkEnd w:id="2030"/>
    </w:p>
    <w:p>
      <w:pPr>
        <w:rPr>
          <w:lang w:val="en-US"/>
        </w:rPr>
      </w:pPr>
      <w:r>
        <w:rPr>
          <w:lang w:val="en-US"/>
        </w:rPr>
        <w:t xml:space="preserve">For the performance requirements for Narrowband IoT, the power allocation for the physical channels is listed in Table </w:t>
      </w:r>
      <w:r>
        <w:rPr>
          <w:rFonts w:eastAsia="宋体"/>
          <w:lang w:val="en-US" w:eastAsia="zh-CN"/>
        </w:rPr>
        <w:t>C</w:t>
      </w:r>
      <w:r>
        <w:rPr>
          <w:lang w:val="en-US"/>
        </w:rPr>
        <w:t>.3.</w:t>
      </w:r>
      <w:r>
        <w:rPr>
          <w:rFonts w:eastAsia="宋体"/>
          <w:lang w:val="en-US" w:eastAsia="zh-CN"/>
        </w:rPr>
        <w:t>3</w:t>
      </w:r>
      <w:r>
        <w:rPr>
          <w:lang w:val="en-US"/>
        </w:rPr>
        <w:t>-1</w:t>
      </w:r>
    </w:p>
    <w:p>
      <w:pPr>
        <w:pStyle w:val="113"/>
        <w:rPr>
          <w:rFonts w:cs="v5.0.0"/>
          <w:lang w:val="en-US"/>
        </w:rPr>
      </w:pPr>
      <w:r>
        <w:rPr>
          <w:lang w:val="en-US"/>
        </w:rPr>
        <w:t xml:space="preserve">Table </w:t>
      </w:r>
      <w:r>
        <w:rPr>
          <w:rFonts w:eastAsia="宋体"/>
          <w:lang w:val="en-US" w:eastAsia="zh-CN"/>
        </w:rPr>
        <w:t>C</w:t>
      </w:r>
      <w:r>
        <w:rPr>
          <w:lang w:val="en-US"/>
        </w:rPr>
        <w:t>.3.</w:t>
      </w:r>
      <w:r>
        <w:rPr>
          <w:rFonts w:eastAsia="宋体"/>
          <w:lang w:val="en-US" w:eastAsia="zh-CN"/>
        </w:rPr>
        <w:t>3</w:t>
      </w:r>
      <w:r>
        <w:rPr>
          <w:lang w:val="en-US"/>
        </w:rPr>
        <w:t>-1: Downlink Physical Channels transmitted during a connection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1826"/>
        <w:gridCol w:w="18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4"/>
              <w:rPr>
                <w:rFonts w:cs="Arial"/>
                <w:lang w:val="en-US"/>
              </w:rPr>
            </w:pPr>
            <w:r>
              <w:rPr>
                <w:rFonts w:cs="Arial"/>
                <w:lang w:val="en-US"/>
              </w:rPr>
              <w:t>Physical Channel</w:t>
            </w:r>
          </w:p>
        </w:tc>
        <w:tc>
          <w:tcPr>
            <w:tcW w:w="1826" w:type="dxa"/>
          </w:tcPr>
          <w:p>
            <w:pPr>
              <w:pStyle w:val="104"/>
              <w:rPr>
                <w:rFonts w:cs="Arial"/>
                <w:lang w:val="en-US"/>
              </w:rPr>
            </w:pPr>
            <w:r>
              <w:rPr>
                <w:rFonts w:cs="Arial"/>
                <w:lang w:val="en-US"/>
              </w:rPr>
              <w:t>EPRE Ratio for one NRS antenna port</w:t>
            </w:r>
          </w:p>
        </w:tc>
        <w:tc>
          <w:tcPr>
            <w:tcW w:w="1826" w:type="dxa"/>
          </w:tcPr>
          <w:p>
            <w:pPr>
              <w:pStyle w:val="104"/>
              <w:rPr>
                <w:rFonts w:cs="Arial"/>
                <w:lang w:val="en-US"/>
              </w:rPr>
            </w:pPr>
            <w:r>
              <w:rPr>
                <w:rFonts w:cs="Arial"/>
                <w:lang w:val="en-US"/>
              </w:rPr>
              <w:t>EPRE Ratio for two NRS antenna ports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NPBCH</w:t>
            </w:r>
          </w:p>
        </w:tc>
        <w:tc>
          <w:tcPr>
            <w:tcW w:w="1826" w:type="dxa"/>
          </w:tcPr>
          <w:p>
            <w:pPr>
              <w:pStyle w:val="105"/>
              <w:rPr>
                <w:rFonts w:cs="Arial"/>
                <w:lang w:val="en-US"/>
              </w:rPr>
            </w:pPr>
            <w:r>
              <w:rPr>
                <w:rFonts w:cs="Arial"/>
                <w:lang w:val="en-US"/>
              </w:rPr>
              <w:t>0 dB</w:t>
            </w:r>
          </w:p>
        </w:tc>
        <w:tc>
          <w:tcPr>
            <w:tcW w:w="1826" w:type="dxa"/>
          </w:tcPr>
          <w:p>
            <w:pPr>
              <w:pStyle w:val="105"/>
              <w:rPr>
                <w:rFonts w:cs="Arial"/>
                <w:lang w:val="en-US"/>
              </w:rPr>
            </w:pPr>
            <w:r>
              <w:rPr>
                <w:rFonts w:cs="Arial"/>
                <w:lang w:val="en-US"/>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NPDCCH</w:t>
            </w:r>
          </w:p>
        </w:tc>
        <w:tc>
          <w:tcPr>
            <w:tcW w:w="1826" w:type="dxa"/>
          </w:tcPr>
          <w:p>
            <w:pPr>
              <w:pStyle w:val="105"/>
              <w:rPr>
                <w:rFonts w:cs="Arial"/>
                <w:lang w:val="en-US"/>
              </w:rPr>
            </w:pPr>
            <w:r>
              <w:rPr>
                <w:rFonts w:cs="Arial"/>
                <w:lang w:val="en-US"/>
              </w:rPr>
              <w:t>0 dB</w:t>
            </w:r>
          </w:p>
        </w:tc>
        <w:tc>
          <w:tcPr>
            <w:tcW w:w="1826" w:type="dxa"/>
          </w:tcPr>
          <w:p>
            <w:pPr>
              <w:pStyle w:val="105"/>
              <w:rPr>
                <w:rFonts w:cs="Arial"/>
                <w:lang w:val="en-US"/>
              </w:rPr>
            </w:pPr>
            <w:r>
              <w:rPr>
                <w:rFonts w:cs="Arial"/>
                <w:lang w:val="en-US"/>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NPDSCH</w:t>
            </w:r>
          </w:p>
        </w:tc>
        <w:tc>
          <w:tcPr>
            <w:tcW w:w="1826" w:type="dxa"/>
          </w:tcPr>
          <w:p>
            <w:pPr>
              <w:pStyle w:val="105"/>
              <w:rPr>
                <w:rFonts w:cs="Arial"/>
                <w:lang w:val="en-US"/>
              </w:rPr>
            </w:pPr>
            <w:r>
              <w:rPr>
                <w:rFonts w:cs="Arial"/>
                <w:lang w:val="en-US"/>
              </w:rPr>
              <w:t>0 dB</w:t>
            </w:r>
          </w:p>
        </w:tc>
        <w:tc>
          <w:tcPr>
            <w:tcW w:w="1826" w:type="dxa"/>
          </w:tcPr>
          <w:p>
            <w:pPr>
              <w:pStyle w:val="105"/>
              <w:rPr>
                <w:rFonts w:cs="Arial"/>
                <w:lang w:val="en-US"/>
              </w:rPr>
            </w:pPr>
            <w:r>
              <w:rPr>
                <w:rFonts w:cs="Arial"/>
                <w:lang w:val="en-US"/>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NPSS</w:t>
            </w:r>
          </w:p>
        </w:tc>
        <w:tc>
          <w:tcPr>
            <w:tcW w:w="1826" w:type="dxa"/>
          </w:tcPr>
          <w:p>
            <w:pPr>
              <w:pStyle w:val="105"/>
              <w:rPr>
                <w:rFonts w:cs="Arial"/>
                <w:lang w:val="en-US"/>
              </w:rPr>
            </w:pPr>
            <w:r>
              <w:rPr>
                <w:rFonts w:cs="Arial"/>
                <w:lang w:val="en-US"/>
              </w:rPr>
              <w:t>0 dB</w:t>
            </w:r>
          </w:p>
        </w:tc>
        <w:tc>
          <w:tcPr>
            <w:tcW w:w="1826" w:type="dxa"/>
            <w:vAlign w:val="center"/>
          </w:tcPr>
          <w:p>
            <w:pPr>
              <w:pStyle w:val="105"/>
              <w:rPr>
                <w:rFonts w:cs="Arial"/>
                <w:lang w:val="en-US"/>
              </w:rPr>
            </w:pPr>
            <w:r>
              <w:rPr>
                <w:rFonts w:cs="Arial"/>
                <w:lang w:val="en-US"/>
              </w:rPr>
              <w:t>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NSSS</w:t>
            </w:r>
          </w:p>
        </w:tc>
        <w:tc>
          <w:tcPr>
            <w:tcW w:w="1826" w:type="dxa"/>
          </w:tcPr>
          <w:p>
            <w:pPr>
              <w:pStyle w:val="105"/>
              <w:rPr>
                <w:rFonts w:cs="Arial"/>
                <w:lang w:val="en-US"/>
              </w:rPr>
            </w:pPr>
            <w:r>
              <w:rPr>
                <w:rFonts w:cs="Arial"/>
                <w:lang w:val="en-US"/>
              </w:rPr>
              <w:t>0 dB</w:t>
            </w:r>
          </w:p>
        </w:tc>
        <w:tc>
          <w:tcPr>
            <w:tcW w:w="1826" w:type="dxa"/>
          </w:tcPr>
          <w:p>
            <w:pPr>
              <w:pStyle w:val="105"/>
              <w:rPr>
                <w:rFonts w:cs="Arial"/>
                <w:lang w:val="en-US"/>
              </w:rPr>
            </w:pPr>
            <w:r>
              <w:rPr>
                <w:rFonts w:cs="Arial"/>
                <w:lang w:val="en-US"/>
              </w:rPr>
              <w:t>0 dB</w:t>
            </w:r>
          </w:p>
        </w:tc>
      </w:tr>
    </w:tbl>
    <w:p>
      <w:pPr>
        <w:rPr>
          <w:lang w:val="en-US"/>
        </w:rPr>
      </w:pPr>
    </w:p>
    <w:p>
      <w:pPr>
        <w:pStyle w:val="100"/>
        <w:rPr>
          <w:lang w:val="en-US"/>
        </w:rPr>
      </w:pPr>
      <w:r>
        <w:rPr>
          <w:rFonts w:eastAsia="宋体"/>
          <w:lang w:val="en-US" w:eastAsia="zh-CN"/>
        </w:rPr>
        <w:t>NOTE 1</w:t>
      </w:r>
      <w:r>
        <w:rPr>
          <w:lang w:val="en-US"/>
        </w:rPr>
        <w:t>:</w:t>
      </w:r>
      <w:r>
        <w:rPr>
          <w:lang w:val="en-US"/>
        </w:rPr>
        <w:tab/>
      </w:r>
      <w:r>
        <w:rPr>
          <w:lang w:val="en-US"/>
        </w:rPr>
        <w:t>Assuming NPSS and NSSS transmitted on one NRS antenna port.</w:t>
      </w:r>
    </w:p>
    <w:p>
      <w:pPr>
        <w:pStyle w:val="113"/>
        <w:rPr>
          <w:rFonts w:cs="v5.0.0"/>
          <w:lang w:val="en-US"/>
        </w:rPr>
      </w:pPr>
      <w:r>
        <w:rPr>
          <w:lang w:val="en-US"/>
        </w:rPr>
        <w:t xml:space="preserve">Table </w:t>
      </w:r>
      <w:r>
        <w:rPr>
          <w:rFonts w:eastAsia="宋体"/>
          <w:lang w:val="en-US" w:eastAsia="zh-CN"/>
        </w:rPr>
        <w:t>C</w:t>
      </w:r>
      <w:r>
        <w:rPr>
          <w:lang w:val="en-US"/>
        </w:rPr>
        <w:t>.3.</w:t>
      </w:r>
      <w:r>
        <w:rPr>
          <w:rFonts w:eastAsia="宋体"/>
          <w:lang w:val="en-US" w:eastAsia="zh-CN"/>
        </w:rPr>
        <w:t>3</w:t>
      </w:r>
      <w:r>
        <w:rPr>
          <w:lang w:val="en-US"/>
        </w:rPr>
        <w:t>-2: Power allocation for OFDM symbols and reference signals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684"/>
        <w:gridCol w:w="1684"/>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4"/>
              <w:rPr>
                <w:rFonts w:cs="Arial"/>
                <w:lang w:val="en-US"/>
              </w:rPr>
            </w:pPr>
            <w:r>
              <w:rPr>
                <w:rFonts w:cs="Arial"/>
                <w:lang w:val="en-US"/>
              </w:rPr>
              <w:t>Parameter</w:t>
            </w:r>
          </w:p>
        </w:tc>
        <w:tc>
          <w:tcPr>
            <w:tcW w:w="1684" w:type="dxa"/>
          </w:tcPr>
          <w:p>
            <w:pPr>
              <w:pStyle w:val="104"/>
              <w:rPr>
                <w:rFonts w:cs="Arial"/>
                <w:lang w:val="en-US"/>
              </w:rPr>
            </w:pPr>
            <w:r>
              <w:rPr>
                <w:rFonts w:cs="Arial"/>
                <w:lang w:val="en-US"/>
              </w:rPr>
              <w:t>Unit</w:t>
            </w:r>
          </w:p>
        </w:tc>
        <w:tc>
          <w:tcPr>
            <w:tcW w:w="1684" w:type="dxa"/>
          </w:tcPr>
          <w:p>
            <w:pPr>
              <w:pStyle w:val="104"/>
              <w:rPr>
                <w:rFonts w:cs="Arial"/>
                <w:lang w:val="en-US"/>
              </w:rPr>
            </w:pPr>
            <w:r>
              <w:rPr>
                <w:rFonts w:cs="Arial"/>
                <w:lang w:val="en-US"/>
              </w:rPr>
              <w:t>Value</w:t>
            </w:r>
          </w:p>
        </w:tc>
        <w:tc>
          <w:tcPr>
            <w:tcW w:w="1860" w:type="dxa"/>
          </w:tcPr>
          <w:p>
            <w:pPr>
              <w:pStyle w:val="104"/>
              <w:rPr>
                <w:rFonts w:cs="Arial"/>
                <w:lang w:val="en-US"/>
              </w:rPr>
            </w:pPr>
            <w:r>
              <w:rPr>
                <w:rFonts w:cs="Arial"/>
                <w:lang w:val="en-US"/>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Arial"/>
                <w:lang w:val="en-US"/>
              </w:rPr>
            </w:pPr>
            <w:r>
              <w:rPr>
                <w:rFonts w:cs="Arial"/>
                <w:lang w:val="en-US"/>
              </w:rPr>
              <w:t xml:space="preserve">Transmitted power spectral density </w:t>
            </w:r>
            <m:oMath>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p>
        </w:tc>
        <w:tc>
          <w:tcPr>
            <w:tcW w:w="1684" w:type="dxa"/>
          </w:tcPr>
          <w:p>
            <w:pPr>
              <w:pStyle w:val="105"/>
              <w:rPr>
                <w:rFonts w:cs="Arial"/>
                <w:lang w:val="en-US"/>
              </w:rPr>
            </w:pPr>
            <w:r>
              <w:rPr>
                <w:rFonts w:cs="Arial"/>
                <w:lang w:val="en-US"/>
              </w:rPr>
              <w:t>dBm/15 kHz</w:t>
            </w:r>
          </w:p>
        </w:tc>
        <w:tc>
          <w:tcPr>
            <w:tcW w:w="1684" w:type="dxa"/>
          </w:tcPr>
          <w:p>
            <w:pPr>
              <w:pStyle w:val="105"/>
              <w:rPr>
                <w:rFonts w:cs="Arial"/>
                <w:lang w:val="en-US"/>
              </w:rPr>
            </w:pPr>
            <w:r>
              <w:rPr>
                <w:rFonts w:cs="Arial"/>
                <w:lang w:val="en-US"/>
              </w:rPr>
              <w:t>Test specific</w:t>
            </w:r>
          </w:p>
        </w:tc>
        <w:tc>
          <w:tcPr>
            <w:tcW w:w="1860" w:type="dxa"/>
          </w:tcPr>
          <w:p>
            <w:pPr>
              <w:pStyle w:val="103"/>
              <w:rPr>
                <w:rFonts w:cs="Arial"/>
                <w:lang w:val="en-US"/>
              </w:rPr>
            </w:pPr>
            <m:oMath>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r>
              <w:rPr>
                <w:rFonts w:cs="Arial"/>
                <w:lang w:val="en-US"/>
              </w:rPr>
              <w:t xml:space="preserve"> shall be kept constant throughout all OFDM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Arial"/>
                <w:lang w:val="en-US"/>
              </w:rPr>
            </w:pPr>
            <w:r>
              <w:rPr>
                <w:rFonts w:cs="Arial"/>
                <w:lang w:val="en-US"/>
              </w:rPr>
              <w:t xml:space="preserve">Narrowband reference signal power ratio </w:t>
            </w:r>
            <m:oMath>
              <m:sSub>
                <m:sSubPr>
                  <m:ctrlPr>
                    <w:rPr>
                      <w:rFonts w:ascii="Cambria Math" w:hAnsi="Cambria Math" w:cs="Arial"/>
                      <w:i/>
                      <w:lang w:val="en-US"/>
                    </w:rPr>
                  </m:ctrlPr>
                </m:sSubPr>
                <m:e>
                  <m:r>
                    <m:rPr/>
                    <w:rPr>
                      <w:rFonts w:ascii="Cambria Math" w:hAnsi="Cambria Math" w:cs="Arial"/>
                      <w:lang w:val="en-US"/>
                    </w:rPr>
                    <m:t>E</m:t>
                  </m:r>
                  <m:ctrlPr>
                    <w:rPr>
                      <w:rFonts w:ascii="Cambria Math" w:hAnsi="Cambria Math" w:cs="Arial"/>
                      <w:i/>
                      <w:lang w:val="en-US"/>
                    </w:rPr>
                  </m:ctrlPr>
                </m:e>
                <m:sub>
                  <m:r>
                    <m:rPr/>
                    <w:rPr>
                      <w:rFonts w:ascii="Cambria Math" w:hAnsi="Cambria Math" w:cs="Arial"/>
                      <w:lang w:val="en-US"/>
                    </w:rPr>
                    <m:t>CRS</m:t>
                  </m:r>
                  <m:ctrlPr>
                    <w:rPr>
                      <w:rFonts w:ascii="Cambria Math" w:hAnsi="Cambria Math" w:cs="Arial"/>
                      <w:i/>
                      <w:lang w:val="en-US"/>
                    </w:rPr>
                  </m:ctrlPr>
                </m:sub>
              </m:sSub>
              <m:r>
                <m:rPr/>
                <w:rPr>
                  <w:rFonts w:ascii="Cambria Math" w:hAnsi="Cambria Math" w:cs="Arial"/>
                  <w:lang w:val="en-US"/>
                </w:rPr>
                <m:t>/</m:t>
              </m:r>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p>
        </w:tc>
        <w:tc>
          <w:tcPr>
            <w:tcW w:w="1684" w:type="dxa"/>
          </w:tcPr>
          <w:p>
            <w:pPr>
              <w:pStyle w:val="105"/>
              <w:rPr>
                <w:rFonts w:cs="Arial"/>
                <w:lang w:val="en-US"/>
              </w:rPr>
            </w:pPr>
          </w:p>
        </w:tc>
        <w:tc>
          <w:tcPr>
            <w:tcW w:w="1684" w:type="dxa"/>
          </w:tcPr>
          <w:p>
            <w:pPr>
              <w:pStyle w:val="105"/>
              <w:rPr>
                <w:rFonts w:cs="Arial"/>
                <w:lang w:val="en-US"/>
              </w:rPr>
            </w:pPr>
            <w:r>
              <w:rPr>
                <w:rFonts w:cs="Arial"/>
                <w:lang w:val="en-US"/>
              </w:rPr>
              <w:t>0 dB</w:t>
            </w:r>
          </w:p>
        </w:tc>
        <w:tc>
          <w:tcPr>
            <w:tcW w:w="1860" w:type="dxa"/>
          </w:tcPr>
          <w:p>
            <w:pPr>
              <w:pStyle w:val="103"/>
              <w:rPr>
                <w:rFonts w:cs="Arial"/>
                <w:lang w:val="en-US"/>
              </w:rPr>
            </w:pPr>
            <w:r>
              <w:rPr>
                <w:rFonts w:cs="Arial"/>
                <w:lang w:val="en-US"/>
              </w:rPr>
              <w:t>Applicable for Stand-alone operation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5" w:hRule="atLeast"/>
          <w:jc w:val="center"/>
        </w:trPr>
        <w:tc>
          <w:tcPr>
            <w:tcW w:w="2402" w:type="dxa"/>
          </w:tcPr>
          <w:p>
            <w:pPr>
              <w:pStyle w:val="103"/>
              <w:rPr>
                <w:rFonts w:cs="Arial"/>
                <w:lang w:val="en-US"/>
              </w:rPr>
            </w:pPr>
            <w:r>
              <w:rPr>
                <w:rFonts w:cs="Arial"/>
                <w:lang w:val="en-US"/>
              </w:rPr>
              <w:t xml:space="preserve">Narrowband reference signal power over cell-specific reference signal power </w:t>
            </w:r>
            <m:oMath>
              <m:sSub>
                <m:sSubPr>
                  <m:ctrlPr>
                    <w:rPr>
                      <w:rFonts w:ascii="Cambria Math" w:hAnsi="Cambria Math" w:cs="Arial"/>
                      <w:i/>
                      <w:lang w:val="en-US"/>
                    </w:rPr>
                  </m:ctrlPr>
                </m:sSubPr>
                <m:e>
                  <m:r>
                    <m:rPr/>
                    <w:rPr>
                      <w:rFonts w:ascii="Cambria Math" w:hAnsi="Cambria Math" w:cs="Arial"/>
                      <w:lang w:val="en-US"/>
                    </w:rPr>
                    <m:t>E</m:t>
                  </m:r>
                  <m:ctrlPr>
                    <w:rPr>
                      <w:rFonts w:ascii="Cambria Math" w:hAnsi="Cambria Math" w:cs="Arial"/>
                      <w:i/>
                      <w:lang w:val="en-US"/>
                    </w:rPr>
                  </m:ctrlPr>
                </m:e>
                <m:sub>
                  <m:r>
                    <m:rPr/>
                    <w:rPr>
                      <w:rFonts w:ascii="Cambria Math" w:hAnsi="Cambria Math" w:cs="Arial"/>
                      <w:lang w:val="en-US"/>
                    </w:rPr>
                    <m:t>NRS</m:t>
                  </m:r>
                  <m:ctrlPr>
                    <w:rPr>
                      <w:rFonts w:ascii="Cambria Math" w:hAnsi="Cambria Math" w:cs="Arial"/>
                      <w:i/>
                      <w:lang w:val="en-US"/>
                    </w:rPr>
                  </m:ctrlPr>
                </m:sub>
              </m:sSub>
              <m:r>
                <m:rPr/>
                <w:rPr>
                  <w:rFonts w:ascii="Cambria Math" w:hAnsi="Cambria Math" w:cs="Arial"/>
                  <w:lang w:val="en-US"/>
                </w:rPr>
                <m:t>/</m:t>
              </m:r>
              <m:sSub>
                <m:sSubPr>
                  <m:ctrlPr>
                    <w:rPr>
                      <w:rFonts w:ascii="Cambria Math" w:hAnsi="Cambria Math" w:cs="Arial"/>
                      <w:i/>
                      <w:lang w:val="en-US"/>
                    </w:rPr>
                  </m:ctrlPr>
                </m:sSubPr>
                <m:e>
                  <m:r>
                    <m:rPr/>
                    <w:rPr>
                      <w:rFonts w:ascii="Cambria Math" w:hAnsi="Cambria Math" w:cs="Arial"/>
                      <w:lang w:val="en-US"/>
                    </w:rPr>
                    <m:t>E</m:t>
                  </m:r>
                  <m:ctrlPr>
                    <w:rPr>
                      <w:rFonts w:ascii="Cambria Math" w:hAnsi="Cambria Math" w:cs="Arial"/>
                      <w:i/>
                      <w:lang w:val="en-US"/>
                    </w:rPr>
                  </m:ctrlPr>
                </m:e>
                <m:sub>
                  <m:r>
                    <m:rPr/>
                    <w:rPr>
                      <w:rFonts w:ascii="Cambria Math" w:hAnsi="Cambria Math" w:cs="Arial"/>
                      <w:lang w:val="en-US"/>
                    </w:rPr>
                    <m:t>RS</m:t>
                  </m:r>
                  <m:ctrlPr>
                    <w:rPr>
                      <w:rFonts w:ascii="Cambria Math" w:hAnsi="Cambria Math" w:cs="Arial"/>
                      <w:i/>
                      <w:lang w:val="en-US"/>
                    </w:rPr>
                  </m:ctrlPr>
                </m:sub>
              </m:sSub>
            </m:oMath>
          </w:p>
        </w:tc>
        <w:tc>
          <w:tcPr>
            <w:tcW w:w="1684" w:type="dxa"/>
          </w:tcPr>
          <w:p>
            <w:pPr>
              <w:pStyle w:val="105"/>
              <w:rPr>
                <w:rFonts w:cs="Arial"/>
                <w:lang w:val="en-US"/>
              </w:rPr>
            </w:pPr>
          </w:p>
        </w:tc>
        <w:tc>
          <w:tcPr>
            <w:tcW w:w="1684" w:type="dxa"/>
          </w:tcPr>
          <w:p>
            <w:pPr>
              <w:pStyle w:val="105"/>
              <w:rPr>
                <w:rFonts w:cs="Arial"/>
                <w:lang w:val="en-US"/>
              </w:rPr>
            </w:pPr>
            <w:r>
              <w:rPr>
                <w:rFonts w:cs="Arial"/>
                <w:lang w:val="en-US"/>
              </w:rPr>
              <w:t>0 dB</w:t>
            </w:r>
          </w:p>
        </w:tc>
        <w:tc>
          <w:tcPr>
            <w:tcW w:w="1860" w:type="dxa"/>
          </w:tcPr>
          <w:p>
            <w:pPr>
              <w:pStyle w:val="103"/>
              <w:rPr>
                <w:rFonts w:cs="Arial"/>
                <w:lang w:val="en-US"/>
              </w:rPr>
            </w:pPr>
            <w:r>
              <w:rPr>
                <w:rFonts w:cs="Arial"/>
                <w:lang w:val="en-US"/>
              </w:rPr>
              <w:t>Applicable for In-band operation</w:t>
            </w:r>
          </w:p>
        </w:tc>
      </w:tr>
    </w:tbl>
    <w:p>
      <w:pPr>
        <w:rPr>
          <w:lang w:eastAsia="ja-JP"/>
        </w:rPr>
      </w:pPr>
    </w:p>
    <w:p>
      <w:pPr>
        <w:pStyle w:val="11"/>
      </w:pPr>
      <w:bookmarkStart w:id="2031" w:name="_Toc8324"/>
      <w:bookmarkStart w:id="2032" w:name="_Toc31146"/>
      <w:bookmarkStart w:id="2033" w:name="_Toc20735"/>
      <w:bookmarkStart w:id="2034" w:name="_Toc232582151"/>
      <w:bookmarkStart w:id="2035" w:name="_Toc30698"/>
      <w:bookmarkStart w:id="2036" w:name="_Toc27493"/>
      <w:r>
        <w:t>Annex D (</w:t>
      </w:r>
      <w:r>
        <w:rPr>
          <w:lang w:eastAsia="en-GB"/>
        </w:rPr>
        <w:t>normative</w:t>
      </w:r>
      <w:r>
        <w:t>):</w:t>
      </w:r>
      <w:r>
        <w:br w:type="textWrapping"/>
      </w:r>
      <w:r>
        <w:t>Characteristics of the Interfering Signal</w:t>
      </w:r>
      <w:bookmarkEnd w:id="2031"/>
      <w:bookmarkEnd w:id="2032"/>
      <w:bookmarkEnd w:id="2033"/>
      <w:bookmarkEnd w:id="2034"/>
      <w:bookmarkEnd w:id="2035"/>
      <w:bookmarkEnd w:id="2036"/>
    </w:p>
    <w:p>
      <w:pPr>
        <w:pStyle w:val="3"/>
      </w:pPr>
      <w:bookmarkStart w:id="2037" w:name="_Toc4196"/>
      <w:bookmarkStart w:id="2038" w:name="_Toc31946"/>
      <w:bookmarkStart w:id="2039" w:name="_Toc232582152"/>
      <w:bookmarkStart w:id="2040" w:name="_Toc16436"/>
      <w:bookmarkStart w:id="2041" w:name="_Toc13593"/>
      <w:bookmarkStart w:id="2042" w:name="_Toc25239"/>
      <w:r>
        <w:t>D.1</w:t>
      </w:r>
      <w:r>
        <w:tab/>
      </w:r>
      <w:r>
        <w:t>General</w:t>
      </w:r>
      <w:bookmarkEnd w:id="2037"/>
      <w:bookmarkEnd w:id="2038"/>
      <w:bookmarkEnd w:id="2039"/>
      <w:bookmarkEnd w:id="2040"/>
      <w:bookmarkEnd w:id="2041"/>
      <w:bookmarkEnd w:id="2042"/>
    </w:p>
    <w:p>
      <w:pPr>
        <w:rPr>
          <w:rFonts w:cs="v5.0.0"/>
          <w:snapToGrid w:val="0"/>
        </w:rPr>
      </w:pPr>
      <w:r>
        <w:t xml:space="preserve">Some RF performance requirements for the </w:t>
      </w:r>
      <w:r>
        <w:rPr>
          <w:rFonts w:hint="eastAsia"/>
        </w:rPr>
        <w:t>category M1</w:t>
      </w:r>
      <w:r>
        <w:t xml:space="preserve"> </w:t>
      </w:r>
      <w:r>
        <w:rPr>
          <w:rFonts w:hint="eastAsia" w:eastAsia="宋体"/>
          <w:lang w:val="en-US" w:eastAsia="zh-CN"/>
        </w:rPr>
        <w:t xml:space="preserve">and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 </w:t>
      </w:r>
      <w:r>
        <w:t xml:space="preserve">UE receiver are defined with interfering signals present in addition to the wanted signal. For wanted channel band widths below </w:t>
      </w:r>
      <w:r>
        <w:rPr>
          <w:rFonts w:hint="eastAsia" w:eastAsia="宋体"/>
          <w:lang w:val="en-US" w:eastAsia="zh-CN"/>
        </w:rPr>
        <w:t>1.4</w:t>
      </w:r>
      <w:r>
        <w:t>MHz, the band width of the modulated interferer should be equal to the channel band width of the wanted signal.</w:t>
      </w:r>
    </w:p>
    <w:p>
      <w:pPr>
        <w:pStyle w:val="3"/>
      </w:pPr>
      <w:bookmarkStart w:id="2043" w:name="_Toc5150"/>
      <w:bookmarkStart w:id="2044" w:name="_Toc18152"/>
      <w:bookmarkStart w:id="2045" w:name="_Toc12709"/>
      <w:bookmarkStart w:id="2046" w:name="_Toc2233"/>
      <w:bookmarkStart w:id="2047" w:name="_Toc232582153"/>
      <w:bookmarkStart w:id="2048" w:name="_Toc4691"/>
      <w:r>
        <w:t>D.2</w:t>
      </w:r>
      <w:r>
        <w:tab/>
      </w:r>
      <w:r>
        <w:t>Interference signals</w:t>
      </w:r>
      <w:bookmarkEnd w:id="2043"/>
      <w:bookmarkEnd w:id="2044"/>
      <w:bookmarkEnd w:id="2045"/>
      <w:bookmarkEnd w:id="2046"/>
      <w:bookmarkEnd w:id="2047"/>
      <w:bookmarkEnd w:id="2048"/>
    </w:p>
    <w:p>
      <w:pPr>
        <w:rPr>
          <w:rFonts w:cs="v5.0.0"/>
          <w:snapToGrid w:val="0"/>
        </w:rPr>
      </w:pPr>
      <w:r>
        <w:rPr>
          <w:rFonts w:cs="v5.0.0"/>
          <w:snapToGrid w:val="0"/>
        </w:rPr>
        <w:t>Table D.2-1 describes the modulated interferer for different channel band width options.</w:t>
      </w:r>
    </w:p>
    <w:p>
      <w:pPr>
        <w:pStyle w:val="113"/>
      </w:pPr>
      <w:r>
        <w:t xml:space="preserve">Table D.2-1: Description of modulated </w:t>
      </w:r>
      <w:r>
        <w:rPr>
          <w:rFonts w:hint="eastAsia"/>
        </w:rPr>
        <w:t>category M1</w:t>
      </w:r>
      <w:r>
        <w:t xml:space="preserve"> interferer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0"/>
        <w:gridCol w:w="55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0" w:type="dxa"/>
            <w:vMerge w:val="restart"/>
            <w:vAlign w:val="center"/>
          </w:tcPr>
          <w:p>
            <w:pPr>
              <w:pStyle w:val="104"/>
              <w:rPr>
                <w:lang w:eastAsia="zh-CN"/>
              </w:rPr>
            </w:pPr>
          </w:p>
        </w:tc>
        <w:tc>
          <w:tcPr>
            <w:tcW w:w="5578" w:type="dxa"/>
            <w:vAlign w:val="center"/>
          </w:tcPr>
          <w:p>
            <w:pPr>
              <w:pStyle w:val="104"/>
              <w:rPr>
                <w:lang w:eastAsia="zh-CN"/>
              </w:rPr>
            </w:pPr>
            <w:r>
              <w:rPr>
                <w:lang w:eastAsia="zh-CN"/>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4" w:hRule="atLeast"/>
          <w:jc w:val="center"/>
        </w:trPr>
        <w:tc>
          <w:tcPr>
            <w:tcW w:w="1160" w:type="dxa"/>
            <w:vMerge w:val="continue"/>
            <w:vAlign w:val="center"/>
          </w:tcPr>
          <w:p>
            <w:pPr>
              <w:pStyle w:val="104"/>
              <w:rPr>
                <w:lang w:eastAsia="zh-CN"/>
              </w:rPr>
            </w:pPr>
          </w:p>
        </w:tc>
        <w:tc>
          <w:tcPr>
            <w:tcW w:w="5578" w:type="dxa"/>
            <w:vAlign w:val="center"/>
          </w:tcPr>
          <w:p>
            <w:pPr>
              <w:pStyle w:val="104"/>
              <w:rPr>
                <w:lang w:eastAsia="zh-CN"/>
              </w:rPr>
            </w:pPr>
            <w:r>
              <w:rPr>
                <w:lang w:eastAsia="zh-CN"/>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0" w:type="dxa"/>
            <w:vAlign w:val="center"/>
          </w:tcPr>
          <w:p>
            <w:pPr>
              <w:pStyle w:val="105"/>
            </w:pPr>
            <w:r>
              <w:t>RB</w:t>
            </w:r>
          </w:p>
        </w:tc>
        <w:tc>
          <w:tcPr>
            <w:tcW w:w="5578" w:type="dxa"/>
            <w:vAlign w:val="center"/>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0" w:type="dxa"/>
            <w:vAlign w:val="center"/>
          </w:tcPr>
          <w:p>
            <w:pPr>
              <w:pStyle w:val="105"/>
            </w:pPr>
            <w:r>
              <w:t>BW</w:t>
            </w:r>
            <w:r>
              <w:rPr>
                <w:vertAlign w:val="subscript"/>
              </w:rPr>
              <w:t>Interferer</w:t>
            </w:r>
          </w:p>
        </w:tc>
        <w:tc>
          <w:tcPr>
            <w:tcW w:w="5578" w:type="dxa"/>
            <w:vAlign w:val="center"/>
          </w:tcPr>
          <w:p>
            <w:pPr>
              <w:pStyle w:val="105"/>
            </w:pPr>
            <w:r>
              <w:t>1.4 MHz</w:t>
            </w:r>
          </w:p>
        </w:tc>
      </w:tr>
    </w:tbl>
    <w:p>
      <w:pPr>
        <w:pStyle w:val="108"/>
        <w:rPr>
          <w:snapToGrid w:val="0"/>
        </w:rPr>
      </w:pPr>
    </w:p>
    <w:p>
      <w:pPr>
        <w:rPr>
          <w:rFonts w:cs="v5.0.0"/>
          <w:snapToGrid w:val="0"/>
        </w:rPr>
      </w:pPr>
      <w:r>
        <w:rPr>
          <w:rFonts w:cs="v5.0.0"/>
          <w:snapToGrid w:val="0"/>
        </w:rPr>
        <w:t xml:space="preserve">Table D.2-2 </w:t>
      </w:r>
      <w:r>
        <w:rPr>
          <w:rFonts w:eastAsia="宋体" w:cs="v5.0.0"/>
          <w:snapToGrid w:val="0"/>
          <w:lang w:val="en-US" w:eastAsia="zh-CN"/>
        </w:rPr>
        <w:t>and D.2-3</w:t>
      </w:r>
      <w:r>
        <w:rPr>
          <w:rFonts w:hint="eastAsia" w:eastAsia="宋体" w:cs="v5.0.0"/>
          <w:snapToGrid w:val="0"/>
          <w:lang w:val="en-US" w:eastAsia="zh-CN"/>
        </w:rPr>
        <w:t xml:space="preserve"> </w:t>
      </w:r>
      <w:r>
        <w:rPr>
          <w:rFonts w:cs="v5.0.0"/>
          <w:snapToGrid w:val="0"/>
        </w:rPr>
        <w:t xml:space="preserve">describe the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r>
        <w:rPr>
          <w:rFonts w:cs="v5.0.0"/>
          <w:snapToGrid w:val="0"/>
        </w:rPr>
        <w:t xml:space="preserve"> interferer</w:t>
      </w:r>
      <w:r>
        <w:rPr>
          <w:rFonts w:eastAsia="宋体" w:cs="v5.0.0"/>
          <w:snapToGrid w:val="0"/>
          <w:lang w:val="en-US" w:eastAsia="zh-CN"/>
        </w:rPr>
        <w:t>s</w:t>
      </w:r>
      <w:r>
        <w:rPr>
          <w:rFonts w:cs="v5.0.0"/>
          <w:snapToGrid w:val="0"/>
        </w:rPr>
        <w:t>.</w:t>
      </w:r>
    </w:p>
    <w:p>
      <w:pPr>
        <w:pStyle w:val="113"/>
      </w:pPr>
      <w:r>
        <w:t xml:space="preserve">Table D.2-2: Description of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 </w:t>
      </w:r>
      <w:r>
        <w:rPr>
          <w:rFonts w:eastAsia="宋体"/>
          <w:lang w:val="en-US" w:eastAsia="zh-CN"/>
        </w:rPr>
        <w:t>GSM</w:t>
      </w:r>
      <w:r>
        <w:t xml:space="preserve"> interferer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5"/>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Borders>
              <w:top w:val="single" w:color="auto" w:sz="4" w:space="0"/>
              <w:left w:val="single" w:color="auto" w:sz="4" w:space="0"/>
              <w:bottom w:val="single" w:color="auto" w:sz="4" w:space="0"/>
              <w:right w:val="single" w:color="auto" w:sz="4" w:space="0"/>
            </w:tcBorders>
            <w:vAlign w:val="center"/>
          </w:tcPr>
          <w:p>
            <w:pPr>
              <w:pStyle w:val="104"/>
              <w:rPr>
                <w:b w:val="0"/>
                <w:lang w:eastAsia="zh-CN"/>
              </w:rPr>
            </w:pPr>
            <w:r>
              <w:rPr>
                <w:b w:val="0"/>
                <w:lang w:eastAsia="zh-CN"/>
              </w:rPr>
              <w:t>BW</w:t>
            </w:r>
            <w:r>
              <w:rPr>
                <w:b w:val="0"/>
                <w:vertAlign w:val="subscript"/>
                <w:lang w:eastAsia="zh-CN"/>
              </w:rPr>
              <w:t>Interferer</w:t>
            </w: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b w:val="0"/>
                <w:lang w:eastAsia="zh-CN"/>
              </w:rPr>
            </w:pPr>
            <w:r>
              <w:rPr>
                <w:b w:val="0"/>
                <w:lang w:eastAsia="zh-CN"/>
              </w:rPr>
              <w:t>200kHz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Borders>
              <w:top w:val="single" w:color="auto" w:sz="4" w:space="0"/>
              <w:left w:val="single" w:color="auto" w:sz="4" w:space="0"/>
              <w:bottom w:val="single" w:color="auto" w:sz="4" w:space="0"/>
              <w:right w:val="single" w:color="auto" w:sz="4" w:space="0"/>
            </w:tcBorders>
            <w:vAlign w:val="center"/>
          </w:tcPr>
          <w:p>
            <w:pPr>
              <w:pStyle w:val="105"/>
            </w:pPr>
            <w:r>
              <w:t>Modulation</w:t>
            </w:r>
          </w:p>
        </w:tc>
        <w:tc>
          <w:tcPr>
            <w:tcW w:w="283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GMSK</w:t>
            </w:r>
          </w:p>
        </w:tc>
      </w:tr>
    </w:tbl>
    <w:p/>
    <w:p>
      <w:pPr>
        <w:pStyle w:val="113"/>
      </w:pPr>
      <w:r>
        <w:t>Table D.2-</w:t>
      </w:r>
      <w:r>
        <w:rPr>
          <w:rFonts w:eastAsia="宋体"/>
          <w:lang w:val="en-US" w:eastAsia="zh-CN"/>
        </w:rPr>
        <w:t>3</w:t>
      </w:r>
      <w:r>
        <w:t xml:space="preserve">: Description of category </w:t>
      </w:r>
      <w:r>
        <w:rPr>
          <w:rFonts w:eastAsia="宋体"/>
          <w:lang w:val="en-US" w:eastAsia="zh-CN"/>
        </w:rPr>
        <w:t>NB</w:t>
      </w:r>
      <w:r>
        <w:t>1</w:t>
      </w:r>
      <w:r>
        <w:rPr>
          <w:rFonts w:eastAsia="宋体"/>
          <w:lang w:val="en-US" w:eastAsia="zh-CN"/>
        </w:rPr>
        <w:t xml:space="preserve"> and NB2 modulated </w:t>
      </w:r>
      <w:r>
        <w:rPr>
          <w:rFonts w:hint="eastAsia" w:eastAsia="宋体"/>
          <w:lang w:val="en-US" w:eastAsia="zh-CN"/>
        </w:rPr>
        <w:t>E-UTRA</w:t>
      </w:r>
      <w:r>
        <w:t xml:space="preserve"> interferer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5"/>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vMerge w:val="restart"/>
            <w:tcBorders>
              <w:top w:val="single" w:color="auto" w:sz="4" w:space="0"/>
              <w:left w:val="single" w:color="auto" w:sz="4" w:space="0"/>
              <w:right w:val="single" w:color="auto" w:sz="4" w:space="0"/>
            </w:tcBorders>
            <w:vAlign w:val="center"/>
          </w:tcPr>
          <w:p>
            <w:pPr>
              <w:pStyle w:val="104"/>
              <w:rPr>
                <w:b w:val="0"/>
                <w:lang w:eastAsia="zh-CN"/>
              </w:rPr>
            </w:pP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bCs/>
                <w:lang w:val="en-US" w:eastAsia="zh-CN"/>
              </w:rPr>
            </w:pPr>
            <w:r>
              <w:rPr>
                <w:bCs/>
                <w:lang w:val="en-US" w:eastAsia="zh-CN"/>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vMerge w:val="continue"/>
            <w:tcBorders>
              <w:left w:val="single" w:color="auto" w:sz="4" w:space="0"/>
              <w:bottom w:val="single" w:color="auto" w:sz="4" w:space="0"/>
              <w:right w:val="single" w:color="auto" w:sz="4" w:space="0"/>
            </w:tcBorders>
            <w:vAlign w:val="center"/>
          </w:tcPr>
          <w:p>
            <w:pPr>
              <w:pStyle w:val="104"/>
              <w:rPr>
                <w:b w:val="0"/>
                <w:lang w:eastAsia="zh-CN"/>
              </w:rPr>
            </w:pP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bCs/>
                <w:lang w:val="en-US" w:eastAsia="zh-CN"/>
              </w:rPr>
            </w:pPr>
            <w:r>
              <w:rPr>
                <w:bCs/>
                <w:lang w:val="en-US" w:eastAsia="zh-CN"/>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Borders>
              <w:top w:val="single" w:color="auto" w:sz="4" w:space="0"/>
              <w:left w:val="single" w:color="auto" w:sz="4" w:space="0"/>
              <w:bottom w:val="single" w:color="auto" w:sz="4" w:space="0"/>
              <w:right w:val="single" w:color="auto" w:sz="4" w:space="0"/>
            </w:tcBorders>
            <w:vAlign w:val="center"/>
          </w:tcPr>
          <w:p>
            <w:pPr>
              <w:pStyle w:val="104"/>
              <w:rPr>
                <w:b w:val="0"/>
                <w:lang w:val="en-US" w:eastAsia="zh-CN"/>
              </w:rPr>
            </w:pPr>
            <w:r>
              <w:rPr>
                <w:b w:val="0"/>
                <w:lang w:val="en-US" w:eastAsia="zh-CN"/>
              </w:rPr>
              <w:t>RB</w:t>
            </w: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b w:val="0"/>
                <w:lang w:val="en-US" w:eastAsia="zh-CN"/>
              </w:rPr>
            </w:pPr>
            <w:r>
              <w:rPr>
                <w:b w:val="0"/>
                <w:lang w:val="en-US"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Borders>
              <w:top w:val="single" w:color="auto" w:sz="4" w:space="0"/>
              <w:left w:val="single" w:color="auto" w:sz="4" w:space="0"/>
              <w:bottom w:val="single" w:color="auto" w:sz="4" w:space="0"/>
              <w:right w:val="single" w:color="auto" w:sz="4" w:space="0"/>
            </w:tcBorders>
            <w:vAlign w:val="center"/>
          </w:tcPr>
          <w:p>
            <w:pPr>
              <w:pStyle w:val="105"/>
            </w:pPr>
            <w:r>
              <w:rPr>
                <w:lang w:eastAsia="zh-CN"/>
              </w:rPr>
              <w:t>BW</w:t>
            </w:r>
            <w:r>
              <w:rPr>
                <w:vertAlign w:val="subscript"/>
                <w:lang w:eastAsia="zh-CN"/>
              </w:rPr>
              <w:t>Interferer</w:t>
            </w:r>
          </w:p>
        </w:tc>
        <w:tc>
          <w:tcPr>
            <w:tcW w:w="283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hint="eastAsia" w:eastAsia="宋体"/>
                <w:lang w:val="en-US" w:eastAsia="zh-CN"/>
              </w:rPr>
              <w:t>5 MHz</w:t>
            </w:r>
          </w:p>
        </w:tc>
      </w:tr>
    </w:tbl>
    <w:p/>
    <w:p>
      <w:pPr>
        <w:pStyle w:val="11"/>
      </w:pPr>
      <w:bookmarkStart w:id="2049" w:name="_Toc17389"/>
      <w:bookmarkStart w:id="2050" w:name="_Toc1860"/>
      <w:bookmarkStart w:id="2051" w:name="_Toc10754"/>
      <w:bookmarkStart w:id="2052" w:name="_Toc24817"/>
      <w:bookmarkStart w:id="2053" w:name="_Toc5136"/>
      <w:r>
        <w:t>Annex E (no</w:t>
      </w:r>
      <w:r>
        <w:rPr>
          <w:lang w:eastAsia="en-GB"/>
        </w:rPr>
        <w:t>rmative</w:t>
      </w:r>
      <w:r>
        <w:t>):</w:t>
      </w:r>
      <w:r>
        <w:br w:type="textWrapping"/>
      </w:r>
      <w:r>
        <w:t>Global In-Channel TX-Test</w:t>
      </w:r>
      <w:bookmarkEnd w:id="2049"/>
      <w:bookmarkEnd w:id="2050"/>
      <w:bookmarkEnd w:id="2051"/>
      <w:bookmarkEnd w:id="2052"/>
      <w:bookmarkEnd w:id="2053"/>
    </w:p>
    <w:p>
      <w:pPr>
        <w:ind w:left="737"/>
        <w:rPr>
          <w:i/>
        </w:rPr>
      </w:pPr>
      <w:r>
        <w:t xml:space="preserve">Note: Clauses E.2.2 to E.5.9.3 are descriptions, which assume no power ramping adjacent to the measurement period. </w:t>
      </w:r>
      <w:r>
        <w:rPr>
          <w:i/>
        </w:rPr>
        <w:t>Power ramping adjacent to the measurement period requires exclusion periods, described in clause E.7</w:t>
      </w:r>
    </w:p>
    <w:p>
      <w:pPr>
        <w:pStyle w:val="3"/>
        <w:rPr>
          <w:snapToGrid w:val="0"/>
        </w:rPr>
      </w:pPr>
      <w:bookmarkStart w:id="2054" w:name="_Toc22831"/>
      <w:bookmarkStart w:id="2055" w:name="_Toc18564"/>
      <w:bookmarkStart w:id="2056" w:name="_Toc11763"/>
      <w:bookmarkStart w:id="2057" w:name="_Toc29045"/>
      <w:bookmarkStart w:id="2058" w:name="_Toc10571"/>
      <w:bookmarkStart w:id="2059" w:name="_Toc232582155"/>
      <w:r>
        <w:rPr>
          <w:snapToGrid w:val="0"/>
        </w:rPr>
        <w:t>E.1</w:t>
      </w:r>
      <w:r>
        <w:rPr>
          <w:snapToGrid w:val="0"/>
        </w:rPr>
        <w:tab/>
      </w:r>
      <w:r>
        <w:rPr>
          <w:snapToGrid w:val="0"/>
        </w:rPr>
        <w:t>General</w:t>
      </w:r>
      <w:bookmarkEnd w:id="2054"/>
      <w:bookmarkEnd w:id="2055"/>
      <w:bookmarkEnd w:id="2056"/>
      <w:bookmarkEnd w:id="2057"/>
      <w:bookmarkEnd w:id="2058"/>
      <w:bookmarkEnd w:id="2059"/>
    </w:p>
    <w:p>
      <w:r>
        <w:t>The global in-channel TX test enables the measurement of all relevant parameters that describe the in-channel quality of the output signal of the TX under test in a single measurement process.</w:t>
      </w:r>
    </w:p>
    <w:p>
      <w:r>
        <w:t>The parameters describing the in-channel quality of a transmitter, however, are not necessarily independent. The algorithm chosen for description inside this annex places particular emphasis on the exclusion of all interdependencies among the parameters.</w:t>
      </w:r>
    </w:p>
    <w:p>
      <w:pPr>
        <w:pStyle w:val="3"/>
      </w:pPr>
      <w:bookmarkStart w:id="2060" w:name="_Toc9780"/>
      <w:bookmarkStart w:id="2061" w:name="_Toc2096"/>
      <w:bookmarkStart w:id="2062" w:name="_Toc21408"/>
      <w:bookmarkStart w:id="2063" w:name="_Toc12542"/>
      <w:bookmarkStart w:id="2064" w:name="_Toc27394"/>
      <w:bookmarkStart w:id="2065" w:name="_Toc232582156"/>
      <w:r>
        <w:t>E.2</w:t>
      </w:r>
      <w:r>
        <w:tab/>
      </w:r>
      <w:r>
        <w:t>Signals and results</w:t>
      </w:r>
      <w:bookmarkEnd w:id="2060"/>
      <w:bookmarkEnd w:id="2061"/>
      <w:bookmarkEnd w:id="2062"/>
      <w:bookmarkEnd w:id="2063"/>
      <w:bookmarkEnd w:id="2064"/>
      <w:bookmarkEnd w:id="2065"/>
    </w:p>
    <w:p>
      <w:pPr>
        <w:pStyle w:val="4"/>
      </w:pPr>
      <w:bookmarkStart w:id="2066" w:name="_Toc16847"/>
      <w:bookmarkStart w:id="2067" w:name="_Toc232582157"/>
      <w:bookmarkStart w:id="2068" w:name="_Toc5598"/>
      <w:bookmarkStart w:id="2069" w:name="_Toc32713"/>
      <w:bookmarkStart w:id="2070" w:name="_Toc6464"/>
      <w:bookmarkStart w:id="2071" w:name="_Toc5191"/>
      <w:r>
        <w:t>E.2.1</w:t>
      </w:r>
      <w:r>
        <w:tab/>
      </w:r>
      <w:r>
        <w:t>Basic principle</w:t>
      </w:r>
      <w:bookmarkEnd w:id="2066"/>
      <w:bookmarkEnd w:id="2067"/>
      <w:bookmarkEnd w:id="2068"/>
      <w:bookmarkEnd w:id="2069"/>
      <w:bookmarkEnd w:id="2070"/>
      <w:bookmarkEnd w:id="2071"/>
    </w:p>
    <w:p>
      <w:r>
        <w:t xml:space="preserve">The process is based on the comparison of the actual </w:t>
      </w:r>
      <w:r>
        <w:rPr>
          <w:b/>
        </w:rPr>
        <w:t>output signal of the TX under test</w:t>
      </w:r>
      <w:r>
        <w:t xml:space="preserve">, received by an ideal receiver, with a </w:t>
      </w:r>
      <w:r>
        <w:rPr>
          <w:b/>
        </w:rPr>
        <w:t>reference signal</w:t>
      </w:r>
      <w:r>
        <w:t>, that is generated by the measuring equipment and represents an ideal error free received signal. All signals are represented as equivalent (generally complex) baseband signals.</w:t>
      </w:r>
    </w:p>
    <w:p>
      <w:r>
        <w:t>The description below uses numbers as examples. These numbers are taken from frame structure 1 with normal CP length and 20 MHz bandwidth. The application of the text below, however, is not restricted to this frame structure and bandwidth.</w:t>
      </w:r>
    </w:p>
    <w:p>
      <w:pPr>
        <w:pStyle w:val="4"/>
      </w:pPr>
      <w:bookmarkStart w:id="2072" w:name="_Toc26253"/>
      <w:bookmarkStart w:id="2073" w:name="_Toc25801"/>
      <w:bookmarkStart w:id="2074" w:name="_Toc232582158"/>
      <w:bookmarkStart w:id="2075" w:name="_Toc29272"/>
      <w:bookmarkStart w:id="2076" w:name="_Toc29310"/>
      <w:bookmarkStart w:id="2077" w:name="_Toc32547"/>
      <w:r>
        <w:t>E.2.2</w:t>
      </w:r>
      <w:r>
        <w:tab/>
      </w:r>
      <w:r>
        <w:t>Output signal of the TX under test</w:t>
      </w:r>
      <w:bookmarkEnd w:id="2072"/>
      <w:bookmarkEnd w:id="2073"/>
      <w:bookmarkEnd w:id="2074"/>
      <w:bookmarkEnd w:id="2075"/>
      <w:bookmarkEnd w:id="2076"/>
      <w:bookmarkEnd w:id="2077"/>
    </w:p>
    <w:p>
      <w:r>
        <w:t xml:space="preserve">The output signal of the TX under test is acquired by the measuring equipment and stored for further processing. It is sampled at a sampling rate of 30.72 Msps. In the time domain it comprises at least 10 </w:t>
      </w:r>
      <w:r>
        <w:rPr>
          <w:lang w:eastAsia="zh-CN"/>
        </w:rPr>
        <w:t>uplink</w:t>
      </w:r>
      <w:r>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pPr>
        <w:pStyle w:val="100"/>
      </w:pPr>
      <w:r>
        <w:t>NOTE 1:</w:t>
      </w:r>
      <w:r>
        <w:tab/>
      </w:r>
      <w:r>
        <w:t>TDD</w:t>
      </w:r>
    </w:p>
    <w:p>
      <w:pPr>
        <w:rPr>
          <w:lang w:eastAsia="zh-CN"/>
        </w:rPr>
      </w:pPr>
      <w:r>
        <w:t xml:space="preserve">For frame structure type 2, </w:t>
      </w:r>
      <w:r>
        <w:rPr>
          <w:lang w:eastAsia="zh-CN"/>
        </w:rPr>
        <w:t>subframes with special fields (UpPTS) do not undergo any evaluation. Since the uplink subframes are not continuous, the 20 slots should be extracted from more than 1 continuous radio frame:</w:t>
      </w:r>
    </w:p>
    <w:p>
      <w:r>
        <w:t xml:space="preserve">Figure E.2.2-1 is an example for </w:t>
      </w:r>
      <w:r>
        <w:rPr>
          <w:lang w:eastAsia="zh-CN"/>
        </w:rPr>
        <w:t>uplink-downlink</w:t>
      </w:r>
      <w:r>
        <w:t xml:space="preserve"> configuration 1 (DSUUDDSUUD) as specified in TS </w:t>
      </w:r>
      <w:r>
        <w:rPr>
          <w:lang w:eastAsia="zh-CN"/>
        </w:rPr>
        <w:t>36</w:t>
      </w:r>
      <w:r>
        <w:t>.211 [8] Table 4.2-2,assuming all uplink subframes are active.</w:t>
      </w:r>
    </w:p>
    <w:p>
      <w:pPr>
        <w:pStyle w:val="113"/>
      </w:pPr>
      <w:bookmarkStart w:id="2078" w:name="_MON_1317025491"/>
      <w:bookmarkEnd w:id="2078"/>
      <w:bookmarkStart w:id="2079" w:name="_MON_1317024721"/>
      <w:bookmarkEnd w:id="2079"/>
      <w:r>
        <w:object>
          <v:shape id="_x0000_i1126" o:spt="75" type="#_x0000_t75" style="height:153.6pt;width:452.4pt;" o:ole="t" filled="f" o:preferrelative="t" stroked="f" coordsize="21600,21600">
            <v:path/>
            <v:fill on="f" focussize="0,0"/>
            <v:stroke on="f" joinstyle="miter"/>
            <v:imagedata r:id="rId185" o:title=""/>
            <o:lock v:ext="edit" aspectratio="t"/>
            <w10:wrap type="none"/>
            <w10:anchorlock/>
          </v:shape>
          <o:OLEObject Type="Embed" ProgID="Word.Picture.8" ShapeID="_x0000_i1126" DrawAspect="Content" ObjectID="_1468075826" r:id="rId184">
            <o:LockedField>false</o:LockedField>
          </o:OLEObject>
        </w:object>
      </w:r>
    </w:p>
    <w:p>
      <w:pPr>
        <w:pStyle w:val="120"/>
      </w:pPr>
      <w:r>
        <w:t>Figure E.2.2</w:t>
      </w:r>
      <w:r>
        <w:rPr>
          <w:lang w:eastAsia="zh-CN"/>
        </w:rPr>
        <w:t>-1</w:t>
      </w:r>
      <w:r>
        <w:t>: Example of uplink – downlink configuration 1</w:t>
      </w:r>
    </w:p>
    <w:p/>
    <w:p>
      <w:pPr>
        <w:pStyle w:val="4"/>
      </w:pPr>
      <w:bookmarkStart w:id="2080" w:name="_Toc3242"/>
      <w:bookmarkStart w:id="2081" w:name="_Toc2194"/>
      <w:bookmarkStart w:id="2082" w:name="_Toc24875"/>
      <w:bookmarkStart w:id="2083" w:name="_Toc6199"/>
      <w:bookmarkStart w:id="2084" w:name="_Toc232582159"/>
      <w:bookmarkStart w:id="2085" w:name="_Toc5625"/>
      <w:r>
        <w:t>E.2.3</w:t>
      </w:r>
      <w:r>
        <w:tab/>
      </w:r>
      <w:r>
        <w:t>Reference signal</w:t>
      </w:r>
      <w:bookmarkEnd w:id="2080"/>
      <w:bookmarkEnd w:id="2081"/>
      <w:bookmarkEnd w:id="2082"/>
      <w:bookmarkEnd w:id="2083"/>
      <w:bookmarkEnd w:id="2084"/>
      <w:bookmarkEnd w:id="2085"/>
    </w:p>
    <w:p>
      <w:r>
        <w:t>Two types of reference signal are defined:</w:t>
      </w:r>
    </w:p>
    <w:p>
      <w:r>
        <w:t>The reference signal i</w:t>
      </w:r>
      <w:r>
        <w:rPr>
          <w:vertAlign w:val="subscript"/>
        </w:rPr>
        <w:t>1</w:t>
      </w:r>
      <w:r>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r>
        <w:t>The reference signal i</w:t>
      </w:r>
      <w:r>
        <w:rPr>
          <w:vertAlign w:val="subscript"/>
        </w:rPr>
        <w:t>2</w:t>
      </w:r>
      <w:r>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pPr>
        <w:pStyle w:val="100"/>
      </w:pPr>
      <w:r>
        <w:t>NOTE:</w:t>
      </w:r>
      <w:r>
        <w:tab/>
      </w:r>
      <w:r>
        <w:t>The PUCCH is off during the time under test.</w:t>
      </w:r>
    </w:p>
    <w:p>
      <w:pPr>
        <w:pStyle w:val="4"/>
        <w:rPr>
          <w:snapToGrid w:val="0"/>
        </w:rPr>
      </w:pPr>
      <w:bookmarkStart w:id="2086" w:name="_Toc27078"/>
      <w:bookmarkStart w:id="2087" w:name="_Toc232582160"/>
      <w:bookmarkStart w:id="2088" w:name="_Toc11313"/>
      <w:bookmarkStart w:id="2089" w:name="_Toc19373"/>
      <w:bookmarkStart w:id="2090" w:name="_Toc5436"/>
      <w:bookmarkStart w:id="2091" w:name="_Toc31576"/>
      <w:r>
        <w:rPr>
          <w:snapToGrid w:val="0"/>
        </w:rPr>
        <w:t>E.2.4</w:t>
      </w:r>
      <w:r>
        <w:rPr>
          <w:snapToGrid w:val="0"/>
        </w:rPr>
        <w:tab/>
      </w:r>
      <w:r>
        <w:rPr>
          <w:snapToGrid w:val="0"/>
        </w:rPr>
        <w:t>Measurement results</w:t>
      </w:r>
      <w:bookmarkEnd w:id="2086"/>
      <w:bookmarkEnd w:id="2087"/>
      <w:bookmarkEnd w:id="2088"/>
      <w:bookmarkEnd w:id="2089"/>
      <w:bookmarkEnd w:id="2090"/>
      <w:bookmarkEnd w:id="2091"/>
    </w:p>
    <w:p>
      <w:pPr>
        <w:rPr>
          <w:snapToGrid w:val="0"/>
        </w:rPr>
      </w:pPr>
      <w:r>
        <w:rPr>
          <w:snapToGrid w:val="0"/>
        </w:rPr>
        <w:t>The measurement results, achieved by the global in channel TX test are the following:</w:t>
      </w:r>
    </w:p>
    <w:p>
      <w:pPr>
        <w:pStyle w:val="111"/>
      </w:pPr>
      <w:bookmarkStart w:id="2092" w:name="_Toc232582161"/>
      <w:r>
        <w:t>-</w:t>
      </w:r>
      <w:r>
        <w:tab/>
      </w:r>
      <w:r>
        <w:t>Carrier Frequency error</w:t>
      </w:r>
    </w:p>
    <w:p>
      <w:pPr>
        <w:pStyle w:val="111"/>
      </w:pPr>
      <w:r>
        <w:t>-</w:t>
      </w:r>
      <w:r>
        <w:tab/>
      </w:r>
      <w:r>
        <w:t>EVM (Error Vector Magnitude)</w:t>
      </w:r>
    </w:p>
    <w:p>
      <w:pPr>
        <w:pStyle w:val="111"/>
      </w:pPr>
      <w:r>
        <w:t>-</w:t>
      </w:r>
      <w:r>
        <w:tab/>
      </w:r>
      <w:r>
        <w:t>Carrier leakage</w:t>
      </w:r>
    </w:p>
    <w:p>
      <w:pPr>
        <w:pStyle w:val="111"/>
      </w:pPr>
      <w:r>
        <w:t>-</w:t>
      </w:r>
      <w:r>
        <w:tab/>
      </w:r>
      <w:r>
        <w:t>Unwanted emissions, falling into non allocated resource blocks.</w:t>
      </w:r>
    </w:p>
    <w:p>
      <w:pPr>
        <w:pStyle w:val="111"/>
      </w:pPr>
      <w:r>
        <w:t>-</w:t>
      </w:r>
      <w:r>
        <w:tab/>
      </w:r>
      <w:r>
        <w:t>EVM equalizer spectrum flatness</w:t>
      </w:r>
    </w:p>
    <w:p>
      <w:pPr>
        <w:pStyle w:val="4"/>
      </w:pPr>
      <w:bookmarkStart w:id="2093" w:name="_Toc3491"/>
      <w:bookmarkStart w:id="2094" w:name="_Toc12443"/>
      <w:bookmarkStart w:id="2095" w:name="_Toc30340"/>
      <w:bookmarkStart w:id="2096" w:name="_Toc11022"/>
      <w:bookmarkStart w:id="2097" w:name="_Toc17034"/>
      <w:r>
        <w:t>E.2.5</w:t>
      </w:r>
      <w:r>
        <w:tab/>
      </w:r>
      <w:r>
        <w:t>Measurement points</w:t>
      </w:r>
      <w:bookmarkEnd w:id="2092"/>
      <w:bookmarkEnd w:id="2093"/>
      <w:bookmarkEnd w:id="2094"/>
      <w:bookmarkEnd w:id="2095"/>
      <w:bookmarkEnd w:id="2096"/>
      <w:bookmarkEnd w:id="2097"/>
    </w:p>
    <w:p>
      <w:r>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pPr>
        <w:pStyle w:val="113"/>
      </w:pPr>
      <w:r>
        <w:drawing>
          <wp:inline distT="0" distB="0" distL="114300" distR="11430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6"/>
                    <a:stretch>
                      <a:fillRect/>
                    </a:stretch>
                  </pic:blipFill>
                  <pic:spPr>
                    <a:xfrm>
                      <a:off x="0" y="0"/>
                      <a:ext cx="5486400" cy="1289050"/>
                    </a:xfrm>
                    <a:prstGeom prst="rect">
                      <a:avLst/>
                    </a:prstGeom>
                    <a:noFill/>
                    <a:ln>
                      <a:noFill/>
                    </a:ln>
                  </pic:spPr>
                </pic:pic>
              </a:graphicData>
            </a:graphic>
          </wp:inline>
        </w:drawing>
      </w:r>
    </w:p>
    <w:p>
      <w:pPr>
        <w:pStyle w:val="120"/>
        <w:rPr>
          <w:rFonts w:eastAsia="Osaka"/>
        </w:rPr>
      </w:pPr>
      <w:r>
        <w:rPr>
          <w:rFonts w:eastAsia="Osaka"/>
        </w:rPr>
        <w:t>Figure E.2.5-1: EVM measurement points</w:t>
      </w:r>
    </w:p>
    <w:p/>
    <w:p>
      <w:pPr>
        <w:pStyle w:val="3"/>
        <w:rPr>
          <w:snapToGrid w:val="0"/>
        </w:rPr>
      </w:pPr>
      <w:bookmarkStart w:id="2098" w:name="_Toc1076"/>
      <w:bookmarkStart w:id="2099" w:name="_Toc27866"/>
      <w:bookmarkStart w:id="2100" w:name="_Toc16709"/>
      <w:bookmarkStart w:id="2101" w:name="_Toc232582162"/>
      <w:bookmarkStart w:id="2102" w:name="_Toc19102"/>
      <w:bookmarkStart w:id="2103" w:name="_Toc9640"/>
      <w:r>
        <w:rPr>
          <w:snapToGrid w:val="0"/>
        </w:rPr>
        <w:t>E.3</w:t>
      </w:r>
      <w:r>
        <w:rPr>
          <w:snapToGrid w:val="0"/>
        </w:rPr>
        <w:tab/>
      </w:r>
      <w:r>
        <w:rPr>
          <w:snapToGrid w:val="0"/>
        </w:rPr>
        <w:t>Signal processing</w:t>
      </w:r>
      <w:bookmarkEnd w:id="2098"/>
      <w:bookmarkEnd w:id="2099"/>
      <w:bookmarkEnd w:id="2100"/>
      <w:bookmarkEnd w:id="2101"/>
      <w:bookmarkEnd w:id="2102"/>
      <w:bookmarkEnd w:id="2103"/>
    </w:p>
    <w:p>
      <w:pPr>
        <w:pStyle w:val="4"/>
      </w:pPr>
      <w:bookmarkStart w:id="2104" w:name="_Toc232582163"/>
      <w:bookmarkStart w:id="2105" w:name="_Toc4831"/>
      <w:bookmarkStart w:id="2106" w:name="_Toc14858"/>
      <w:bookmarkStart w:id="2107" w:name="_Toc13750"/>
      <w:bookmarkStart w:id="2108" w:name="_Toc12739"/>
      <w:bookmarkStart w:id="2109" w:name="_Toc26743"/>
      <w:r>
        <w:t>E.3.1</w:t>
      </w:r>
      <w:r>
        <w:tab/>
      </w:r>
      <w:r>
        <w:t>Pre FFT minimization process</w:t>
      </w:r>
      <w:bookmarkEnd w:id="2104"/>
      <w:bookmarkEnd w:id="2105"/>
      <w:bookmarkEnd w:id="2106"/>
      <w:bookmarkEnd w:id="2107"/>
      <w:bookmarkEnd w:id="2108"/>
      <w:bookmarkEnd w:id="2109"/>
    </w:p>
    <w:p>
      <w:r>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r>
        <w:t>The carrier frequency variation and the IQ variation are the measurement results: Carrier Frequency Error and Carrier leakage.</w:t>
      </w:r>
    </w:p>
    <w:p>
      <w:r>
        <w:t>From the acquired samples 20 carrier frequencies and 20 carrier leakages can be derived.</w:t>
      </w:r>
    </w:p>
    <w:p>
      <w:pPr>
        <w:pStyle w:val="100"/>
      </w:pPr>
      <w:r>
        <w:t>NOTE 1:</w:t>
      </w:r>
      <w:r>
        <w:tab/>
      </w:r>
      <w:r>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pPr>
        <w:pStyle w:val="100"/>
      </w:pPr>
      <w:r>
        <w:t>NOTE 2:</w:t>
      </w:r>
      <w:r>
        <w:tab/>
      </w:r>
      <w:r>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r>
        <w:t>After this process the samples z(ν) are called z</w:t>
      </w:r>
      <w:r>
        <w:rPr>
          <w:vertAlign w:val="superscript"/>
        </w:rPr>
        <w:t>0</w:t>
      </w:r>
      <w:r>
        <w:t>(ν).</w:t>
      </w:r>
    </w:p>
    <w:p>
      <w:pPr>
        <w:pStyle w:val="4"/>
      </w:pPr>
      <w:bookmarkStart w:id="2110" w:name="_Toc232582164"/>
      <w:bookmarkStart w:id="2111" w:name="_Toc13020"/>
      <w:bookmarkStart w:id="2112" w:name="_Toc22653"/>
      <w:bookmarkStart w:id="2113" w:name="_Toc10719"/>
      <w:bookmarkStart w:id="2114" w:name="_Toc31967"/>
      <w:bookmarkStart w:id="2115" w:name="_Toc17466"/>
      <w:r>
        <w:t>E.3.2</w:t>
      </w:r>
      <w:r>
        <w:tab/>
      </w:r>
      <w:r>
        <w:t>Timing of the FFT window</w:t>
      </w:r>
      <w:bookmarkEnd w:id="2110"/>
      <w:bookmarkEnd w:id="2111"/>
      <w:bookmarkEnd w:id="2112"/>
      <w:bookmarkEnd w:id="2113"/>
      <w:bookmarkEnd w:id="2114"/>
      <w:bookmarkEnd w:id="2115"/>
    </w:p>
    <w:p>
      <w:pPr>
        <w:rPr>
          <w:rFonts w:eastAsia="Osaka"/>
        </w:rPr>
      </w:pPr>
      <w:r>
        <w:rPr>
          <w:rFonts w:eastAsia="Osaka"/>
        </w:rPr>
        <w:t>The FFT window length is 2048 samples per OFDM symbol. 7 FFTs (14336 samples) cover less than the acquired number of samples (15360 samples) The position in time for FFT must be determined.</w:t>
      </w:r>
    </w:p>
    <w:p>
      <w:pPr>
        <w:rPr>
          <w:rFonts w:eastAsia="Osaka"/>
        </w:rPr>
      </w:pPr>
      <w:r>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r>
        <w:rPr>
          <w:rFonts w:eastAsia="Osaka"/>
        </w:rPr>
        <w:t xml:space="preserve">Centre of the reduced window, called </w:t>
      </w:r>
      <w:r>
        <w:rPr>
          <w:position w:val="-6"/>
        </w:rPr>
        <w:object>
          <v:shape id="_x0000_i1127"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27" DrawAspect="Content" ObjectID="_1468075827" r:id="rId187">
            <o:LockedField>false</o:LockedField>
          </o:OLEObject>
        </w:object>
      </w:r>
      <w:r>
        <w:t xml:space="preserve">, </w:t>
      </w:r>
      <w:r>
        <w:rPr>
          <w:position w:val="-6"/>
        </w:rPr>
        <w:object>
          <v:shape id="_x0000_i1128"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28" DrawAspect="Content" ObjectID="_1468075828" r:id="rId189">
            <o:LockedField>false</o:LockedField>
          </o:OLEObject>
        </w:object>
      </w:r>
      <w:r>
        <w:t xml:space="preserve"> –W/2 and </w:t>
      </w:r>
      <w:r>
        <w:rPr>
          <w:position w:val="-6"/>
        </w:rPr>
        <w:object>
          <v:shape id="_x0000_i1129"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29" DrawAspect="Content" ObjectID="_1468075829" r:id="rId190">
            <o:LockedField>false</o:LockedField>
          </o:OLEObject>
        </w:object>
      </w:r>
      <w:r>
        <w:t xml:space="preserve"> +W/2. </w:t>
      </w:r>
    </w:p>
    <w:p>
      <w:r>
        <w:t>The timing of the measured signal is determined in the pre FFT domain as follows, using z</w:t>
      </w:r>
      <w:r>
        <w:rPr>
          <w:vertAlign w:val="superscript"/>
        </w:rPr>
        <w:t>0</w:t>
      </w:r>
      <w:r>
        <w:t>(ν) and i</w:t>
      </w:r>
      <w:r>
        <w:rPr>
          <w:vertAlign w:val="subscript"/>
        </w:rPr>
        <w:t>2</w:t>
      </w:r>
      <w:r>
        <w:t>(ν) :</w:t>
      </w:r>
    </w:p>
    <w:p>
      <w:pPr>
        <w:pStyle w:val="111"/>
      </w:pPr>
      <w:r>
        <w:t>1.</w:t>
      </w:r>
      <w:r>
        <w:tab/>
      </w:r>
      <w:r>
        <w:t>The measured signal is delay spread by the TX filter. Hence the distinct boarders between the OFDM symbols and between Data and CP are also spread and the timing is not obvious.</w:t>
      </w:r>
    </w:p>
    <w:p>
      <w:pPr>
        <w:pStyle w:val="111"/>
      </w:pPr>
      <w:r>
        <w:t>2.</w:t>
      </w:r>
      <w:r>
        <w:tab/>
      </w:r>
      <w:r>
        <w:t>In the Reference Signal i</w:t>
      </w:r>
      <w:r>
        <w:rPr>
          <w:vertAlign w:val="subscript"/>
        </w:rPr>
        <w:t>2</w:t>
      </w:r>
      <w:r>
        <w:t>(ν) the timing is known.</w:t>
      </w:r>
    </w:p>
    <w:p>
      <w:pPr>
        <w:pStyle w:val="111"/>
      </w:pPr>
      <w:r>
        <w:t>3.</w:t>
      </w:r>
      <w:r>
        <w:tab/>
      </w:r>
      <w:r>
        <w:t>Correlation between (1.) and (2.) will result in a correlation peak. The meaning of the correlation peak is approx. the “impulse response” of the TX filter. The meaning of “impulse response” assumes that the autocorrelation of the reference signal i</w:t>
      </w:r>
      <w:r>
        <w:rPr>
          <w:vertAlign w:val="subscript"/>
        </w:rPr>
        <w:t>2</w:t>
      </w:r>
      <w:r>
        <w:t>(ν) is a Dirac peak and that the correlation between the reference signal i</w:t>
      </w:r>
      <w:r>
        <w:rPr>
          <w:vertAlign w:val="subscript"/>
        </w:rPr>
        <w:t>2</w:t>
      </w:r>
      <w:r>
        <w:t>(ν) and the data in the measured signal is 0. The correlation peak, (the highest, or in case of more than one, the earliest) indicates the timing in the measured signal.</w:t>
      </w:r>
    </w:p>
    <w:p>
      <w:r>
        <w:t>From the acquired samples 20 timings can be derived.</w:t>
      </w:r>
    </w:p>
    <w:p>
      <w:r>
        <w:t>For all calculations, except EVM, the number of samples in z</w:t>
      </w:r>
      <w:r>
        <w:rPr>
          <w:vertAlign w:val="superscript"/>
        </w:rPr>
        <w:t>0</w:t>
      </w:r>
      <w:r>
        <w:t xml:space="preserve">(ν) is reduced to 7 blocks of samples, comprising 2048 samples (FFT width) and starting with </w:t>
      </w:r>
      <w:r>
        <w:rPr>
          <w:position w:val="-6"/>
        </w:rPr>
        <w:object>
          <v:shape id="_x0000_i1130"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0" DrawAspect="Content" ObjectID="_1468075830" r:id="rId191">
            <o:LockedField>false</o:LockedField>
          </o:OLEObject>
        </w:object>
      </w:r>
      <w:r>
        <w:t xml:space="preserve"> in each OFDM symbol including the demodulation reference signal.</w:t>
      </w:r>
    </w:p>
    <w:p>
      <w:r>
        <w:t xml:space="preserve">For the EVM calculation the output signal under test is reduced to 14 blocks of samples, comprising 2048 samples (FFT width) and starting with </w:t>
      </w:r>
      <w:r>
        <w:rPr>
          <w:position w:val="-6"/>
        </w:rPr>
        <w:object>
          <v:shape id="_x0000_i1131"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1" DrawAspect="Content" ObjectID="_1468075831" r:id="rId192">
            <o:LockedField>false</o:LockedField>
          </o:OLEObject>
        </w:object>
      </w:r>
      <w:r>
        <w:t xml:space="preserve"> –W/2 and </w:t>
      </w:r>
      <w:r>
        <w:rPr>
          <w:position w:val="-6"/>
        </w:rPr>
        <w:object>
          <v:shape id="_x0000_i1132"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2" DrawAspect="Content" ObjectID="_1468075832" r:id="rId193">
            <o:LockedField>false</o:LockedField>
          </o:OLEObject>
        </w:object>
      </w:r>
      <w:r>
        <w:t xml:space="preserve"> +W/2 in each OFDM symbol including the demodulation reference signal.</w:t>
      </w:r>
    </w:p>
    <w:p>
      <w:r>
        <w:t>The number of samples, used for FFT is reduced compared to z</w:t>
      </w:r>
      <w:r>
        <w:rPr>
          <w:vertAlign w:val="superscript"/>
        </w:rPr>
        <w:t>0</w:t>
      </w:r>
      <w:r>
        <w:t>(ν). This subset of samples is called z’(ν).</w:t>
      </w:r>
    </w:p>
    <w:p>
      <w:r>
        <w:t xml:space="preserve">The timing of the centre </w:t>
      </w:r>
      <w:r>
        <w:rPr>
          <w:position w:val="-6"/>
        </w:rPr>
        <w:object>
          <v:shape id="_x0000_i1133"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3" DrawAspect="Content" ObjectID="_1468075833" r:id="rId194">
            <o:LockedField>false</o:LockedField>
          </o:OLEObject>
        </w:object>
      </w:r>
      <w:r>
        <w:t xml:space="preserve"> with respect to the different CP length in a slot is as follows: (Frame structure 1, normal CP length)</w:t>
      </w:r>
    </w:p>
    <w:p>
      <w:r>
        <w:rPr>
          <w:position w:val="-6"/>
        </w:rPr>
        <w:object>
          <v:shape id="_x0000_i1134"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4" DrawAspect="Content" ObjectID="_1468075834" r:id="rId195">
            <o:LockedField>false</o:LockedField>
          </o:OLEObject>
        </w:object>
      </w:r>
      <w:r>
        <w:t xml:space="preserve"> is on T</w:t>
      </w:r>
      <w:r>
        <w:rPr>
          <w:vertAlign w:val="subscript"/>
        </w:rPr>
        <w:t>f</w:t>
      </w:r>
      <w:r>
        <w:t>=72 within the CP of length 144 (in OFDM symbol 1 to 6)</w:t>
      </w:r>
    </w:p>
    <w:p>
      <w:r>
        <w:rPr>
          <w:position w:val="-6"/>
        </w:rPr>
        <w:object>
          <v:shape id="_x0000_i1135"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5" DrawAspect="Content" ObjectID="_1468075835" r:id="rId196">
            <o:LockedField>false</o:LockedField>
          </o:OLEObject>
        </w:object>
      </w:r>
      <w:r>
        <w:t xml:space="preserve"> is on T</w:t>
      </w:r>
      <w:r>
        <w:rPr>
          <w:vertAlign w:val="subscript"/>
        </w:rPr>
        <w:t>f</w:t>
      </w:r>
      <w:r>
        <w:t>=88 (=160-72) within the CP of length 160 (in OFDM symbol 0)</w:t>
      </w:r>
    </w:p>
    <w:p>
      <w:pPr>
        <w:pStyle w:val="4"/>
      </w:pPr>
      <w:bookmarkStart w:id="2116" w:name="_Toc232582165"/>
      <w:bookmarkStart w:id="2117" w:name="_Toc2533"/>
      <w:bookmarkStart w:id="2118" w:name="_Toc7794"/>
      <w:bookmarkStart w:id="2119" w:name="_Toc7890"/>
      <w:bookmarkStart w:id="2120" w:name="_Toc19094"/>
      <w:bookmarkStart w:id="2121" w:name="_Toc5099"/>
      <w:r>
        <w:t>E.3.3</w:t>
      </w:r>
      <w:r>
        <w:tab/>
      </w:r>
      <w:r>
        <w:t>Post FFT equalisation</w:t>
      </w:r>
      <w:bookmarkEnd w:id="2116"/>
      <w:bookmarkEnd w:id="2117"/>
      <w:bookmarkEnd w:id="2118"/>
      <w:bookmarkEnd w:id="2119"/>
      <w:bookmarkEnd w:id="2120"/>
      <w:bookmarkEnd w:id="2121"/>
    </w:p>
    <w:p>
      <w:r>
        <w:t xml:space="preserve">Perform 7 FFTs on z’(ν), one for each OFDM symbol in a slot using the timing </w:t>
      </w:r>
      <w:r>
        <w:rPr>
          <w:position w:val="-6"/>
        </w:rPr>
        <w:object>
          <v:shape id="_x0000_i1136"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6" DrawAspect="Content" ObjectID="_1468075836" r:id="rId197">
            <o:LockedField>false</o:LockedField>
          </o:OLEObject>
        </w:object>
      </w:r>
      <w:r>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r>
        <w:t>Only the allocated resource blocks in the frequency domain are used for equalisation.</w:t>
      </w:r>
    </w:p>
    <w:p>
      <w:r>
        <w:t>The nominal demodulation reference symbols and nominal DFT coded data symbols are used to equalize the measured data symbols. (Location for equalization see Figure E.2.5-1)</w:t>
      </w:r>
    </w:p>
    <w:p>
      <w:pPr>
        <w:pStyle w:val="100"/>
      </w:pPr>
      <w:r>
        <w:t>NOTE:</w:t>
      </w:r>
      <w:r>
        <w:tab/>
      </w:r>
      <w:r>
        <w:t>The nomenclature inside this note is local and not valid outside.</w:t>
      </w:r>
    </w:p>
    <w:p>
      <w:r>
        <w:t>The nominal DFT coded data symbols are created by a demodulation process. The location to gain the demodulated data symbols is “EVM” in Figure E.2.5-1. A demodulation process as follows is recommended:</w:t>
      </w:r>
    </w:p>
    <w:p>
      <w:pPr>
        <w:pStyle w:val="111"/>
      </w:pPr>
      <w:r>
        <w:t>1.</w:t>
      </w:r>
      <w:r>
        <w:tab/>
      </w:r>
      <w:r>
        <w:t>Equalize the measured DFT coded data symbols using the reference symbols for equalisation. Result: Equalized DFT coded data symbols</w:t>
      </w:r>
    </w:p>
    <w:p>
      <w:pPr>
        <w:pStyle w:val="111"/>
      </w:pPr>
      <w:r>
        <w:t>2.</w:t>
      </w:r>
      <w:r>
        <w:tab/>
      </w:r>
      <w:r>
        <w:t>iDFT transform the equalized DFT coded data symbols: Result: Equalized data symbols</w:t>
      </w:r>
    </w:p>
    <w:p>
      <w:pPr>
        <w:pStyle w:val="111"/>
      </w:pPr>
      <w:r>
        <w:t>3.</w:t>
      </w:r>
      <w:r>
        <w:tab/>
      </w:r>
      <w:r>
        <w:t>Decide for the nearest constellation point: Result: Nominal data symbols</w:t>
      </w:r>
    </w:p>
    <w:p>
      <w:pPr>
        <w:pStyle w:val="111"/>
      </w:pPr>
      <w:r>
        <w:t>4.</w:t>
      </w:r>
      <w:r>
        <w:tab/>
      </w:r>
      <w:r>
        <w:t>DFT transform the nominal data symbols: Result: Nominal DFT coded data symbols</w:t>
      </w:r>
    </w:p>
    <w:p>
      <w:r>
        <w:t xml:space="preserve">At this stage we have an array of </w:t>
      </w:r>
      <w:r>
        <w:rPr>
          <w:u w:val="single"/>
        </w:rPr>
        <w:t>M</w:t>
      </w:r>
      <w:r>
        <w:t xml:space="preserve">easured </w:t>
      </w:r>
      <w:r>
        <w:rPr>
          <w:lang w:eastAsia="zh-CN"/>
        </w:rPr>
        <w:t xml:space="preserve">DFT coded </w:t>
      </w:r>
      <w:r>
        <w:t>data-</w:t>
      </w:r>
      <w:r>
        <w:rPr>
          <w:u w:val="single"/>
        </w:rPr>
        <w:t>S</w:t>
      </w:r>
      <w:r>
        <w:t>ymbols and reference-</w:t>
      </w:r>
      <w:r>
        <w:rPr>
          <w:u w:val="single"/>
        </w:rPr>
        <w:t>S</w:t>
      </w:r>
      <w:r>
        <w:t>ymbols (MS(f,t))</w:t>
      </w:r>
    </w:p>
    <w:p>
      <w:r>
        <w:t xml:space="preserve">versus an array of </w:t>
      </w:r>
      <w:r>
        <w:rPr>
          <w:u w:val="single"/>
        </w:rPr>
        <w:t>N</w:t>
      </w:r>
      <w:r>
        <w:t>ominal</w:t>
      </w:r>
      <w:r>
        <w:rPr>
          <w:lang w:eastAsia="zh-CN"/>
        </w:rPr>
        <w:t xml:space="preserve"> DFT coded</w:t>
      </w:r>
      <w:r>
        <w:t xml:space="preserve"> data-</w:t>
      </w:r>
      <w:r>
        <w:rPr>
          <w:u w:val="single"/>
        </w:rPr>
        <w:t>S</w:t>
      </w:r>
      <w:r>
        <w:t xml:space="preserve">ymbols and reference </w:t>
      </w:r>
      <w:r>
        <w:rPr>
          <w:u w:val="single"/>
        </w:rPr>
        <w:t>S</w:t>
      </w:r>
      <w:r>
        <w:t>ymbols (NS(f,t))</w:t>
      </w:r>
    </w:p>
    <w:p>
      <w:r>
        <w:t>(complex, the arrays comprise 6 DFT coded data symbols and 1 demodulation reference symbol in the time axis and the number of allocated subcarriers in the frequency axis.)</w:t>
      </w:r>
    </w:p>
    <w:p>
      <w:pPr>
        <w:spacing w:after="0"/>
      </w:pPr>
      <w:r>
        <w:t>MS(f,t) and NS(f,t) are processed with a least square (LS) estimator, to derive one equalizer coefficient per time slot and per allocated subcarrier. EC(f)</w:t>
      </w:r>
    </w:p>
    <w:p>
      <w:pPr>
        <w:pStyle w:val="95"/>
        <w:jc w:val="center"/>
      </w:pPr>
      <w:r>
        <w:rPr>
          <w:position w:val="-60"/>
        </w:rPr>
        <w:object>
          <v:shape id="_x0000_i1137" o:spt="75" type="#_x0000_t75" style="height:66pt;width:155.4pt;" o:ole="t" filled="f" o:preferrelative="t" stroked="f" coordsize="21600,21600">
            <v:path/>
            <v:fill on="f" focussize="0,0"/>
            <v:stroke on="f" joinstyle="miter"/>
            <v:imagedata r:id="rId199" o:title=""/>
            <o:lock v:ext="edit" aspectratio="t"/>
            <w10:wrap type="none"/>
            <w10:anchorlock/>
          </v:shape>
          <o:OLEObject Type="Embed" ProgID="Equation.3" ShapeID="_x0000_i1137" DrawAspect="Content" ObjectID="_1468075837" r:id="rId198">
            <o:LockedField>false</o:LockedField>
          </o:OLEObject>
        </w:object>
      </w:r>
    </w:p>
    <w:p>
      <w:r>
        <w:t>With * denoting complex conjugation.</w:t>
      </w:r>
    </w:p>
    <w:p>
      <w:r>
        <w:t>EC(f) are used to equalize the DFT-coded data symbols. The measured DFT-coded data and the references symbols are equalized by:</w:t>
      </w:r>
    </w:p>
    <w:p>
      <w:pPr>
        <w:pStyle w:val="95"/>
        <w:jc w:val="center"/>
      </w:pPr>
      <w:r>
        <w:t xml:space="preserve">Z’(f,t) = MS(f,t) </w:t>
      </w:r>
      <w:r>
        <w:rPr>
          <w:b/>
          <w:vertAlign w:val="superscript"/>
        </w:rPr>
        <w:t>.</w:t>
      </w:r>
      <w:r>
        <w:t xml:space="preserve"> EC(f)</w:t>
      </w:r>
    </w:p>
    <w:p>
      <w:r>
        <w:t xml:space="preserve">With </w:t>
      </w:r>
      <w:r>
        <w:rPr>
          <w:b/>
          <w:vertAlign w:val="superscript"/>
        </w:rPr>
        <w:t>.</w:t>
      </w:r>
      <w:r>
        <w:t xml:space="preserve"> denoting multiplication.</w:t>
      </w:r>
    </w:p>
    <w:p>
      <w:r>
        <w:t>Z’(f,t), restricted to the data symbol (excluding t=3) is used to calculate EVM, as described in E.4.1.</w:t>
      </w:r>
    </w:p>
    <w:p>
      <w:r>
        <w:t>EC(f) is used in E.4.4 to calculate EVM equalizer spectral flatness.</w:t>
      </w:r>
    </w:p>
    <w:p>
      <w:pPr>
        <w:pStyle w:val="100"/>
      </w:pPr>
      <w:r>
        <w:t>NOTE:</w:t>
      </w:r>
      <w:r>
        <w:tab/>
      </w:r>
      <w:r>
        <w:t>although an exclusion period for EVM may be applicable in E.7, the post FFT minimisation process is done over 7 symbols (6 DFT-coded data symbols and 1 reference symbol).</w:t>
      </w:r>
    </w:p>
    <w:p>
      <w:r>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pPr>
        <w:pStyle w:val="3"/>
        <w:rPr>
          <w:snapToGrid w:val="0"/>
        </w:rPr>
      </w:pPr>
      <w:bookmarkStart w:id="2122" w:name="_Toc9265"/>
      <w:bookmarkStart w:id="2123" w:name="_Toc22864"/>
      <w:bookmarkStart w:id="2124" w:name="_Toc5279"/>
      <w:bookmarkStart w:id="2125" w:name="_Toc25249"/>
      <w:bookmarkStart w:id="2126" w:name="_Toc232582166"/>
      <w:bookmarkStart w:id="2127" w:name="_Toc29261"/>
      <w:r>
        <w:rPr>
          <w:snapToGrid w:val="0"/>
        </w:rPr>
        <w:t>E.4</w:t>
      </w:r>
      <w:r>
        <w:rPr>
          <w:snapToGrid w:val="0"/>
        </w:rPr>
        <w:tab/>
      </w:r>
      <w:r>
        <w:rPr>
          <w:snapToGrid w:val="0"/>
        </w:rPr>
        <w:t>Derivation of the results</w:t>
      </w:r>
      <w:bookmarkEnd w:id="2122"/>
      <w:bookmarkEnd w:id="2123"/>
      <w:bookmarkEnd w:id="2124"/>
      <w:bookmarkEnd w:id="2125"/>
      <w:bookmarkEnd w:id="2126"/>
      <w:bookmarkEnd w:id="2127"/>
    </w:p>
    <w:p>
      <w:pPr>
        <w:pStyle w:val="4"/>
      </w:pPr>
      <w:bookmarkStart w:id="2128" w:name="_Toc6469"/>
      <w:bookmarkStart w:id="2129" w:name="_Toc18050"/>
      <w:bookmarkStart w:id="2130" w:name="_Toc232582167"/>
      <w:bookmarkStart w:id="2131" w:name="_Toc27105"/>
      <w:bookmarkStart w:id="2132" w:name="_Toc3928"/>
      <w:bookmarkStart w:id="2133" w:name="_Toc4999"/>
      <w:r>
        <w:t>E.4.1</w:t>
      </w:r>
      <w:r>
        <w:tab/>
      </w:r>
      <w:r>
        <w:t>EVM</w:t>
      </w:r>
      <w:bookmarkEnd w:id="2128"/>
      <w:bookmarkEnd w:id="2129"/>
      <w:bookmarkEnd w:id="2130"/>
      <w:bookmarkEnd w:id="2131"/>
      <w:bookmarkEnd w:id="2132"/>
      <w:bookmarkEnd w:id="2133"/>
    </w:p>
    <w:p>
      <w:r>
        <w:rPr>
          <w:rFonts w:eastAsia="Osaka"/>
        </w:rPr>
        <w:t xml:space="preserve">For EVM create two sets of </w:t>
      </w:r>
      <w:r>
        <w:t>Z’(f,t).</w:t>
      </w:r>
      <w:r>
        <w:rPr>
          <w:rFonts w:eastAsia="Osaka"/>
        </w:rPr>
        <w:t xml:space="preserve">, according to the timing </w:t>
      </w:r>
      <w:r>
        <w:t xml:space="preserve">” </w:t>
      </w:r>
      <w:r>
        <w:rPr>
          <w:position w:val="-6"/>
        </w:rPr>
        <w:object>
          <v:shape id="_x0000_i1138"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8" DrawAspect="Content" ObjectID="_1468075838" r:id="rId200">
            <o:LockedField>false</o:LockedField>
          </o:OLEObject>
        </w:object>
      </w:r>
      <w:r>
        <w:t xml:space="preserve"> –W/2 and </w:t>
      </w:r>
      <w:r>
        <w:rPr>
          <w:position w:val="-6"/>
        </w:rPr>
        <w:object>
          <v:shape id="_x0000_i1139"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9" DrawAspect="Content" ObjectID="_1468075839" r:id="rId201">
            <o:LockedField>false</o:LockedField>
          </o:OLEObject>
        </w:object>
      </w:r>
      <w:r>
        <w:t xml:space="preserve"> +W/2” using the equalizer coefficients from E.3.3.</w:t>
      </w:r>
    </w:p>
    <w:p>
      <w:r>
        <w:rPr>
          <w:rFonts w:eastAsia="Osaka"/>
        </w:rPr>
        <w:t>Perform the iDFTs on</w:t>
      </w:r>
      <w:r>
        <w:t xml:space="preserve"> Z’(f,t).</w:t>
      </w:r>
      <w:r>
        <w:rPr>
          <w:rFonts w:eastAsia="Osaka"/>
        </w:rPr>
        <w:t xml:space="preserve"> The IDFT-decoding preserves the meaning of </w:t>
      </w:r>
      <w:r>
        <w:t>t</w:t>
      </w:r>
      <w:r>
        <w:rPr>
          <w:rFonts w:eastAsia="Osaka"/>
        </w:rPr>
        <w:t xml:space="preserve"> but transforms the variable f (representing the allocated sub carriers) into another variable g, covering the same count and representing the demodulated symbols. The samples in the post IDFT domain are called iZ’(g, t). </w:t>
      </w:r>
      <w:r>
        <w:t>The equivalent ideal samples are called iI</w:t>
      </w:r>
      <w:r>
        <w:rPr>
          <w:rFonts w:eastAsia="Osaka"/>
        </w:rPr>
        <w:t>(g,t)</w:t>
      </w:r>
      <w:r>
        <w:t>. Those samples of Z’(f,t), carrying the reference symbols (=symbol 3) are not iDFT processed.</w:t>
      </w:r>
    </w:p>
    <w:p>
      <w:r>
        <w:t>The EVM is the difference between the ideal waveform and the measured and equalized waveform for the allocated RB(s)</w:t>
      </w:r>
    </w:p>
    <w:p>
      <w:pPr>
        <w:pStyle w:val="95"/>
        <w:jc w:val="center"/>
      </w:pPr>
      <w:r>
        <w:rPr>
          <w:position w:val="-34"/>
        </w:rPr>
        <w:object>
          <v:shape id="_x0000_i1140" o:spt="75" type="#_x0000_t75" style="height:52.8pt;width:210pt;" o:ole="t" filled="f" o:preferrelative="t" stroked="f" coordsize="21600,21600">
            <v:path/>
            <v:fill on="f" focussize="0,0"/>
            <v:stroke on="f" joinstyle="miter"/>
            <v:imagedata r:id="rId203" o:title=""/>
            <o:lock v:ext="edit" aspectratio="t"/>
            <w10:wrap type="none"/>
            <w10:anchorlock/>
          </v:shape>
          <o:OLEObject Type="Embed" ProgID="Equation.3" ShapeID="_x0000_i1140" DrawAspect="Content" ObjectID="_1468075840" r:id="rId202">
            <o:LockedField>false</o:LockedField>
          </o:OLEObject>
        </w:object>
      </w:r>
      <w:r>
        <w:t>,</w:t>
      </w:r>
    </w:p>
    <w:p>
      <w:r>
        <w:t>where</w:t>
      </w:r>
    </w:p>
    <w:p>
      <w:r>
        <w:rPr>
          <w:sz w:val="24"/>
          <w:szCs w:val="24"/>
        </w:rPr>
        <w:t xml:space="preserve">t </w:t>
      </w:r>
      <w:r>
        <w:t xml:space="preserve">covers the count of demodulated symbols with the considered modulation scheme being active within the measurement period, (i.e. symbol 0,1,2,4,5and 6 in each slot, </w:t>
      </w:r>
      <w:r>
        <w:rPr/>
        <w:sym w:font="Wingdings" w:char="F0E0"/>
      </w:r>
      <w:r>
        <w:t>|T|=6 )</w:t>
      </w:r>
    </w:p>
    <w:p>
      <w:pPr>
        <w:rPr>
          <w:sz w:val="18"/>
        </w:rPr>
      </w:pPr>
      <w:r>
        <w:rPr>
          <w:rFonts w:eastAsia="Osaka"/>
        </w:rPr>
        <w:t xml:space="preserve">g covers the count of demodulated symbols </w:t>
      </w:r>
      <w:r>
        <w:t>with the considered modulation scheme being active within the allocated bandwidth. (</w:t>
      </w:r>
      <w:r>
        <w:rPr>
          <w:sz w:val="18"/>
        </w:rPr>
        <w:t>|G|=</w:t>
      </w:r>
      <w:r>
        <w:t>12*</w:t>
      </w:r>
      <w:r>
        <w:rPr>
          <w:position w:val="-10"/>
        </w:rPr>
        <w:object>
          <v:shape id="_x0000_i1141"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41" DrawAspect="Content" ObjectID="_1468075841" r:id="rId204">
            <o:LockedField>false</o:LockedField>
          </o:OLEObject>
        </w:object>
      </w:r>
      <w:r>
        <w:t xml:space="preserve"> (with</w:t>
      </w:r>
      <w:r>
        <w:rPr>
          <w:position w:val="-10"/>
        </w:rPr>
        <w:object>
          <v:shape id="_x0000_i1142"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42" DrawAspect="Content" ObjectID="_1468075842" r:id="rId206">
            <o:LockedField>false</o:LockedField>
          </o:OLEObject>
        </w:object>
      </w:r>
      <w:r>
        <w:t xml:space="preserve">: number of allocated resource blocks)). </w:t>
      </w:r>
    </w:p>
    <w:p>
      <w:r>
        <w:rPr>
          <w:position w:val="-14"/>
        </w:rPr>
        <w:object>
          <v:shape id="_x0000_i1143" o:spt="75" type="#_x0000_t75" style="height:20.4pt;width:47.4pt;" o:ole="t" filled="f" o:preferrelative="t" stroked="f" coordsize="21600,21600">
            <v:path/>
            <v:fill on="f" focussize="0,0"/>
            <v:stroke on="f" joinstyle="miter"/>
            <v:imagedata r:id="rId208" o:title=""/>
            <o:lock v:ext="edit" aspectratio="t"/>
            <w10:wrap type="none"/>
            <w10:anchorlock/>
          </v:shape>
          <o:OLEObject Type="Embed" ProgID="Equation.3" ShapeID="_x0000_i1143" DrawAspect="Content" ObjectID="_1468075843" r:id="rId207">
            <o:LockedField>false</o:LockedField>
          </o:OLEObject>
        </w:object>
      </w:r>
      <w:r>
        <w:t xml:space="preserve"> are the samples of the signal evaluated for the EVM.</w:t>
      </w:r>
    </w:p>
    <w:p>
      <w:r>
        <w:rPr>
          <w:position w:val="-10"/>
        </w:rPr>
        <w:object>
          <v:shape id="_x0000_i1144" o:spt="75" type="#_x0000_t75" style="height:19.2pt;width:37.8pt;" o:ole="t" filled="f" o:preferrelative="t" stroked="f" coordsize="21600,21600">
            <v:path/>
            <v:fill on="f" focussize="0,0"/>
            <v:stroke on="f" joinstyle="miter"/>
            <v:imagedata r:id="rId210" o:title=""/>
            <o:lock v:ext="edit" aspectratio="t"/>
            <w10:wrap type="none"/>
            <w10:anchorlock/>
          </v:shape>
          <o:OLEObject Type="Embed" ProgID="Equation.3" ShapeID="_x0000_i1144" DrawAspect="Content" ObjectID="_1468075844" r:id="rId209">
            <o:LockedField>false</o:LockedField>
          </o:OLEObject>
        </w:object>
      </w:r>
      <w:r>
        <w:t>is the ideal signal reconstructed by the measurement equipment, and</w:t>
      </w:r>
    </w:p>
    <w:p>
      <w:r>
        <w:rPr>
          <w:rFonts w:ascii="Arial" w:hAnsi="Arial" w:cs="Arial"/>
          <w:position w:val="-12"/>
        </w:rPr>
        <w:object>
          <v:shape id="_x0000_i1145"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45" DrawAspect="Content" ObjectID="_1468075845" r:id="rId211">
            <o:LockedField>false</o:LockedField>
          </o:OLEObject>
        </w:object>
      </w:r>
      <w:r>
        <w:t xml:space="preserve"> is the average power of the ideal signal. For normalized modulation symbols </w:t>
      </w:r>
      <w:r>
        <w:rPr>
          <w:position w:val="-12"/>
        </w:rPr>
        <w:object>
          <v:shape id="_x0000_i1146"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46" DrawAspect="Content" ObjectID="_1468075846" r:id="rId213">
            <o:LockedField>false</o:LockedField>
          </o:OLEObject>
        </w:object>
      </w:r>
      <w:r>
        <w:t xml:space="preserve"> is equal to 1.</w:t>
      </w:r>
    </w:p>
    <w:p>
      <w:pPr>
        <w:rPr>
          <w:rFonts w:eastAsia="MS Mincho"/>
        </w:rPr>
      </w:pPr>
      <w:r>
        <w:rPr>
          <w:rFonts w:eastAsia="MS Mincho"/>
        </w:rPr>
        <w:t xml:space="preserve">From the acquired samples 40 EVM value can be derived, 20 values for the timing </w:t>
      </w:r>
      <w:r>
        <w:rPr>
          <w:position w:val="-6"/>
        </w:rPr>
        <w:object>
          <v:shape id="_x0000_i1147"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47" DrawAspect="Content" ObjectID="_1468075847" r:id="rId214">
            <o:LockedField>false</o:LockedField>
          </o:OLEObject>
        </w:object>
      </w:r>
      <w:r>
        <w:t xml:space="preserve"> –W/2 and 20 values for the timing </w:t>
      </w:r>
      <w:r>
        <w:rPr>
          <w:position w:val="-6"/>
        </w:rPr>
        <w:object>
          <v:shape id="_x0000_i1148"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48" DrawAspect="Content" ObjectID="_1468075848" r:id="rId215">
            <o:LockedField>false</o:LockedField>
          </o:OLEObject>
        </w:object>
      </w:r>
      <w:r>
        <w:t xml:space="preserve"> +W/2</w:t>
      </w:r>
    </w:p>
    <w:p>
      <w:pPr>
        <w:pStyle w:val="4"/>
      </w:pPr>
      <w:bookmarkStart w:id="2134" w:name="_Toc12097"/>
      <w:bookmarkStart w:id="2135" w:name="_Toc20159"/>
      <w:bookmarkStart w:id="2136" w:name="_Toc22259"/>
      <w:bookmarkStart w:id="2137" w:name="_Toc4355"/>
      <w:bookmarkStart w:id="2138" w:name="_Toc232582168"/>
      <w:bookmarkStart w:id="2139" w:name="_Toc12635"/>
      <w:r>
        <w:t>E.4.2</w:t>
      </w:r>
      <w:r>
        <w:tab/>
      </w:r>
      <w:r>
        <w:t>Averaged EVM</w:t>
      </w:r>
      <w:bookmarkEnd w:id="2134"/>
      <w:bookmarkEnd w:id="2135"/>
      <w:bookmarkEnd w:id="2136"/>
      <w:bookmarkEnd w:id="2137"/>
      <w:bookmarkEnd w:id="2138"/>
      <w:bookmarkEnd w:id="2139"/>
    </w:p>
    <w:p>
      <w:pPr>
        <w:rPr>
          <w:lang w:eastAsia="zh-CN"/>
        </w:rPr>
      </w:pPr>
      <w:r>
        <w:t xml:space="preserve">EVM is averaged over all </w:t>
      </w:r>
      <w:r>
        <w:rPr>
          <w:lang w:eastAsia="zh-CN"/>
        </w:rPr>
        <w:t>basic EVM measurements.</w:t>
      </w:r>
    </w:p>
    <w:p>
      <w:pPr>
        <w:rPr>
          <w:lang w:eastAsia="zh-CN"/>
        </w:rPr>
      </w:pPr>
      <w:r>
        <w:rPr>
          <w:lang w:eastAsia="zh-CN"/>
        </w:rPr>
        <w:t>For subslot TTI, The averaging comprises 60 UL subslots (for frame structure 2: excluding special fields(UpPTS)) for PUCCH, PUSCH, PDSCH.</w:t>
      </w:r>
    </w:p>
    <w:p>
      <w:pPr>
        <w:rPr>
          <w:lang w:eastAsia="zh-CN"/>
        </w:rPr>
      </w:pPr>
      <w:r>
        <w:rPr>
          <w:lang w:eastAsia="zh-CN"/>
        </w:rPr>
        <w:t>For subframe/slot TTI, the  averaging comprises n UL slots (for frame structure 2: excluding special fields(UpPTS))</w:t>
      </w:r>
    </w:p>
    <w:p>
      <w:pPr>
        <w:pStyle w:val="113"/>
        <w:rPr>
          <w:lang w:eastAsia="zh-CN"/>
        </w:rPr>
      </w:pPr>
      <m:oMathPara>
        <m:oMath>
          <m:bar>
            <m:barPr>
              <m:pos m:val="top"/>
              <m:ctrlPr>
                <w:rPr>
                  <w:rFonts w:ascii="Cambria Math" w:hAnsi="Cambria Math" w:eastAsia="Calibri"/>
                  <w:i/>
                  <w:sz w:val="24"/>
                  <w:lang w:val="zh-CN"/>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hAnsi="Cambria Math" w:eastAsia="Calibri"/>
                  <w:i/>
                  <w:sz w:val="24"/>
                  <w:lang w:val="zh-CN"/>
                </w:rPr>
              </m:ctrlPr>
            </m:radPr>
            <m:deg>
              <m:ctrlPr>
                <w:rPr>
                  <w:rFonts w:ascii="Cambria Math" w:hAnsi="Cambria Math"/>
                </w:rPr>
              </m:ctrlPr>
            </m:deg>
            <m:e>
              <m:f>
                <m:fPr>
                  <m:ctrlPr>
                    <w:rPr>
                      <w:rFonts w:ascii="Cambria Math" w:hAnsi="Cambria Math" w:eastAsia="Calibri"/>
                      <w:i/>
                      <w:sz w:val="24"/>
                      <w:lang w:val="zh-CN"/>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hAnsi="Cambria Math" w:eastAsia="Calibri"/>
                      <w:i/>
                      <w:sz w:val="24"/>
                      <w:lang w:val="zh-CN"/>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hAnsi="Cambria Math" w:eastAsia="Calibri"/>
                          <w:i/>
                          <w:sz w:val="24"/>
                          <w:lang w:val="zh-CN"/>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ctrlPr>
                    <w:rPr>
                      <w:rFonts w:ascii="Cambria Math" w:hAnsi="Cambria Math" w:eastAsia="Calibri"/>
                      <w:i/>
                      <w:sz w:val="24"/>
                      <w:lang w:val="zh-CN"/>
                    </w:rPr>
                  </m:ctrlPr>
                </m:e>
              </m:nary>
              <m:ctrlPr>
                <w:rPr>
                  <w:rFonts w:ascii="Cambria Math" w:hAnsi="Cambria Math" w:eastAsia="Calibri"/>
                  <w:i/>
                  <w:sz w:val="24"/>
                  <w:lang w:val="zh-CN"/>
                </w:rPr>
              </m:ctrlPr>
            </m:e>
          </m:rad>
        </m:oMath>
      </m:oMathPara>
    </w:p>
    <w:p>
      <w:pPr>
        <w:rPr>
          <w:lang w:eastAsia="zh-CN"/>
        </w:rPr>
      </w:pPr>
      <w:r>
        <w:rPr>
          <w:lang w:eastAsia="zh-CN"/>
        </w:rPr>
        <w:t>where n is</w:t>
      </w:r>
    </w:p>
    <w:p>
      <w:r>
        <w:rPr>
          <w:rFonts w:eastAsia="×–¾’©‘Ì"/>
        </w:rPr>
        <w:t>n = 20 for PUCCH, PUSCH,</w:t>
      </w:r>
      <w:r>
        <w:t xml:space="preserve"> PSDCH, PSCCH, and PSSCH,</w:t>
      </w:r>
    </w:p>
    <w:p>
      <w:pPr>
        <w:rPr>
          <w:lang w:eastAsia="zh-CN"/>
        </w:rPr>
      </w:pPr>
      <w:r>
        <w:rPr>
          <w:rFonts w:eastAsia="×–¾’©‘Ì"/>
        </w:rPr>
        <w:t xml:space="preserve">n = 48 for PBSCH. </w:t>
      </w:r>
      <w:r>
        <w:rPr>
          <w:lang w:eastAsia="zh-CN"/>
        </w:rPr>
        <w:t>The averaging is done separately for timing¦</w:t>
      </w:r>
      <w:r>
        <w:t xml:space="preserve"> </w:t>
      </w:r>
      <w:r>
        <w:rPr>
          <w:position w:val="-6"/>
        </w:rPr>
        <w:object>
          <v:shape id="_x0000_i1149"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49" DrawAspect="Content" ObjectID="_1468075849" r:id="rId216">
            <o:LockedField>false</o:LockedField>
          </o:OLEObject>
        </w:object>
      </w:r>
      <w:r>
        <w:t xml:space="preserve"> –W/2 and </w:t>
      </w:r>
      <w:r>
        <w:rPr>
          <w:position w:val="-6"/>
        </w:rPr>
        <w:object>
          <v:shape id="_x0000_i1150"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50" DrawAspect="Content" ObjectID="_1468075850" r:id="rId217">
            <o:LockedField>false</o:LockedField>
          </o:OLEObject>
        </w:object>
      </w:r>
      <w:r>
        <w:t xml:space="preserve"> +W/2</w:t>
      </w:r>
      <w:r>
        <w:rPr>
          <w:lang w:eastAsia="zh-CN"/>
        </w:rPr>
        <w:t xml:space="preserve"> leading to</w:t>
      </w:r>
      <w:r>
        <w:rPr>
          <w:lang w:eastAsia="zh-CN"/>
        </w:rPr>
        <w:drawing>
          <wp:inline distT="0" distB="0" distL="114300" distR="114300">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8"/>
                    <a:stretch>
                      <a:fillRect/>
                    </a:stretch>
                  </pic:blipFill>
                  <pic:spPr>
                    <a:xfrm>
                      <a:off x="0" y="0"/>
                      <a:ext cx="431800" cy="222250"/>
                    </a:xfrm>
                    <a:prstGeom prst="rect">
                      <a:avLst/>
                    </a:prstGeom>
                    <a:noFill/>
                    <a:ln>
                      <a:noFill/>
                    </a:ln>
                  </pic:spPr>
                </pic:pic>
              </a:graphicData>
            </a:graphic>
          </wp:inline>
        </w:drawing>
      </w:r>
      <w:r>
        <w:rPr>
          <w:lang w:eastAsia="zh-CN"/>
        </w:rPr>
        <w:t xml:space="preserve"> and </w:t>
      </w:r>
      <w:r>
        <w:rPr>
          <w:lang w:eastAsia="zh-CN"/>
        </w:rPr>
        <w:drawing>
          <wp:inline distT="0" distB="0" distL="114300" distR="114300">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19"/>
                    <a:stretch>
                      <a:fillRect/>
                    </a:stretch>
                  </pic:blipFill>
                  <pic:spPr>
                    <a:xfrm>
                      <a:off x="0" y="0"/>
                      <a:ext cx="469900" cy="222250"/>
                    </a:xfrm>
                    <a:prstGeom prst="rect">
                      <a:avLst/>
                    </a:prstGeom>
                    <a:noFill/>
                    <a:ln>
                      <a:noFill/>
                    </a:ln>
                  </pic:spPr>
                </pic:pic>
              </a:graphicData>
            </a:graphic>
          </wp:inline>
        </w:drawing>
      </w:r>
    </w:p>
    <w:p>
      <w:pPr>
        <w:jc w:val="both"/>
        <w:rPr>
          <w:lang w:eastAsia="zh-CN"/>
        </w:rPr>
      </w:pPr>
      <w:r>
        <w:rPr>
          <w:lang w:eastAsia="zh-CN"/>
        </w:rPr>
        <w:drawing>
          <wp:inline distT="0" distB="0" distL="114300" distR="114300">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0"/>
                    <a:stretch>
                      <a:fillRect/>
                    </a:stretch>
                  </pic:blipFill>
                  <pic:spPr>
                    <a:xfrm>
                      <a:off x="0" y="0"/>
                      <a:ext cx="2012950" cy="247650"/>
                    </a:xfrm>
                    <a:prstGeom prst="rect">
                      <a:avLst/>
                    </a:prstGeom>
                    <a:noFill/>
                    <a:ln>
                      <a:noFill/>
                    </a:ln>
                  </pic:spPr>
                </pic:pic>
              </a:graphicData>
            </a:graphic>
          </wp:inline>
        </w:drawing>
      </w:r>
      <w:r>
        <w:rPr>
          <w:lang w:eastAsia="zh-CN"/>
        </w:rPr>
        <w:t xml:space="preserve"> is compared against the test requirements.</w:t>
      </w:r>
    </w:p>
    <w:p>
      <w:pPr>
        <w:pStyle w:val="4"/>
      </w:pPr>
      <w:bookmarkStart w:id="2140" w:name="_Toc2772"/>
      <w:bookmarkStart w:id="2141" w:name="_Toc29175"/>
      <w:bookmarkStart w:id="2142" w:name="_Toc8028"/>
      <w:bookmarkStart w:id="2143" w:name="_Toc232582171"/>
      <w:bookmarkStart w:id="2144" w:name="_Toc20792"/>
      <w:bookmarkStart w:id="2145" w:name="_Toc28512"/>
      <w:r>
        <w:t>E.4.3</w:t>
      </w:r>
      <w:r>
        <w:tab/>
      </w:r>
      <w:r>
        <w:t>In-band emissions measurement</w:t>
      </w:r>
      <w:bookmarkEnd w:id="2140"/>
      <w:bookmarkEnd w:id="2141"/>
      <w:bookmarkEnd w:id="2142"/>
      <w:bookmarkEnd w:id="2143"/>
      <w:bookmarkEnd w:id="2144"/>
      <w:bookmarkEnd w:id="2145"/>
    </w:p>
    <w:p>
      <w:r>
        <w:t>The in-band emissions are a measure of the interference falling into the non-allocated resources blocks.</w:t>
      </w:r>
    </w:p>
    <w:p>
      <w:r>
        <w:t>Explanatory Note:</w:t>
      </w:r>
    </w:p>
    <w:p>
      <w:r>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r>
        <w:t>There are 3 types of inband emissions:</w:t>
      </w:r>
    </w:p>
    <w:p>
      <w:pPr>
        <w:pStyle w:val="111"/>
      </w:pPr>
      <w:r>
        <w:t>1.</w:t>
      </w:r>
      <w:r>
        <w:tab/>
      </w:r>
      <w:r>
        <w:t>General</w:t>
      </w:r>
    </w:p>
    <w:p>
      <w:pPr>
        <w:pStyle w:val="111"/>
      </w:pPr>
      <w:r>
        <w:t>2.</w:t>
      </w:r>
      <w:r>
        <w:tab/>
      </w:r>
      <w:r>
        <w:t>IQ image</w:t>
      </w:r>
    </w:p>
    <w:p>
      <w:pPr>
        <w:pStyle w:val="111"/>
      </w:pPr>
      <w:r>
        <w:t>3.</w:t>
      </w:r>
      <w:r>
        <w:tab/>
      </w:r>
      <w:r>
        <w:t>Carrier leakage</w:t>
      </w:r>
    </w:p>
    <w:p>
      <w:r>
        <w:rPr>
          <w:i/>
        </w:rPr>
        <w:t>Carrier leakage</w:t>
      </w:r>
      <w:r>
        <w:t xml:space="preserve"> are inband emissions next to the carrier.</w:t>
      </w:r>
    </w:p>
    <w:p>
      <w:r>
        <w:rPr>
          <w:i/>
        </w:rPr>
        <w:t>IQ image</w:t>
      </w:r>
      <w:r>
        <w:t xml:space="preserve"> are inband emissions symmetrically (with respect to the carrier) on the other side of the allocated RBs.</w:t>
      </w:r>
    </w:p>
    <w:p>
      <w:pPr>
        <w:rPr>
          <w:lang w:eastAsia="zh-CN"/>
        </w:rPr>
      </w:pPr>
      <w:r>
        <w:rPr>
          <w:i/>
        </w:rPr>
        <w:t>General</w:t>
      </w:r>
      <w:r>
        <w:t xml:space="preserve"> are applied to all unallocated RBs.</w:t>
      </w:r>
    </w:p>
    <w:p>
      <w:r>
        <w:rPr>
          <w:lang w:eastAsia="zh-CN"/>
        </w:rPr>
        <w:t xml:space="preserve">For each evaluated RB, the minimum requirement is </w:t>
      </w:r>
      <w:r>
        <w:t xml:space="preserve">calculated as the higher of </w:t>
      </w:r>
      <w:r>
        <w:rPr>
          <w:i/>
        </w:rPr>
        <w:t>P</w:t>
      </w:r>
      <w:r>
        <w:rPr>
          <w:i/>
          <w:vertAlign w:val="subscript"/>
        </w:rPr>
        <w:t xml:space="preserve">RB </w:t>
      </w:r>
      <w:r>
        <w:t>- 30 dB and the power sum of all limit values (General, IQ Image or Carrier leakage) that apply</w:t>
      </w:r>
      <w:r>
        <w:rPr>
          <w:lang w:eastAsia="zh-CN"/>
        </w:rPr>
        <w:t>.</w:t>
      </w:r>
    </w:p>
    <w:p>
      <w:pPr>
        <w:rPr>
          <w:lang w:eastAsia="zh-CN"/>
        </w:rPr>
      </w:pPr>
      <w:r>
        <w:rPr>
          <w:lang w:eastAsia="zh-CN"/>
        </w:rPr>
        <w:t>In specific the following combinations:</w:t>
      </w:r>
    </w:p>
    <w:p>
      <w:pPr>
        <w:pStyle w:val="111"/>
      </w:pPr>
      <w:r>
        <w:t>-</w:t>
      </w:r>
      <w:r>
        <w:tab/>
      </w:r>
      <w:r>
        <w:t>Power (General)</w:t>
      </w:r>
    </w:p>
    <w:p>
      <w:pPr>
        <w:pStyle w:val="111"/>
      </w:pPr>
      <w:r>
        <w:t>-</w:t>
      </w:r>
      <w:r>
        <w:tab/>
      </w:r>
      <w:r>
        <w:t>Power (General + Carrier leakage)</w:t>
      </w:r>
    </w:p>
    <w:p>
      <w:pPr>
        <w:pStyle w:val="111"/>
      </w:pPr>
      <w:r>
        <w:t>-</w:t>
      </w:r>
      <w:r>
        <w:tab/>
      </w:r>
      <w:r>
        <w:t>Power (General + IQ Image)</w:t>
      </w:r>
    </w:p>
    <w:p>
      <w:pPr>
        <w:pStyle w:val="111"/>
      </w:pPr>
      <w:r>
        <w:tab/>
      </w:r>
      <w:r>
        <w:t>1 and 2 is expressed in terms of power in one non allocated RB under test, normalized to the average power of an allocated RB (unit dB).</w:t>
      </w:r>
    </w:p>
    <w:p>
      <w:pPr>
        <w:pStyle w:val="111"/>
      </w:pPr>
      <w:r>
        <w:tab/>
      </w:r>
      <w:r>
        <w:t>3 is expressed in terms of power in one non allocated RB, normalized to the power of all allocated RBs. (unit dBc).</w:t>
      </w:r>
    </w:p>
    <w:p>
      <w:r>
        <w:t xml:space="preserve">This is the reason for two formulas </w:t>
      </w:r>
      <w:r>
        <w:rPr>
          <w:i/>
        </w:rPr>
        <w:t xml:space="preserve">Emissions </w:t>
      </w:r>
      <w:r>
        <w:rPr>
          <w:i/>
          <w:vertAlign w:val="subscript"/>
        </w:rPr>
        <w:t>relative</w:t>
      </w:r>
      <w:r>
        <w:t>.</w:t>
      </w:r>
    </w:p>
    <w:p>
      <w:r>
        <w:t>Create one set of Y(t,f) per slot according to the timing “</w:t>
      </w:r>
      <w:r>
        <w:rPr>
          <w:position w:val="-6"/>
        </w:rPr>
        <w:object>
          <v:shape id="_x0000_i1151"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51" DrawAspect="Content" ObjectID="_1468075851" r:id="rId221">
            <o:LockedField>false</o:LockedField>
          </o:OLEObject>
        </w:object>
      </w:r>
      <w:r>
        <w:t>”</w:t>
      </w:r>
    </w:p>
    <w:p>
      <w:r>
        <w:t>For the non-allocated RBs below the in-band emissions are calculated as follows</w:t>
      </w:r>
    </w:p>
    <w:p>
      <w:pPr>
        <w:pStyle w:val="95"/>
        <w:jc w:val="center"/>
      </w:pPr>
      <w:r>
        <w:object>
          <v:shape id="_x0000_i1152" o:spt="75" type="#_x0000_t75" style="height:72pt;width:324.6pt;" o:ole="t" filled="f" o:preferrelative="t" stroked="f" coordsize="21600,21600">
            <v:path/>
            <v:fill on="f" focussize="0,0"/>
            <v:stroke on="f" joinstyle="miter"/>
            <v:imagedata r:id="rId223" o:title=""/>
            <o:lock v:ext="edit" aspectratio="t"/>
            <w10:wrap type="none"/>
            <w10:anchorlock/>
          </v:shape>
          <o:OLEObject Type="Embed" ProgID="Equation.3" ShapeID="_x0000_i1152" DrawAspect="Content" ObjectID="_1468075852" r:id="rId222">
            <o:LockedField>false</o:LockedField>
          </o:OLEObject>
        </w:object>
      </w:r>
      <w:r>
        <w:t>,</w:t>
      </w:r>
    </w:p>
    <w:p>
      <w:r>
        <w:t>where</w:t>
      </w:r>
    </w:p>
    <w:p>
      <w:r>
        <w:t>the upper formula represents the in band emissions below the allocated frequency block and the lower one the in band emissions above the allocated frequency block.</w:t>
      </w:r>
    </w:p>
    <w:p>
      <w:r>
        <w:rPr>
          <w:position w:val="-12"/>
        </w:rPr>
        <w:object>
          <v:shape id="_x0000_i1153" o:spt="75" type="#_x0000_t75" style="height:19.2pt;width:13.2pt;" o:ole="t" filled="f" o:preferrelative="t" stroked="f" coordsize="21600,21600">
            <v:path/>
            <v:fill on="f" focussize="0,0"/>
            <v:stroke on="f" joinstyle="miter"/>
            <v:imagedata r:id="rId225" o:title=""/>
            <o:lock v:ext="edit" aspectratio="t"/>
            <w10:wrap type="none"/>
            <w10:anchorlock/>
          </v:shape>
          <o:OLEObject Type="Embed" ProgID="Equation.3" ShapeID="_x0000_i1153" DrawAspect="Content" ObjectID="_1468075853" r:id="rId224">
            <o:LockedField>false</o:LockedField>
          </o:OLEObject>
        </w:object>
      </w:r>
      <w:r>
        <w:rPr>
          <w:i/>
        </w:rPr>
        <w:t xml:space="preserve"> </w:t>
      </w:r>
      <w:r>
        <w:t xml:space="preserve">is a set of </w:t>
      </w:r>
      <w:r>
        <w:rPr>
          <w:position w:val="-14"/>
          <w:sz w:val="24"/>
          <w:szCs w:val="24"/>
        </w:rPr>
        <w:object>
          <v:shape id="_x0000_i1154" o:spt="75" type="#_x0000_t75" style="height:20.4pt;width:17.4pt;" o:ole="t" filled="f" o:preferrelative="t" stroked="f" coordsize="21600,21600">
            <v:path/>
            <v:fill on="f" focussize="0,0"/>
            <v:stroke on="f" joinstyle="miter"/>
            <v:imagedata r:id="rId227" o:title=""/>
            <o:lock v:ext="edit" aspectratio="t"/>
            <w10:wrap type="none"/>
            <w10:anchorlock/>
          </v:shape>
          <o:OLEObject Type="Embed" ProgID="Equation.3" ShapeID="_x0000_i1154" DrawAspect="Content" ObjectID="_1468075854" r:id="rId226">
            <o:LockedField>false</o:LockedField>
          </o:OLEObject>
        </w:object>
      </w:r>
      <w:r>
        <w:t>SC-FDMA symbols with the considered modulation scheme being active within the measurement period,</w:t>
      </w:r>
    </w:p>
    <w:p>
      <w:r>
        <w:rPr>
          <w:position w:val="-10"/>
        </w:rPr>
        <w:object>
          <v:shape id="_x0000_i1155" o:spt="75" type="#_x0000_t75" style="height:15pt;width:20.4pt;" o:ole="t" filled="f" o:preferrelative="t" stroked="f" coordsize="21600,21600">
            <v:path/>
            <v:fill on="f" focussize="0,0"/>
            <v:stroke on="f" joinstyle="miter"/>
            <v:imagedata r:id="rId52" o:title=""/>
            <o:lock v:ext="edit" aspectratio="t"/>
            <w10:wrap type="none"/>
            <w10:anchorlock/>
          </v:shape>
          <o:OLEObject Type="Embed" ProgID="Equation.3" ShapeID="_x0000_i1155" DrawAspect="Content" ObjectID="_1468075855" r:id="rId228">
            <o:LockedField>false</o:LockedField>
          </o:OLEObject>
        </w:object>
      </w:r>
      <w:r>
        <w:t xml:space="preserve"> is the starting frequency offset between the allocated RB and the measured non-allocated RB (e.g. </w:t>
      </w:r>
      <w:r>
        <w:rPr>
          <w:position w:val="-10"/>
        </w:rPr>
        <w:object>
          <v:shape id="_x0000_i1156" o:spt="75" type="#_x0000_t75" style="height:17.4pt;width:39pt;" o:ole="t" filled="f" o:preferrelative="t" stroked="f" coordsize="21600,21600">
            <v:path/>
            <v:fill on="f" focussize="0,0"/>
            <v:stroke on="f" joinstyle="miter"/>
            <v:imagedata r:id="rId54" o:title=""/>
            <o:lock v:ext="edit" aspectratio="t"/>
            <w10:wrap type="none"/>
            <w10:anchorlock/>
          </v:shape>
          <o:OLEObject Type="Embed" ProgID="Equation.3" ShapeID="_x0000_i1156" DrawAspect="Content" ObjectID="_1468075856" r:id="rId229">
            <o:LockedField>false</o:LockedField>
          </o:OLEObject>
        </w:object>
      </w:r>
      <w:r>
        <w:t xml:space="preserve"> for the first upper or </w:t>
      </w:r>
      <w:r>
        <w:rPr>
          <w:position w:val="-10"/>
        </w:rPr>
        <w:object>
          <v:shape id="_x0000_i1157" o:spt="75" type="#_x0000_t75" style="height:17.4pt;width:46.2pt;" o:ole="t" filled="f" o:preferrelative="t" stroked="f" coordsize="21600,21600">
            <v:path/>
            <v:fill on="f" focussize="0,0"/>
            <v:stroke on="f" joinstyle="miter"/>
            <v:imagedata r:id="rId56" o:title=""/>
            <o:lock v:ext="edit" aspectratio="t"/>
            <w10:wrap type="none"/>
            <w10:anchorlock/>
          </v:shape>
          <o:OLEObject Type="Embed" ProgID="Equation.3" ShapeID="_x0000_i1157" DrawAspect="Content" ObjectID="_1468075857" r:id="rId230">
            <o:LockedField>false</o:LockedField>
          </o:OLEObject>
        </w:object>
      </w:r>
      <w:r>
        <w:t xml:space="preserve"> for the first lower adjacent RB),</w:t>
      </w:r>
    </w:p>
    <w:p>
      <w:pPr>
        <w:rPr>
          <w:lang w:eastAsia="zh-CN"/>
        </w:rPr>
      </w:pPr>
      <w:r>
        <w:rPr>
          <w:position w:val="-10"/>
        </w:rPr>
        <w:object>
          <v:shape id="_x0000_i1158" o:spt="75" type="#_x0000_t75" style="height:15pt;width:20.4pt;" o:ole="t" filled="f" o:preferrelative="t" stroked="f" coordsize="21600,21600">
            <v:path/>
            <v:fill on="f" focussize="0,0"/>
            <v:stroke on="f" joinstyle="miter"/>
            <v:imagedata r:id="rId232" o:title=""/>
            <o:lock v:ext="edit" aspectratio="t"/>
            <w10:wrap type="none"/>
            <w10:anchorlock/>
          </v:shape>
          <o:OLEObject Type="Embed" ProgID="Equation.3" ShapeID="_x0000_i1158" DrawAspect="Content" ObjectID="_1468075858" r:id="rId231">
            <o:LockedField>false</o:LockedField>
          </o:OLEObject>
        </w:object>
      </w:r>
      <w:r>
        <w:rPr>
          <w:lang w:eastAsia="zh-CN"/>
        </w:rPr>
        <w:t xml:space="preserve">and </w:t>
      </w:r>
      <w:r>
        <w:rPr>
          <w:position w:val="-12"/>
        </w:rPr>
        <w:object>
          <v:shape id="_x0000_i1159" o:spt="75" type="#_x0000_t75" style="height:19.2pt;width:22.2pt;" o:ole="t" filled="f" o:preferrelative="t" stroked="f" coordsize="21600,21600">
            <v:path/>
            <v:fill on="f" focussize="0,0"/>
            <v:stroke on="f" joinstyle="miter"/>
            <v:imagedata r:id="rId234" o:title=""/>
            <o:lock v:ext="edit" aspectratio="t"/>
            <w10:wrap type="none"/>
            <w10:anchorlock/>
          </v:shape>
          <o:OLEObject Type="Embed" ProgID="Equation.3" ShapeID="_x0000_i1159" DrawAspect="Content" ObjectID="_1468075859" r:id="rId233">
            <o:LockedField>false</o:LockedField>
          </o:OLEObject>
        </w:object>
      </w:r>
      <w:r>
        <w:rPr>
          <w:lang w:eastAsia="zh-CN"/>
        </w:rPr>
        <w:t>are the lower and upper edge of the UL transmission BW configuration,</w:t>
      </w:r>
    </w:p>
    <w:p>
      <w:pPr>
        <w:rPr>
          <w:lang w:eastAsia="zh-CN"/>
        </w:rPr>
      </w:pPr>
      <w:r>
        <w:rPr>
          <w:position w:val="-12"/>
        </w:rPr>
        <w:object>
          <v:shape id="_x0000_i1160" o:spt="75" type="#_x0000_t75" style="height:19.2pt;width:11.4pt;" o:ole="t" filled="f" o:preferrelative="t" stroked="f" coordsize="21600,21600">
            <v:path/>
            <v:fill on="f" focussize="0,0"/>
            <v:stroke on="f" joinstyle="miter"/>
            <v:imagedata r:id="rId236" o:title=""/>
            <o:lock v:ext="edit" aspectratio="t"/>
            <w10:wrap type="none"/>
            <w10:anchorlock/>
          </v:shape>
          <o:OLEObject Type="Embed" ProgID="Equation.3" ShapeID="_x0000_i1160" DrawAspect="Content" ObjectID="_1468075860" r:id="rId235">
            <o:LockedField>false</o:LockedField>
          </o:OLEObject>
        </w:object>
      </w:r>
      <w:r>
        <w:rPr>
          <w:lang w:eastAsia="zh-CN"/>
        </w:rPr>
        <w:t xml:space="preserve"> and </w:t>
      </w:r>
      <w:r>
        <w:rPr>
          <w:position w:val="-12"/>
        </w:rPr>
        <w:object>
          <v:shape id="_x0000_i1161" o:spt="75" type="#_x0000_t75" style="height:19.2pt;width:15pt;" o:ole="t" filled="f" o:preferrelative="t" stroked="f" coordsize="21600,21600">
            <v:path/>
            <v:fill on="f" focussize="0,0"/>
            <v:stroke on="f" joinstyle="miter"/>
            <v:imagedata r:id="rId238" o:title=""/>
            <o:lock v:ext="edit" aspectratio="t"/>
            <w10:wrap type="none"/>
            <w10:anchorlock/>
          </v:shape>
          <o:OLEObject Type="Embed" ProgID="Equation.3" ShapeID="_x0000_i1161" DrawAspect="Content" ObjectID="_1468075861" r:id="rId237">
            <o:LockedField>false</o:LockedField>
          </o:OLEObject>
        </w:object>
      </w:r>
      <w:r>
        <w:rPr>
          <w:lang w:eastAsia="zh-CN"/>
        </w:rPr>
        <w:t xml:space="preserve"> are </w:t>
      </w:r>
      <w:r>
        <w:t xml:space="preserve">the lower </w:t>
      </w:r>
      <w:r>
        <w:rPr>
          <w:lang w:eastAsia="zh-CN"/>
        </w:rPr>
        <w:t xml:space="preserve">and upper </w:t>
      </w:r>
      <w:r>
        <w:t>edge of the allocated BW,</w:t>
      </w:r>
    </w:p>
    <w:p>
      <w:r>
        <w:rPr>
          <w:position w:val="-14"/>
        </w:rPr>
        <w:object>
          <v:shape id="_x0000_i1162" o:spt="75" type="#_x0000_t75" style="height:19.2pt;width:19.2pt;" o:ole="t" filled="f" o:preferrelative="t" stroked="f" coordsize="21600,21600">
            <v:path/>
            <v:fill on="f" focussize="0,0"/>
            <v:stroke on="f" joinstyle="miter"/>
            <v:imagedata r:id="rId240" o:title=""/>
            <o:lock v:ext="edit" aspectratio="t"/>
            <w10:wrap type="none"/>
            <w10:anchorlock/>
          </v:shape>
          <o:OLEObject Type="Embed" ProgID="Equation.3" ShapeID="_x0000_i1162" DrawAspect="Content" ObjectID="_1468075862" r:id="rId239">
            <o:LockedField>false</o:LockedField>
          </o:OLEObject>
        </w:object>
      </w:r>
      <w:r>
        <w:rPr>
          <w:lang w:eastAsia="zh-CN"/>
        </w:rPr>
        <w:t>is 15kHz,and</w:t>
      </w:r>
    </w:p>
    <w:p>
      <w:r>
        <w:rPr>
          <w:position w:val="-10"/>
        </w:rPr>
        <w:object>
          <v:shape id="_x0000_i1163" o:spt="75" type="#_x0000_t75" style="height:16.8pt;width:31.8pt;" o:ole="t" filled="f" o:preferrelative="t" stroked="f" coordsize="21600,21600">
            <v:path/>
            <v:fill on="f" focussize="0,0"/>
            <v:stroke on="f" joinstyle="miter"/>
            <v:imagedata r:id="rId242" o:title=""/>
            <o:lock v:ext="edit" aspectratio="t"/>
            <w10:wrap type="none"/>
            <w10:anchorlock/>
          </v:shape>
          <o:OLEObject Type="Embed" ProgID="Equation.3" ShapeID="_x0000_i1163" DrawAspect="Content" ObjectID="_1468075863" r:id="rId241">
            <o:LockedField>false</o:LockedField>
          </o:OLEObject>
        </w:object>
      </w:r>
      <w:r>
        <w:t xml:space="preserve"> is the frequency domain signal evaluated for in-band emissions as defined in the subsection E.3.3</w:t>
      </w:r>
    </w:p>
    <w:p>
      <w:r>
        <w:t>The allocated RB power per RB and the total allocated RB power are given by:</w:t>
      </w:r>
    </w:p>
    <w:p>
      <w:pPr>
        <w:pStyle w:val="95"/>
      </w:pPr>
      <w:r>
        <w:tab/>
      </w:r>
      <w:r>
        <w:rPr>
          <w:position w:val="-32"/>
        </w:rPr>
        <w:object>
          <v:shape id="_x0000_i1164" o:spt="75" type="#_x0000_t75" style="height:48pt;width:365.4pt;" o:ole="t" filled="f" o:preferrelative="t" stroked="f" coordsize="21600,21600">
            <v:path/>
            <v:fill on="f" focussize="0,0"/>
            <v:stroke on="f" joinstyle="miter"/>
            <v:imagedata r:id="rId244" o:title=""/>
            <o:lock v:ext="edit" aspectratio="t"/>
            <w10:wrap type="none"/>
            <w10:anchorlock/>
          </v:shape>
          <o:OLEObject Type="Embed" ProgID="Equation.3" ShapeID="_x0000_i1164" DrawAspect="Content" ObjectID="_1468075864" r:id="rId243">
            <o:LockedField>false</o:LockedField>
          </o:OLEObject>
        </w:object>
      </w:r>
    </w:p>
    <w:p>
      <w:pPr>
        <w:pStyle w:val="95"/>
      </w:pPr>
      <w:r>
        <w:tab/>
      </w:r>
      <w:r>
        <w:rPr>
          <w:position w:val="-30"/>
        </w:rPr>
        <w:object>
          <v:shape id="_x0000_i1165" o:spt="75" type="#_x0000_t75" style="height:44.4pt;width:262.8pt;" o:ole="t" filled="f" o:preferrelative="t" stroked="f" coordsize="21600,21600">
            <v:path/>
            <v:fill on="f" focussize="0,0"/>
            <v:stroke on="f" joinstyle="miter"/>
            <v:imagedata r:id="rId246" o:title=""/>
            <o:lock v:ext="edit" aspectratio="t"/>
            <w10:wrap type="none"/>
            <w10:anchorlock/>
          </v:shape>
          <o:OLEObject Type="Embed" ProgID="Equation.3" ShapeID="_x0000_i1165" DrawAspect="Content" ObjectID="_1468075865" r:id="rId245">
            <o:LockedField>false</o:LockedField>
          </o:OLEObject>
        </w:object>
      </w:r>
    </w:p>
    <w:p>
      <w:r>
        <w:t>The relative in-band emissions, applicable for General and IQ image, are given by:</w:t>
      </w:r>
    </w:p>
    <w:p>
      <w:pPr>
        <w:pStyle w:val="95"/>
      </w:pPr>
      <w:r>
        <w:tab/>
      </w:r>
      <w:r>
        <w:rPr>
          <w:position w:val="-64"/>
        </w:rPr>
        <w:object>
          <v:shape id="_x0000_i1166" o:spt="75" type="#_x0000_t75" style="height:85.2pt;width:477pt;" o:ole="t" filled="f" o:preferrelative="t" stroked="f" coordsize="21600,21600">
            <v:path/>
            <v:fill on="f" focussize="0,0"/>
            <v:stroke on="f" joinstyle="miter"/>
            <v:imagedata r:id="rId248" o:title=""/>
            <o:lock v:ext="edit" aspectratio="t"/>
            <w10:wrap type="none"/>
            <w10:anchorlock/>
          </v:shape>
          <o:OLEObject Type="Embed" ProgID="Equation.3" ShapeID="_x0000_i1166" DrawAspect="Content" ObjectID="_1468075866" r:id="rId247">
            <o:LockedField>false</o:LockedField>
          </o:OLEObject>
        </w:object>
      </w:r>
    </w:p>
    <w:p>
      <w:r>
        <w:t>where</w:t>
      </w:r>
    </w:p>
    <w:p>
      <w:r>
        <w:rPr>
          <w:position w:val="-10"/>
        </w:rPr>
        <w:object>
          <v:shape id="_x0000_i1167"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67" DrawAspect="Content" ObjectID="_1468075867" r:id="rId249">
            <o:LockedField>false</o:LockedField>
          </o:OLEObject>
        </w:object>
      </w:r>
      <w:r>
        <w:t xml:space="preserve"> is the number of allocated resource blocks,</w:t>
      </w:r>
    </w:p>
    <w:p>
      <w:pPr>
        <w:rPr>
          <w:lang w:eastAsia="zh-CN"/>
        </w:rPr>
      </w:pPr>
      <w:r>
        <w:rPr>
          <w:lang w:eastAsia="zh-CN"/>
        </w:rPr>
        <w:t>and</w:t>
      </w:r>
    </w:p>
    <w:p>
      <w:pPr>
        <w:rPr>
          <w:lang w:eastAsia="zh-CN"/>
        </w:rPr>
      </w:pPr>
      <w:r>
        <w:rPr>
          <w:position w:val="-10"/>
        </w:rPr>
        <w:object>
          <v:shape id="_x0000_i1168" o:spt="75" type="#_x0000_t75" style="height:16.8pt;width:41.4pt;" o:ole="t" filled="f" o:preferrelative="t" stroked="f" coordsize="21600,21600">
            <v:path/>
            <v:fill on="f" focussize="0,0"/>
            <v:stroke on="f" joinstyle="miter"/>
            <v:imagedata r:id="rId251" o:title=""/>
            <o:lock v:ext="edit" aspectratio="t"/>
            <w10:wrap type="none"/>
            <w10:anchorlock/>
          </v:shape>
          <o:OLEObject Type="Embed" ProgID="Equation.3" ShapeID="_x0000_i1168" DrawAspect="Content" ObjectID="_1468075868" r:id="rId250">
            <o:LockedField>false</o:LockedField>
          </o:OLEObject>
        </w:object>
      </w:r>
      <w:r>
        <w:rPr>
          <w:lang w:eastAsia="zh-CN"/>
        </w:rPr>
        <w:t xml:space="preserve"> is the frequency domain samples for the allocated bandwidth, as defined in the subsection E.3.3.</w:t>
      </w:r>
    </w:p>
    <w:p>
      <w:r>
        <w:t>The relative in-band emissions, applicable for carrier leakage, is given by:</w:t>
      </w:r>
    </w:p>
    <w:p>
      <w:pPr>
        <w:pStyle w:val="95"/>
      </w:pPr>
      <w:r>
        <w:tab/>
      </w:r>
      <w:r>
        <w:rPr>
          <w:position w:val="-54"/>
        </w:rPr>
        <w:object>
          <v:shape id="_x0000_i1169" o:spt="75" type="#_x0000_t75" style="height:69.6pt;width:350.4pt;" o:ole="t" filled="f" o:preferrelative="t" stroked="f" coordsize="21600,21600">
            <v:path/>
            <v:fill on="f" focussize="0,0"/>
            <v:stroke on="f" joinstyle="miter"/>
            <v:imagedata r:id="rId253" o:title=""/>
            <o:lock v:ext="edit" aspectratio="t"/>
            <w10:wrap type="none"/>
            <w10:anchorlock/>
          </v:shape>
          <o:OLEObject Type="Embed" ProgID="Equation.3" ShapeID="_x0000_i1169" DrawAspect="Content" ObjectID="_1468075869" r:id="rId252">
            <o:LockedField>false</o:LockedField>
          </o:OLEObject>
        </w:object>
      </w:r>
    </w:p>
    <w:p>
      <w:r>
        <w:t>where RBnextDC means: Resource Block next to the carrier.</w:t>
      </w:r>
    </w:p>
    <w:p>
      <w:r>
        <w:t>This is one RB, namely the central one in case of an odd number of RBs in the channel BW.</w:t>
      </w:r>
    </w:p>
    <w:p>
      <w:r>
        <w:t>This is one pair of RBs, namely the immediately adjacent RBs to the carrier in case of an even number of RBs in the channel BW.</w:t>
      </w:r>
    </w:p>
    <w:p>
      <w:pPr>
        <w:rPr>
          <w:rFonts w:eastAsia="MS Mincho"/>
        </w:rPr>
      </w:pPr>
      <w:r>
        <w:t>Although an exclusion period may be applicable in the time domain, when evaluating EVM (clause E.7), the inband emissions</w:t>
      </w:r>
      <w:r>
        <w:rPr>
          <w:rFonts w:eastAsia="MS Mincho"/>
        </w:rPr>
        <w:t xml:space="preserve"> measurement interval is </w:t>
      </w:r>
      <w:r>
        <w:t>defined over one complete slot in the time domain.</w:t>
      </w:r>
    </w:p>
    <w:p>
      <w:pPr>
        <w:rPr>
          <w:rFonts w:eastAsia="MS Mincho"/>
        </w:rPr>
      </w:pPr>
      <w:r>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pPr>
        <w:pStyle w:val="4"/>
      </w:pPr>
      <w:bookmarkStart w:id="2146" w:name="_Toc14336"/>
      <w:bookmarkStart w:id="2147" w:name="_Toc2673"/>
      <w:bookmarkStart w:id="2148" w:name="_Toc21819"/>
      <w:bookmarkStart w:id="2149" w:name="_Toc18146"/>
      <w:bookmarkStart w:id="2150" w:name="_Toc13881"/>
      <w:bookmarkStart w:id="2151" w:name="_Toc232582172"/>
      <w:r>
        <w:t>E.4.4</w:t>
      </w:r>
      <w:r>
        <w:tab/>
      </w:r>
      <w:r>
        <w:t>EVM equalizer spectrum flatness</w:t>
      </w:r>
      <w:bookmarkEnd w:id="2146"/>
      <w:bookmarkEnd w:id="2147"/>
      <w:bookmarkEnd w:id="2148"/>
      <w:bookmarkEnd w:id="2149"/>
      <w:bookmarkEnd w:id="2150"/>
      <w:bookmarkEnd w:id="2151"/>
    </w:p>
    <w:p>
      <w:r>
        <w:t>For EVM equalizer spectrum flatness use EC(f) as defined in E.3.3. Note, EC(f) represents</w:t>
      </w:r>
      <w:r>
        <w:rPr>
          <w:lang w:eastAsia="zh-CN"/>
        </w:rPr>
        <w:t xml:space="preserve"> </w:t>
      </w:r>
      <w:r>
        <w:t>equalizer coefficient</w:t>
      </w:r>
      <w:r>
        <w:rPr>
          <w:lang w:eastAsia="zh-CN"/>
        </w:rPr>
        <w:t xml:space="preserve"> </w:t>
      </w:r>
      <w:r>
        <w:rPr>
          <w:position w:val="-8"/>
        </w:rPr>
        <w:object>
          <v:shape id="_x0000_i1170" o:spt="75" type="#_x0000_t75" style="height:21.6pt;width:33pt;" o:ole="t" filled="f" o:preferrelative="t" stroked="f" coordsize="21600,21600">
            <v:path/>
            <v:fill on="f" focussize="0,0"/>
            <v:stroke on="f" joinstyle="miter"/>
            <v:imagedata r:id="rId255" o:title=""/>
            <o:lock v:ext="edit" aspectratio="t"/>
            <w10:wrap type="none"/>
            <w10:anchorlock/>
          </v:shape>
          <o:OLEObject Type="Embed" ProgID="Equation.3" ShapeID="_x0000_i1170" DrawAspect="Content" ObjectID="_1468075870" r:id="rId254">
            <o:LockedField>false</o:LockedField>
          </o:OLEObject>
        </w:object>
      </w:r>
      <w:r>
        <w:rPr>
          <w:lang w:eastAsia="zh-CN"/>
        </w:rPr>
        <w:t>，f is the allocated subcarriers within the transmission bandwidth (</w:t>
      </w:r>
      <w:r>
        <w:t>(</w:t>
      </w:r>
      <w:r>
        <w:rPr>
          <w:sz w:val="18"/>
        </w:rPr>
        <w:t>|</w:t>
      </w:r>
      <w:r>
        <w:rPr>
          <w:sz w:val="18"/>
          <w:lang w:eastAsia="zh-CN"/>
        </w:rPr>
        <w:t>F</w:t>
      </w:r>
      <w:r>
        <w:rPr>
          <w:sz w:val="18"/>
        </w:rPr>
        <w:t>|=</w:t>
      </w:r>
      <w:r>
        <w:t>12*</w:t>
      </w:r>
      <w:r>
        <w:rPr>
          <w:position w:val="-10"/>
        </w:rPr>
        <w:object>
          <v:shape id="_x0000_i1171"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71" DrawAspect="Content" ObjectID="_1468075871" r:id="rId256">
            <o:LockedField>false</o:LockedField>
          </o:OLEObject>
        </w:object>
      </w:r>
      <w:r>
        <w:rPr>
          <w:lang w:eastAsia="zh-CN"/>
        </w:rPr>
        <w:t>)</w:t>
      </w:r>
    </w:p>
    <w:p>
      <w:pPr>
        <w:rPr>
          <w:lang w:eastAsia="zh-CN"/>
        </w:rPr>
      </w:pPr>
      <w:r>
        <w:t xml:space="preserve">From the acquired samples 20 functions </w:t>
      </w:r>
      <w:r>
        <w:rPr>
          <w:lang w:eastAsia="zh-CN"/>
        </w:rPr>
        <w:t>EC</w:t>
      </w:r>
      <w:r>
        <w:t>(f) can be derived.</w:t>
      </w:r>
    </w:p>
    <w:p>
      <w:pPr>
        <w:rPr>
          <w:lang w:eastAsia="zh-CN"/>
        </w:rPr>
      </w:pPr>
      <w:r>
        <w:rPr>
          <w:lang w:eastAsia="zh-CN"/>
        </w:rPr>
        <w:t>EC(f) is broken down to 2 functions:</w:t>
      </w:r>
    </w:p>
    <w:p>
      <w:pPr>
        <w:pStyle w:val="95"/>
        <w:rPr>
          <w:lang w:eastAsia="zh-CN"/>
        </w:rPr>
      </w:pPr>
      <w:r>
        <w:rPr>
          <w:lang w:eastAsia="zh-CN"/>
        </w:rPr>
        <w:tab/>
      </w:r>
      <w:r>
        <w:rPr>
          <w:position w:val="-28"/>
          <w:lang w:eastAsia="zh-CN"/>
        </w:rPr>
        <w:object>
          <v:shape id="_x0000_i1172" o:spt="75" type="#_x0000_t75" style="height:46.2pt;width:138.6pt;" o:ole="t" filled="f" o:preferrelative="t" stroked="f" coordsize="21600,21600">
            <v:path/>
            <v:fill on="f" focussize="0,0"/>
            <v:stroke on="f" joinstyle="miter"/>
            <v:imagedata r:id="rId258" o:title=""/>
            <o:lock v:ext="edit" aspectratio="t"/>
            <w10:wrap type="none"/>
            <w10:anchorlock/>
          </v:shape>
          <o:OLEObject Type="Embed" ProgID="Equation.3" ShapeID="_x0000_i1172" DrawAspect="Content" ObjectID="_1468075872" r:id="rId257">
            <o:LockedField>false</o:LockedField>
          </o:OLEObject>
        </w:object>
      </w:r>
    </w:p>
    <w:p>
      <w:pPr>
        <w:pStyle w:val="95"/>
        <w:rPr>
          <w:lang w:eastAsia="zh-CN"/>
        </w:rPr>
      </w:pPr>
      <w:r>
        <w:rPr>
          <w:lang w:eastAsia="zh-CN"/>
        </w:rPr>
        <w:tab/>
      </w:r>
      <w:r>
        <w:rPr>
          <w:position w:val="-28"/>
          <w:lang w:eastAsia="zh-CN"/>
        </w:rPr>
        <w:object>
          <v:shape id="_x0000_i1173" o:spt="75" type="#_x0000_t75" style="height:46.2pt;width:142.8pt;" o:ole="t" filled="f" o:preferrelative="t" stroked="f" coordsize="21600,21600">
            <v:path/>
            <v:fill on="f" focussize="0,0"/>
            <v:stroke on="f" joinstyle="miter"/>
            <v:imagedata r:id="rId260" o:title=""/>
            <o:lock v:ext="edit" aspectratio="t"/>
            <w10:wrap type="none"/>
            <w10:anchorlock/>
          </v:shape>
          <o:OLEObject Type="Embed" ProgID="Equation.3" ShapeID="_x0000_i1173" DrawAspect="Content" ObjectID="_1468075873" r:id="rId259">
            <o:LockedField>false</o:LockedField>
          </o:OLEObject>
        </w:object>
      </w:r>
    </w:p>
    <w:p>
      <w:pPr>
        <w:rPr>
          <w:lang w:eastAsia="zh-CN"/>
        </w:rPr>
      </w:pPr>
      <w:r>
        <w:rPr>
          <w:lang w:eastAsia="zh-CN"/>
        </w:rPr>
        <w:t xml:space="preserve">Where Range 1 and Range 2 are as defined in </w:t>
      </w:r>
      <w:r>
        <w:rPr>
          <w:rFonts w:eastAsia="Osaka"/>
        </w:rPr>
        <w:t>Table 6.5.2.4.</w:t>
      </w:r>
      <w:r>
        <w:rPr>
          <w:lang w:eastAsia="zh-CN"/>
        </w:rPr>
        <w:t>5</w:t>
      </w:r>
      <w:r>
        <w:rPr>
          <w:rFonts w:eastAsia="Osaka"/>
        </w:rPr>
        <w:t>-1</w:t>
      </w:r>
      <w:r>
        <w:rPr>
          <w:lang w:eastAsia="zh-CN"/>
        </w:rPr>
        <w:t xml:space="preserve"> for normal condition and </w:t>
      </w:r>
      <w:r>
        <w:rPr>
          <w:rFonts w:eastAsia="Osaka"/>
        </w:rPr>
        <w:t>Table 6.5.2.4.</w:t>
      </w:r>
      <w:r>
        <w:rPr>
          <w:lang w:eastAsia="zh-CN"/>
        </w:rPr>
        <w:t>5</w:t>
      </w:r>
      <w:r>
        <w:rPr>
          <w:rFonts w:eastAsia="Osaka"/>
        </w:rPr>
        <w:t>-</w:t>
      </w:r>
      <w:r>
        <w:rPr>
          <w:lang w:eastAsia="zh-CN"/>
        </w:rPr>
        <w:t>2 for extreme condition</w:t>
      </w:r>
    </w:p>
    <w:p>
      <w:pPr>
        <w:rPr>
          <w:lang w:eastAsia="zh-CN"/>
        </w:rPr>
      </w:pPr>
      <w:r>
        <w:rPr>
          <w:lang w:eastAsia="zh-CN"/>
        </w:rPr>
        <w:t>The following peak to peak ripple is calculated:</w:t>
      </w:r>
    </w:p>
    <w:p>
      <w:pPr>
        <w:pStyle w:val="95"/>
        <w:rPr>
          <w:lang w:eastAsia="zh-CN"/>
        </w:rPr>
      </w:pPr>
      <w:r>
        <w:rPr>
          <w:position w:val="-10"/>
        </w:rPr>
        <w:object>
          <v:shape id="_x0000_i1174" o:spt="75" type="#_x0000_t75" style="height:17.4pt;width:234pt;" o:ole="t" filled="f" o:preferrelative="t" stroked="f" coordsize="21600,21600">
            <v:path/>
            <v:fill on="f" focussize="0,0"/>
            <v:stroke on="f" joinstyle="miter"/>
            <v:imagedata r:id="rId262" o:title=""/>
            <o:lock v:ext="edit" aspectratio="t"/>
            <w10:wrap type="none"/>
            <w10:anchorlock/>
          </v:shape>
          <o:OLEObject Type="Embed" ProgID="Equation.3" ShapeID="_x0000_i1174" DrawAspect="Content" ObjectID="_1468075874" r:id="rId261">
            <o:LockedField>false</o:LockedField>
          </o:OLEObject>
        </w:object>
      </w:r>
      <w:r>
        <w:rPr>
          <w:lang w:eastAsia="zh-CN"/>
        </w:rPr>
        <w:t xml:space="preserve"> ,which denote the maximum ripple in Range 1</w:t>
      </w:r>
    </w:p>
    <w:p>
      <w:pPr>
        <w:pStyle w:val="95"/>
        <w:rPr>
          <w:lang w:eastAsia="zh-CN"/>
        </w:rPr>
      </w:pPr>
      <w:r>
        <w:rPr>
          <w:position w:val="-10"/>
        </w:rPr>
        <w:object>
          <v:shape id="_x0000_i1175" o:spt="75" type="#_x0000_t75" style="height:17.4pt;width:238.2pt;" o:ole="t" filled="f" o:preferrelative="t" stroked="f" coordsize="21600,21600">
            <v:path/>
            <v:fill on="f" focussize="0,0"/>
            <v:stroke on="f" joinstyle="miter"/>
            <v:imagedata r:id="rId264" o:title=""/>
            <o:lock v:ext="edit" aspectratio="t"/>
            <w10:wrap type="none"/>
            <w10:anchorlock/>
          </v:shape>
          <o:OLEObject Type="Embed" ProgID="Equation.3" ShapeID="_x0000_i1175" DrawAspect="Content" ObjectID="_1468075875" r:id="rId263">
            <o:LockedField>false</o:LockedField>
          </o:OLEObject>
        </w:object>
      </w:r>
      <w:r>
        <w:rPr>
          <w:lang w:eastAsia="zh-CN"/>
        </w:rPr>
        <w:t>,which denote the maximum ripple in Range 2</w:t>
      </w:r>
    </w:p>
    <w:p>
      <w:pPr>
        <w:pStyle w:val="95"/>
        <w:rPr>
          <w:lang w:eastAsia="zh-CN"/>
        </w:rPr>
      </w:pPr>
      <w:r>
        <w:rPr>
          <w:position w:val="-10"/>
        </w:rPr>
        <w:object>
          <v:shape id="_x0000_i1176" o:spt="75" type="#_x0000_t75" style="height:17.4pt;width:239.4pt;" o:ole="t" filled="f" o:preferrelative="t" stroked="f" coordsize="21600,21600">
            <v:path/>
            <v:fill on="f" focussize="0,0"/>
            <v:stroke on="f" joinstyle="miter"/>
            <v:imagedata r:id="rId266" o:title=""/>
            <o:lock v:ext="edit" aspectratio="t"/>
            <w10:wrap type="none"/>
            <w10:anchorlock/>
          </v:shape>
          <o:OLEObject Type="Embed" ProgID="Equation.3" ShapeID="_x0000_i1176" DrawAspect="Content" ObjectID="_1468075876" r:id="rId265">
            <o:LockedField>false</o:LockedField>
          </o:OLEObject>
        </w:object>
      </w:r>
      <w:r>
        <w:rPr>
          <w:lang w:eastAsia="zh-CN"/>
        </w:rPr>
        <w:t>,which denote the maximum ripple between the upper side of Range 1 and lower side of Range 2</w:t>
      </w:r>
    </w:p>
    <w:p>
      <w:pPr>
        <w:pStyle w:val="95"/>
        <w:rPr>
          <w:lang w:eastAsia="zh-CN"/>
        </w:rPr>
      </w:pPr>
      <w:r>
        <w:rPr>
          <w:position w:val="-10"/>
        </w:rPr>
        <w:object>
          <v:shape id="_x0000_i1177" o:spt="75" type="#_x0000_t75" style="height:17.4pt;width:239.4pt;" o:ole="t" filled="f" o:preferrelative="t" stroked="f" coordsize="21600,21600">
            <v:path/>
            <v:fill on="f" focussize="0,0"/>
            <v:stroke on="f" joinstyle="miter"/>
            <v:imagedata r:id="rId268" o:title=""/>
            <o:lock v:ext="edit" aspectratio="t"/>
            <w10:wrap type="none"/>
            <w10:anchorlock/>
          </v:shape>
          <o:OLEObject Type="Embed" ProgID="Equation.3" ShapeID="_x0000_i1177" DrawAspect="Content" ObjectID="_1468075877" r:id="rId267">
            <o:LockedField>false</o:LockedField>
          </o:OLEObject>
        </w:object>
      </w:r>
      <w:r>
        <w:rPr>
          <w:lang w:eastAsia="zh-CN"/>
        </w:rPr>
        <w:t xml:space="preserve"> ,which denote the maximum ripple between the upper side of Range 2 and lower side of Range 1</w:t>
      </w:r>
    </w:p>
    <w:p>
      <w:pPr>
        <w:pStyle w:val="4"/>
      </w:pPr>
      <w:bookmarkStart w:id="2152" w:name="_Toc232582173"/>
      <w:bookmarkStart w:id="2153" w:name="_Toc1032"/>
      <w:bookmarkStart w:id="2154" w:name="_Toc1886"/>
      <w:bookmarkStart w:id="2155" w:name="_Toc2818"/>
      <w:bookmarkStart w:id="2156" w:name="_Toc13764"/>
      <w:bookmarkStart w:id="2157" w:name="_Toc14981"/>
      <w:r>
        <w:t>E.4.5</w:t>
      </w:r>
      <w:r>
        <w:tab/>
      </w:r>
      <w:r>
        <w:t xml:space="preserve">Frequency error and </w:t>
      </w:r>
      <w:bookmarkEnd w:id="2152"/>
      <w:r>
        <w:t>Carrier leakage</w:t>
      </w:r>
      <w:bookmarkEnd w:id="2153"/>
      <w:bookmarkEnd w:id="2154"/>
      <w:bookmarkEnd w:id="2155"/>
      <w:bookmarkEnd w:id="2156"/>
      <w:bookmarkEnd w:id="2157"/>
    </w:p>
    <w:p>
      <w:r>
        <w:t>See E.3.1.</w:t>
      </w:r>
    </w:p>
    <w:p>
      <w:pPr>
        <w:pStyle w:val="4"/>
      </w:pPr>
      <w:bookmarkStart w:id="2158" w:name="_Toc31544"/>
      <w:bookmarkStart w:id="2159" w:name="_Toc12408"/>
      <w:bookmarkStart w:id="2160" w:name="_Toc13614"/>
      <w:bookmarkStart w:id="2161" w:name="_Toc31577"/>
      <w:bookmarkStart w:id="2162" w:name="_Toc17656"/>
      <w:r>
        <w:t>E.4.6</w:t>
      </w:r>
      <w:r>
        <w:tab/>
      </w:r>
      <w:r>
        <w:t>EVM of Demodulation reference symbols (EVM</w:t>
      </w:r>
      <w:r>
        <w:rPr>
          <w:szCs w:val="28"/>
          <w:vertAlign w:val="subscript"/>
        </w:rPr>
        <w:t>DMRS</w:t>
      </w:r>
      <w:r>
        <w:t>)</w:t>
      </w:r>
      <w:bookmarkEnd w:id="2158"/>
      <w:bookmarkEnd w:id="2159"/>
      <w:bookmarkEnd w:id="2160"/>
      <w:bookmarkEnd w:id="2161"/>
      <w:bookmarkEnd w:id="2162"/>
    </w:p>
    <w:p>
      <w:r>
        <w:t xml:space="preserve">For the purpose of EVM </w:t>
      </w:r>
      <w:r>
        <w:rPr>
          <w:vertAlign w:val="subscript"/>
        </w:rPr>
        <w:t>DMRS</w:t>
      </w:r>
      <w:r>
        <w:t xml:space="preserve">, the steps E.2.2 to E.4.2 are repeated 6 times, constituting 6 EVM </w:t>
      </w:r>
      <w:r>
        <w:rPr>
          <w:vertAlign w:val="subscript"/>
        </w:rPr>
        <w:t>DMRS</w:t>
      </w:r>
      <w:r>
        <w:t xml:space="preserve"> sub-periods. The only purpose of the repetition is to cover the longer gross measurement period of EVM </w:t>
      </w:r>
      <w:r>
        <w:rPr>
          <w:vertAlign w:val="subscript"/>
        </w:rPr>
        <w:t>DMRS</w:t>
      </w:r>
      <w:r>
        <w:t xml:space="preserve"> (120 time slots) and to derive the FFT window timing per sub-period.</w:t>
      </w:r>
    </w:p>
    <w:p>
      <w:r>
        <w:t xml:space="preserve">The bigger of the EVM results in one 20 TS period corresponding to the </w:t>
      </w:r>
      <w:r>
        <w:rPr>
          <w:color w:val="000000"/>
          <w:lang w:eastAsia="zh-CN"/>
        </w:rPr>
        <w:t>timing¦</w:t>
      </w:r>
      <w:r>
        <w:t xml:space="preserve"> </w:t>
      </w:r>
      <w:r>
        <w:rPr>
          <w:position w:val="-6"/>
        </w:rPr>
        <w:object>
          <v:shape id="_x0000_i1178"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78" DrawAspect="Content" ObjectID="_1468075878" r:id="rId269">
            <o:LockedField>false</o:LockedField>
          </o:OLEObject>
        </w:object>
      </w:r>
      <w:r>
        <w:t xml:space="preserve"> –W/2 or </w:t>
      </w:r>
      <w:r>
        <w:rPr>
          <w:position w:val="-6"/>
        </w:rPr>
        <w:object>
          <v:shape id="_x0000_i1179"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79" DrawAspect="Content" ObjectID="_1468075879" r:id="rId270">
            <o:LockedField>false</o:LockedField>
          </o:OLEObject>
        </w:object>
      </w:r>
      <w:r>
        <w:t xml:space="preserve"> +W/2 is compared against the limit. (Clause E.4.2) This timing is re-used for EVM </w:t>
      </w:r>
      <w:r>
        <w:rPr>
          <w:vertAlign w:val="subscript"/>
        </w:rPr>
        <w:t>DMRS</w:t>
      </w:r>
      <w:r>
        <w:t xml:space="preserve"> in the equivalent EVM </w:t>
      </w:r>
      <w:r>
        <w:rPr>
          <w:vertAlign w:val="subscript"/>
        </w:rPr>
        <w:t>DMRS</w:t>
      </w:r>
      <w:r>
        <w:t xml:space="preserve"> sub-period.</w:t>
      </w:r>
    </w:p>
    <w:p>
      <w:r>
        <w:t>For EVM the demodulation reference symbols are excluded, while the data symbols are used. For EVM</w:t>
      </w:r>
      <w:r>
        <w:rPr>
          <w:vertAlign w:val="subscript"/>
        </w:rPr>
        <w:t>DMRS</w:t>
      </w:r>
      <w:r>
        <w:t xml:space="preserve"> the data symbols are excluded, while the demodulation references symbols are used. This is illustrated in figure E.4.6-1</w:t>
      </w:r>
    </w:p>
    <w:p>
      <w:pPr>
        <w:pStyle w:val="113"/>
      </w:pPr>
      <w:r>
        <w:object>
          <v:shape id="_x0000_i1180" o:spt="75" type="#_x0000_t75" style="height:112.2pt;width:483pt;" o:ole="t" filled="f" o:preferrelative="t" stroked="f" coordsize="21600,21600">
            <v:path/>
            <v:fill on="f" focussize="0,0"/>
            <v:stroke on="f" joinstyle="miter"/>
            <v:imagedata r:id="rId272" o:title=""/>
            <o:lock v:ext="edit" aspectratio="t"/>
            <w10:wrap type="none"/>
            <w10:anchorlock/>
          </v:shape>
          <o:OLEObject Type="Embed" ProgID="Word.Document.8" ShapeID="_x0000_i1180" DrawAspect="Content" ObjectID="_1468075880" r:id="rId271">
            <o:LockedField>false</o:LockedField>
          </o:OLEObject>
        </w:object>
      </w:r>
    </w:p>
    <w:p>
      <w:pPr>
        <w:pStyle w:val="120"/>
      </w:pPr>
      <w:r>
        <w:t>Figure E.4.6-1: EVM</w:t>
      </w:r>
      <w:r>
        <w:rPr>
          <w:vertAlign w:val="subscript"/>
        </w:rPr>
        <w:t>DMRS</w:t>
      </w:r>
      <w:r>
        <w:t xml:space="preserve"> measurement points</w:t>
      </w:r>
    </w:p>
    <w:p/>
    <w:p>
      <w:r>
        <w:t>Re-use the following formula from E.3.3:</w:t>
      </w:r>
    </w:p>
    <w:p>
      <w:pPr>
        <w:pStyle w:val="95"/>
        <w:jc w:val="center"/>
      </w:pPr>
      <w:r>
        <w:t xml:space="preserve">Z’(f,t) = MS(f,t) </w:t>
      </w:r>
      <w:r>
        <w:rPr>
          <w:b/>
          <w:vertAlign w:val="superscript"/>
        </w:rPr>
        <w:t>.</w:t>
      </w:r>
      <w:r>
        <w:t xml:space="preserve"> EC(f)</w:t>
      </w:r>
    </w:p>
    <w:p>
      <w:r>
        <w:t>To calculate EVM</w:t>
      </w:r>
      <w:r>
        <w:rPr>
          <w:vertAlign w:val="subscript"/>
        </w:rPr>
        <w:t>DMRS</w:t>
      </w:r>
      <w:r>
        <w:t xml:space="preserve"> , the data symbol ( t=0,1,2,4,5,6) in Z’(f,t) are excluded and only the reference symbol (t=3) is used.</w:t>
      </w:r>
    </w:p>
    <w:p>
      <w:r>
        <w:t xml:space="preserve">The EVM </w:t>
      </w:r>
      <w:r>
        <w:rPr>
          <w:vertAlign w:val="subscript"/>
        </w:rPr>
        <w:t>DMRS</w:t>
      </w:r>
      <w:r>
        <w:t xml:space="preserve"> is the difference between the ideal waveform and the measured and equalized waveform for the allocated RB(s)</w:t>
      </w:r>
    </w:p>
    <w:p>
      <w:pPr>
        <w:ind w:firstLine="284"/>
        <w:jc w:val="center"/>
      </w:pPr>
      <w:r>
        <w:rPr>
          <w:position w:val="-38"/>
          <w:sz w:val="18"/>
        </w:rPr>
        <w:object>
          <v:shape id="_x0000_i1181" o:spt="75" type="#_x0000_t75" style="height:55.2pt;width:218.4pt;" o:ole="t" filled="f" o:preferrelative="t" stroked="f" coordsize="21600,21600">
            <v:path/>
            <v:fill on="f" focussize="0,0"/>
            <v:stroke on="f" joinstyle="miter"/>
            <v:imagedata r:id="rId274" o:title=""/>
            <o:lock v:ext="edit" aspectratio="t"/>
            <w10:wrap type="none"/>
            <w10:anchorlock/>
          </v:shape>
          <o:OLEObject Type="Embed" ProgID="Equation.3" ShapeID="_x0000_i1181" DrawAspect="Content" ObjectID="_1468075881" r:id="rId273">
            <o:LockedField>false</o:LockedField>
          </o:OLEObject>
        </w:object>
      </w:r>
      <w:r>
        <w:t>,</w:t>
      </w:r>
    </w:p>
    <w:p>
      <w:r>
        <w:t>where</w:t>
      </w:r>
    </w:p>
    <w:p>
      <w:r>
        <w:rPr>
          <w:sz w:val="24"/>
          <w:szCs w:val="24"/>
        </w:rPr>
        <w:t xml:space="preserve">t </w:t>
      </w:r>
      <w:r>
        <w:t>covers the count of demodulation reference symbols (i.e. only symbol 3 in each slot, so count =1)</w:t>
      </w:r>
    </w:p>
    <w:p>
      <w:pPr>
        <w:rPr>
          <w:sz w:val="18"/>
        </w:rPr>
      </w:pPr>
      <w:r>
        <w:rPr>
          <w:rFonts w:eastAsia="Osaka"/>
        </w:rPr>
        <w:t>f covers the count of demodulation reference symbols</w:t>
      </w:r>
      <w:r>
        <w:t xml:space="preserve"> within the allocated bandwidth. (</w:t>
      </w:r>
      <w:r>
        <w:rPr>
          <w:sz w:val="18"/>
        </w:rPr>
        <w:t>|F|=</w:t>
      </w:r>
      <w:r>
        <w:t>12*</w:t>
      </w:r>
      <w:r>
        <w:rPr>
          <w:position w:val="-10"/>
        </w:rPr>
        <w:object>
          <v:shape id="_x0000_i1182"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82" DrawAspect="Content" ObjectID="_1468075882" r:id="rId275">
            <o:LockedField>false</o:LockedField>
          </o:OLEObject>
        </w:object>
      </w:r>
      <w:r>
        <w:t xml:space="preserve"> (with</w:t>
      </w:r>
      <w:r>
        <w:rPr>
          <w:position w:val="-10"/>
        </w:rPr>
        <w:object>
          <v:shape id="_x0000_i1183"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83" DrawAspect="Content" ObjectID="_1468075883" r:id="rId276">
            <o:LockedField>false</o:LockedField>
          </o:OLEObject>
        </w:object>
      </w:r>
      <w:r>
        <w:t xml:space="preserve">: number of allocated resource blocks)). </w:t>
      </w:r>
    </w:p>
    <w:p>
      <w:r>
        <w:rPr>
          <w:position w:val="-14"/>
        </w:rPr>
        <w:object>
          <v:shape id="_x0000_i1184" o:spt="75" type="#_x0000_t75" style="height:20.4pt;width:44.4pt;" o:ole="t" filled="f" o:preferrelative="t" stroked="f" coordsize="21600,21600">
            <v:path/>
            <v:fill on="f" focussize="0,0"/>
            <v:stroke on="f" joinstyle="miter"/>
            <v:imagedata r:id="rId278" o:title=""/>
            <o:lock v:ext="edit" aspectratio="t"/>
            <w10:wrap type="none"/>
            <w10:anchorlock/>
          </v:shape>
          <o:OLEObject Type="Embed" ProgID="Equation.3" ShapeID="_x0000_i1184" DrawAspect="Content" ObjectID="_1468075884" r:id="rId277">
            <o:LockedField>false</o:LockedField>
          </o:OLEObject>
        </w:object>
      </w:r>
      <w:r>
        <w:t xml:space="preserve"> are the samples of the signal evaluated for the EVM </w:t>
      </w:r>
      <w:r>
        <w:rPr>
          <w:vertAlign w:val="subscript"/>
        </w:rPr>
        <w:t>DMRS</w:t>
      </w:r>
    </w:p>
    <w:p>
      <w:r>
        <w:rPr>
          <w:position w:val="-10"/>
        </w:rPr>
        <w:object>
          <v:shape id="_x0000_i1185" o:spt="75" type="#_x0000_t75" style="height:19.2pt;width:34.8pt;" o:ole="t" filled="f" o:preferrelative="t" stroked="f" coordsize="21600,21600">
            <v:path/>
            <v:fill on="f" focussize="0,0"/>
            <v:stroke on="f" joinstyle="miter"/>
            <v:imagedata r:id="rId280" o:title=""/>
            <o:lock v:ext="edit" aspectratio="t"/>
            <w10:wrap type="none"/>
            <w10:anchorlock/>
          </v:shape>
          <o:OLEObject Type="Embed" ProgID="Equation.3" ShapeID="_x0000_i1185" DrawAspect="Content" ObjectID="_1468075885" r:id="rId279">
            <o:LockedField>false</o:LockedField>
          </o:OLEObject>
        </w:object>
      </w:r>
      <w:r>
        <w:t>is the ideal signal reconstructed by the measurement equipment, and</w:t>
      </w:r>
    </w:p>
    <w:p>
      <w:r>
        <w:rPr>
          <w:rFonts w:ascii="Arial" w:hAnsi="Arial" w:cs="Arial"/>
          <w:position w:val="-12"/>
        </w:rPr>
        <w:object>
          <v:shape id="_x0000_i1186"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86" DrawAspect="Content" ObjectID="_1468075886" r:id="rId281">
            <o:LockedField>false</o:LockedField>
          </o:OLEObject>
        </w:object>
      </w:r>
      <w:r>
        <w:t xml:space="preserve"> is the average power of the ideal signal. For normalized modulation symbols </w:t>
      </w:r>
      <w:r>
        <w:rPr>
          <w:position w:val="-12"/>
        </w:rPr>
        <w:object>
          <v:shape id="_x0000_i1187"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87" DrawAspect="Content" ObjectID="_1468075887" r:id="rId282">
            <o:LockedField>false</o:LockedField>
          </o:OLEObject>
        </w:object>
      </w:r>
      <w:r>
        <w:t xml:space="preserve"> is equal to 1.</w:t>
      </w:r>
    </w:p>
    <w:p>
      <w:r>
        <w:t>20 such results are generated per measurement sub-period.</w:t>
      </w:r>
    </w:p>
    <w:p>
      <w:pPr>
        <w:pStyle w:val="5"/>
      </w:pPr>
      <w:bookmarkStart w:id="2163" w:name="_Toc6334"/>
      <w:bookmarkStart w:id="2164" w:name="_Toc21748"/>
      <w:bookmarkStart w:id="2165" w:name="_Toc27477"/>
      <w:bookmarkStart w:id="2166" w:name="_Toc24916"/>
      <w:bookmarkStart w:id="2167" w:name="_Toc24074"/>
      <w:r>
        <w:t>E.4.6.1</w:t>
      </w:r>
      <w:r>
        <w:tab/>
      </w:r>
      <w:r>
        <w:t>1</w:t>
      </w:r>
      <w:r>
        <w:rPr>
          <w:vertAlign w:val="superscript"/>
        </w:rPr>
        <w:t>st</w:t>
      </w:r>
      <w:r>
        <w:t xml:space="preserve"> average for EVM </w:t>
      </w:r>
      <w:r>
        <w:rPr>
          <w:vertAlign w:val="subscript"/>
        </w:rPr>
        <w:t>DMRS</w:t>
      </w:r>
      <w:bookmarkEnd w:id="2163"/>
      <w:bookmarkEnd w:id="2164"/>
      <w:bookmarkEnd w:id="2165"/>
      <w:bookmarkEnd w:id="2166"/>
      <w:bookmarkEnd w:id="2167"/>
    </w:p>
    <w:p>
      <w:pPr>
        <w:rPr>
          <w:color w:val="000000"/>
          <w:lang w:eastAsia="zh-CN"/>
        </w:rPr>
      </w:pPr>
      <w:r>
        <w:t xml:space="preserve">EVM </w:t>
      </w:r>
      <w:r>
        <w:rPr>
          <w:vertAlign w:val="subscript"/>
        </w:rPr>
        <w:t>DMRS</w:t>
      </w:r>
      <w:r>
        <w:t xml:space="preserve"> is averaged over all </w:t>
      </w:r>
      <w:r>
        <w:rPr>
          <w:lang w:eastAsia="zh-CN"/>
        </w:rPr>
        <w:t xml:space="preserve">basic </w:t>
      </w:r>
      <w:r>
        <w:t xml:space="preserve">EVM </w:t>
      </w:r>
      <w:r>
        <w:rPr>
          <w:vertAlign w:val="subscript"/>
        </w:rPr>
        <w:t>DMRS</w:t>
      </w:r>
      <w:r>
        <w:t xml:space="preserve"> </w:t>
      </w:r>
      <w:r>
        <w:rPr>
          <w:lang w:eastAsia="zh-CN"/>
        </w:rPr>
        <w:t>measurements in one sub-period</w:t>
      </w:r>
    </w:p>
    <w:p>
      <w:pPr>
        <w:rPr>
          <w:rFonts w:eastAsia="宋体"/>
          <w:lang w:eastAsia="zh-CN"/>
        </w:rPr>
      </w:pPr>
      <w:r>
        <w:rPr>
          <w:lang w:eastAsia="zh-CN"/>
        </w:rPr>
        <w:t>For subslot TTI, The averaging comprises 60 UL subslots (for frame structure 2: excluding special fields(UpPTS)) for PUCCH, PUSCH, PDSCH.</w:t>
      </w:r>
    </w:p>
    <w:p>
      <w:pPr>
        <w:rPr>
          <w:color w:val="000000"/>
          <w:lang w:eastAsia="zh-CN"/>
        </w:rPr>
      </w:pPr>
      <w:r>
        <w:rPr>
          <w:lang w:eastAsia="zh-CN"/>
        </w:rPr>
        <w:t xml:space="preserve">For subframe/slot TTI, the </w:t>
      </w:r>
      <w:r>
        <w:rPr>
          <w:color w:val="000000"/>
          <w:lang w:eastAsia="zh-CN"/>
        </w:rPr>
        <w:t>averaging comprises 20 UL slots (for frame structure 2: excluding special fields(UpPTS))</w:t>
      </w:r>
    </w:p>
    <w:p>
      <w:pPr>
        <w:pStyle w:val="95"/>
        <w:rPr>
          <w:rFonts w:ascii="宋体" w:cs="宋体"/>
          <w:color w:val="000000"/>
          <w:lang w:eastAsia="zh-CN"/>
        </w:rPr>
      </w:pPr>
      <w:r>
        <w:tab/>
      </w:r>
      <w:r>
        <w:rPr>
          <w:position w:val="-30"/>
        </w:rPr>
        <w:object>
          <v:shape id="_x0000_i1188" o:spt="75" type="#_x0000_t75" style="height:40.2pt;width:204pt;" o:ole="t" filled="f" o:preferrelative="t" stroked="f" coordsize="21600,21600">
            <v:path/>
            <v:fill on="f" focussize="0,0"/>
            <v:stroke on="f" joinstyle="miter"/>
            <v:imagedata r:id="rId284" o:title=""/>
            <o:lock v:ext="edit" aspectratio="t"/>
            <w10:wrap type="none"/>
            <w10:anchorlock/>
          </v:shape>
          <o:OLEObject Type="Embed" ProgID="Equation.3" ShapeID="_x0000_i1188" DrawAspect="Content" ObjectID="_1468075888" r:id="rId283">
            <o:LockedField>false</o:LockedField>
          </o:OLEObject>
        </w:object>
      </w:r>
    </w:p>
    <w:p>
      <w:r>
        <w:t>The timing is taken from the EVM for the data. 6 of those results are achieved from the samples. In general the timing is not the same for each result.</w:t>
      </w:r>
    </w:p>
    <w:p>
      <w:pPr>
        <w:pStyle w:val="5"/>
      </w:pPr>
      <w:bookmarkStart w:id="2168" w:name="_Toc28932"/>
      <w:bookmarkStart w:id="2169" w:name="_Toc20288"/>
      <w:bookmarkStart w:id="2170" w:name="_Toc30033"/>
      <w:bookmarkStart w:id="2171" w:name="_Toc6676"/>
      <w:bookmarkStart w:id="2172" w:name="_Toc15006"/>
      <w:r>
        <w:t>E.4.6.2</w:t>
      </w:r>
      <w:r>
        <w:tab/>
      </w:r>
      <w:r>
        <w:t xml:space="preserve">Final average for EVM </w:t>
      </w:r>
      <w:r>
        <w:rPr>
          <w:vertAlign w:val="subscript"/>
        </w:rPr>
        <w:t>DMRS</w:t>
      </w:r>
      <w:bookmarkEnd w:id="2168"/>
      <w:bookmarkEnd w:id="2169"/>
      <w:bookmarkEnd w:id="2170"/>
      <w:bookmarkEnd w:id="2171"/>
      <w:bookmarkEnd w:id="2172"/>
    </w:p>
    <w:p>
      <w:pPr>
        <w:pStyle w:val="95"/>
      </w:pPr>
      <w:r>
        <w:tab/>
      </w:r>
      <w:r>
        <w:rPr>
          <w:position w:val="-30"/>
        </w:rPr>
        <w:object>
          <v:shape id="_x0000_i1189" o:spt="75" type="#_x0000_t75" style="height:36.6pt;width:192pt;" o:ole="t" filled="f" o:preferrelative="t" stroked="f" coordsize="21600,21600">
            <v:path/>
            <v:fill on="f" focussize="0,0"/>
            <v:stroke on="f" joinstyle="miter"/>
            <v:imagedata r:id="rId286" o:title=""/>
            <o:lock v:ext="edit" aspectratio="t"/>
            <w10:wrap type="none"/>
            <w10:anchorlock/>
          </v:shape>
          <o:OLEObject Type="Embed" ProgID="Equation.3" ShapeID="_x0000_i1189" DrawAspect="Content" ObjectID="_1468075889" r:id="rId285">
            <o:LockedField>false</o:LockedField>
          </o:OLEObject>
        </w:object>
      </w:r>
    </w:p>
    <w:p>
      <w:pPr>
        <w:pStyle w:val="3"/>
      </w:pPr>
      <w:bookmarkStart w:id="2173" w:name="_Toc26303"/>
      <w:bookmarkStart w:id="2174" w:name="_Toc17001"/>
      <w:bookmarkStart w:id="2175" w:name="_Toc1770"/>
      <w:bookmarkStart w:id="2176" w:name="_Toc6335"/>
      <w:bookmarkStart w:id="2177" w:name="_Toc21838"/>
      <w:r>
        <w:t>E.5</w:t>
      </w:r>
      <w:r>
        <w:tab/>
      </w:r>
      <w:r>
        <w:t>EVM and inband emissions for PUCCH</w:t>
      </w:r>
      <w:bookmarkEnd w:id="2173"/>
      <w:bookmarkEnd w:id="2174"/>
      <w:bookmarkEnd w:id="2175"/>
      <w:bookmarkEnd w:id="2176"/>
      <w:bookmarkEnd w:id="2177"/>
    </w:p>
    <w:p>
      <w:r>
        <w:t>For the purpose of worst case testing, the PUCCH shall be located on the edges of the Transmission Bandwidth Configuration (6,15,25,50,75,100 RBs).</w:t>
      </w:r>
    </w:p>
    <w:p>
      <w:r>
        <w:t>The EVM for PUCCH (EVM</w:t>
      </w:r>
      <w:r>
        <w:rPr>
          <w:vertAlign w:val="subscript"/>
        </w:rPr>
        <w:t>PUCCH</w:t>
      </w:r>
      <w:r>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r>
        <w:t>The description below is generic in the sense that all 6 PUCCH formats are covered. Although the number of OFDM symbols in one slot is 6 or 7 (depending on the cyclic prefix length), the text below uses 7 without excluding 6.</w:t>
      </w:r>
    </w:p>
    <w:p>
      <w:pPr>
        <w:pStyle w:val="4"/>
      </w:pPr>
      <w:bookmarkStart w:id="2178" w:name="_Toc2600"/>
      <w:bookmarkStart w:id="2179" w:name="_Toc26162"/>
      <w:bookmarkStart w:id="2180" w:name="_Toc5753"/>
      <w:bookmarkStart w:id="2181" w:name="_Toc12853"/>
      <w:bookmarkStart w:id="2182" w:name="_Toc8135"/>
      <w:r>
        <w:t>E.5.1</w:t>
      </w:r>
      <w:r>
        <w:tab/>
      </w:r>
      <w:r>
        <w:t>Basic principle</w:t>
      </w:r>
      <w:bookmarkEnd w:id="2178"/>
      <w:bookmarkEnd w:id="2179"/>
      <w:bookmarkEnd w:id="2180"/>
      <w:bookmarkEnd w:id="2181"/>
      <w:bookmarkEnd w:id="2182"/>
    </w:p>
    <w:p>
      <w:r>
        <w:t>The basis principle is the same as described in E.2.1</w:t>
      </w:r>
    </w:p>
    <w:p>
      <w:pPr>
        <w:pStyle w:val="4"/>
      </w:pPr>
      <w:bookmarkStart w:id="2183" w:name="_Toc3970"/>
      <w:bookmarkStart w:id="2184" w:name="_Toc6355"/>
      <w:bookmarkStart w:id="2185" w:name="_Toc10144"/>
      <w:bookmarkStart w:id="2186" w:name="_Toc852"/>
      <w:bookmarkStart w:id="2187" w:name="_Toc11617"/>
      <w:r>
        <w:t>E.5.2</w:t>
      </w:r>
      <w:r>
        <w:tab/>
      </w:r>
      <w:r>
        <w:t>Output signal of the TX under test</w:t>
      </w:r>
      <w:bookmarkEnd w:id="2183"/>
      <w:bookmarkEnd w:id="2184"/>
      <w:bookmarkEnd w:id="2185"/>
      <w:bookmarkEnd w:id="2186"/>
      <w:bookmarkEnd w:id="2187"/>
    </w:p>
    <w:p>
      <w:r>
        <w:t>The output signal of the TX under test is processed same as described in E.2.2</w:t>
      </w:r>
    </w:p>
    <w:p>
      <w:pPr>
        <w:pStyle w:val="4"/>
      </w:pPr>
      <w:bookmarkStart w:id="2188" w:name="_Toc29877"/>
      <w:bookmarkStart w:id="2189" w:name="_Toc23047"/>
      <w:bookmarkStart w:id="2190" w:name="_Toc15206"/>
      <w:bookmarkStart w:id="2191" w:name="_Toc31470"/>
      <w:bookmarkStart w:id="2192" w:name="_Toc10615"/>
      <w:r>
        <w:t>E.5.3</w:t>
      </w:r>
      <w:r>
        <w:tab/>
      </w:r>
      <w:r>
        <w:t>Reference signal</w:t>
      </w:r>
      <w:bookmarkEnd w:id="2188"/>
      <w:bookmarkEnd w:id="2189"/>
      <w:bookmarkEnd w:id="2190"/>
      <w:bookmarkEnd w:id="2191"/>
      <w:bookmarkEnd w:id="2192"/>
    </w:p>
    <w:p>
      <w:r>
        <w:t>The reference signal is defined same as in E.2.3. Same as in E.2.3, i</w:t>
      </w:r>
      <w:r>
        <w:rPr>
          <w:vertAlign w:val="subscript"/>
        </w:rPr>
        <w:t>1</w:t>
      </w:r>
      <w:r>
        <w:t>(ν) is the ideal reference for EVM</w:t>
      </w:r>
      <w:r>
        <w:rPr>
          <w:vertAlign w:val="subscript"/>
        </w:rPr>
        <w:t>PUCCH</w:t>
      </w:r>
      <w:r>
        <w:t xml:space="preserve"> and i</w:t>
      </w:r>
      <w:r>
        <w:rPr>
          <w:vertAlign w:val="subscript"/>
        </w:rPr>
        <w:t>2</w:t>
      </w:r>
      <w:r>
        <w:t>(ν) is used to estimate the FFT window timing.</w:t>
      </w:r>
    </w:p>
    <w:p>
      <w:r>
        <w:t>Note PUSCH is off during the PUCCH measurement period.</w:t>
      </w:r>
    </w:p>
    <w:p>
      <w:pPr>
        <w:pStyle w:val="4"/>
      </w:pPr>
      <w:bookmarkStart w:id="2193" w:name="_Toc2980"/>
      <w:bookmarkStart w:id="2194" w:name="_Toc26814"/>
      <w:bookmarkStart w:id="2195" w:name="_Toc22063"/>
      <w:bookmarkStart w:id="2196" w:name="_Toc21120"/>
      <w:bookmarkStart w:id="2197" w:name="_Toc20469"/>
      <w:r>
        <w:t>E.5.4</w:t>
      </w:r>
      <w:r>
        <w:tab/>
      </w:r>
      <w:r>
        <w:t>Measurement results</w:t>
      </w:r>
      <w:bookmarkEnd w:id="2193"/>
      <w:bookmarkEnd w:id="2194"/>
      <w:bookmarkEnd w:id="2195"/>
      <w:bookmarkEnd w:id="2196"/>
      <w:bookmarkEnd w:id="2197"/>
    </w:p>
    <w:p>
      <w:r>
        <w:t>The measurement results are:</w:t>
      </w:r>
    </w:p>
    <w:p>
      <w:pPr>
        <w:pStyle w:val="111"/>
      </w:pPr>
      <w:r>
        <w:t>-</w:t>
      </w:r>
      <w:r>
        <w:tab/>
      </w:r>
      <w:r>
        <w:t>EVM</w:t>
      </w:r>
      <w:r>
        <w:rPr>
          <w:vertAlign w:val="subscript"/>
        </w:rPr>
        <w:t>PUCCH</w:t>
      </w:r>
    </w:p>
    <w:p>
      <w:pPr>
        <w:pStyle w:val="111"/>
      </w:pPr>
      <w:r>
        <w:t>-</w:t>
      </w:r>
      <w:r>
        <w:tab/>
      </w:r>
      <w:r>
        <w:t>Inband emissions with the sub-results: General in-band emission, IQ image (according to: 36.101. Annex F.4, Clause starting with: “At this stage the ….”)</w:t>
      </w:r>
    </w:p>
    <w:p>
      <w:pPr>
        <w:pStyle w:val="4"/>
      </w:pPr>
      <w:bookmarkStart w:id="2198" w:name="_Toc26105"/>
      <w:bookmarkStart w:id="2199" w:name="_Toc8007"/>
      <w:bookmarkStart w:id="2200" w:name="_Toc16321"/>
      <w:bookmarkStart w:id="2201" w:name="_Toc11506"/>
      <w:bookmarkStart w:id="2202" w:name="_Toc32263"/>
      <w:r>
        <w:t>E.5.5</w:t>
      </w:r>
      <w:r>
        <w:tab/>
      </w:r>
      <w:r>
        <w:t>Measurement points</w:t>
      </w:r>
      <w:bookmarkEnd w:id="2198"/>
      <w:bookmarkEnd w:id="2199"/>
      <w:bookmarkEnd w:id="2200"/>
      <w:bookmarkEnd w:id="2201"/>
      <w:bookmarkEnd w:id="2202"/>
    </w:p>
    <w:p>
      <w:r>
        <w:t>The measurement points are illustrated in the figure below:</w:t>
      </w:r>
    </w:p>
    <w:p>
      <w:pPr>
        <w:pStyle w:val="113"/>
      </w:pPr>
      <w:r>
        <w:drawing>
          <wp:inline distT="0" distB="0" distL="114300" distR="114300">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7"/>
                    <a:stretch>
                      <a:fillRect/>
                    </a:stretch>
                  </pic:blipFill>
                  <pic:spPr>
                    <a:xfrm>
                      <a:off x="0" y="0"/>
                      <a:ext cx="6127750" cy="1422400"/>
                    </a:xfrm>
                    <a:prstGeom prst="rect">
                      <a:avLst/>
                    </a:prstGeom>
                    <a:noFill/>
                    <a:ln>
                      <a:noFill/>
                    </a:ln>
                  </pic:spPr>
                </pic:pic>
              </a:graphicData>
            </a:graphic>
          </wp:inline>
        </w:drawing>
      </w:r>
    </w:p>
    <w:p>
      <w:pPr>
        <w:pStyle w:val="120"/>
      </w:pPr>
      <w:r>
        <w:t>Figure E.5.5-1</w:t>
      </w:r>
    </w:p>
    <w:p/>
    <w:p>
      <w:pPr>
        <w:pStyle w:val="4"/>
      </w:pPr>
      <w:bookmarkStart w:id="2203" w:name="_Toc12723"/>
      <w:bookmarkStart w:id="2204" w:name="_Toc3756"/>
      <w:bookmarkStart w:id="2205" w:name="_Toc2669"/>
      <w:bookmarkStart w:id="2206" w:name="_Toc26100"/>
      <w:bookmarkStart w:id="2207" w:name="_Toc30467"/>
      <w:r>
        <w:t>E.5.6</w:t>
      </w:r>
      <w:r>
        <w:tab/>
      </w:r>
      <w:r>
        <w:t>Pre FFT minimization process</w:t>
      </w:r>
      <w:bookmarkEnd w:id="2203"/>
      <w:bookmarkEnd w:id="2204"/>
      <w:bookmarkEnd w:id="2205"/>
      <w:bookmarkEnd w:id="2206"/>
      <w:bookmarkEnd w:id="2207"/>
    </w:p>
    <w:p>
      <w:r>
        <w:t>The pre FFT minimisation process is the same as describes in clause E.3.1.</w:t>
      </w:r>
    </w:p>
    <w:p>
      <w:pPr>
        <w:pStyle w:val="100"/>
      </w:pPr>
      <w:r>
        <w:t>NOTE:</w:t>
      </w:r>
      <w:r>
        <w:tab/>
      </w:r>
      <w:r>
        <w:t>although an exclusion period for EVM</w:t>
      </w:r>
      <w:r>
        <w:rPr>
          <w:vertAlign w:val="subscript"/>
        </w:rPr>
        <w:t>PUCCH</w:t>
      </w:r>
      <w:r>
        <w:t xml:space="preserve"> is applicable in E.5.9.1, the pre FFT minimisation process is done over the complete slot.</w:t>
      </w:r>
    </w:p>
    <w:p>
      <w:r>
        <w:t>RF error, and carrier leakage are necessary for best fit of the measured signal towards the ideal signal in the pre FFT domain. However they are not used to compare them against the limits.</w:t>
      </w:r>
    </w:p>
    <w:p>
      <w:pPr>
        <w:pStyle w:val="4"/>
      </w:pPr>
      <w:bookmarkStart w:id="2208" w:name="_Toc3799"/>
      <w:bookmarkStart w:id="2209" w:name="_Toc23548"/>
      <w:bookmarkStart w:id="2210" w:name="_Toc20104"/>
      <w:bookmarkStart w:id="2211" w:name="_Toc8886"/>
      <w:bookmarkStart w:id="2212" w:name="_Toc11929"/>
      <w:r>
        <w:t>E.5.7</w:t>
      </w:r>
      <w:r>
        <w:tab/>
      </w:r>
      <w:r>
        <w:t>Timing of the FFT window</w:t>
      </w:r>
      <w:bookmarkEnd w:id="2208"/>
      <w:bookmarkEnd w:id="2209"/>
      <w:bookmarkEnd w:id="2210"/>
      <w:bookmarkEnd w:id="2211"/>
      <w:bookmarkEnd w:id="2212"/>
    </w:p>
    <w:p>
      <w:r>
        <w:t>Timing of the FFT window is estimated with the same method as described in E.3.2.</w:t>
      </w:r>
    </w:p>
    <w:p>
      <w:pPr>
        <w:pStyle w:val="4"/>
      </w:pPr>
      <w:bookmarkStart w:id="2213" w:name="_Toc31866"/>
      <w:bookmarkStart w:id="2214" w:name="_Toc22829"/>
      <w:bookmarkStart w:id="2215" w:name="_Toc25370"/>
      <w:bookmarkStart w:id="2216" w:name="_Toc26728"/>
      <w:bookmarkStart w:id="2217" w:name="_Toc32120"/>
      <w:r>
        <w:t>E.5.8</w:t>
      </w:r>
      <w:r>
        <w:tab/>
      </w:r>
      <w:r>
        <w:t>Post FFT equalisation</w:t>
      </w:r>
      <w:bookmarkEnd w:id="2213"/>
      <w:bookmarkEnd w:id="2214"/>
      <w:bookmarkEnd w:id="2215"/>
      <w:bookmarkEnd w:id="2216"/>
      <w:bookmarkEnd w:id="2217"/>
    </w:p>
    <w:p>
      <w:r>
        <w:t>The post FFT equalisation is described separately without reference to E.3.3:</w:t>
      </w:r>
    </w:p>
    <w:p>
      <w:r>
        <w:t xml:space="preserve">Perform 7 FFTs on z’(ν), one for each OFDM symbol in a slot using the timing </w:t>
      </w:r>
      <w:r>
        <w:rPr>
          <w:position w:val="-6"/>
        </w:rPr>
        <w:object>
          <v:shape id="_x0000_i1190"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90" DrawAspect="Content" ObjectID="_1468075890" r:id="rId288">
            <o:LockedField>false</o:LockedField>
          </o:OLEObject>
        </w:object>
      </w:r>
      <w:r>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r>
        <w:t>Only the allocated resource blocks in the frequency domain are used for equalisation.</w:t>
      </w:r>
    </w:p>
    <w:p>
      <w:r>
        <w:t xml:space="preserve">The nominal reference symbols and </w:t>
      </w:r>
      <w:r>
        <w:rPr>
          <w:b w:val="0"/>
        </w:rPr>
        <w:t>nominal</w:t>
      </w:r>
      <w:r>
        <w:t xml:space="preserve"> OFDM data symbols are used to equalize the measured data symbols.</w:t>
      </w:r>
    </w:p>
    <w:p>
      <w:pPr>
        <w:pStyle w:val="100"/>
        <w:rPr>
          <w:sz w:val="16"/>
          <w:szCs w:val="16"/>
        </w:rPr>
      </w:pPr>
      <w:r>
        <w:rPr>
          <w:sz w:val="16"/>
          <w:szCs w:val="16"/>
        </w:rPr>
        <w:t>Note: (The nomenclature inside this note is local and not valid outside)</w:t>
      </w:r>
    </w:p>
    <w:p>
      <w:pPr>
        <w:rPr>
          <w:sz w:val="21"/>
          <w:szCs w:val="21"/>
        </w:rPr>
      </w:pPr>
      <w:r>
        <w:rPr>
          <w:sz w:val="21"/>
          <w:szCs w:val="21"/>
        </w:rPr>
        <w:t>The nominal OFDM data symbols are created by a demodulation process. A demodulation process as follows is recommended:</w:t>
      </w:r>
    </w:p>
    <w:p>
      <w:pPr>
        <w:pStyle w:val="111"/>
      </w:pPr>
      <w:r>
        <w:t>1. Equalize the measured OFDM data symbols using the reference symbols for equalisation. Result: Equalized OFDM data symbols</w:t>
      </w:r>
    </w:p>
    <w:p>
      <w:pPr>
        <w:pStyle w:val="111"/>
      </w:pPr>
      <w:r>
        <w:t>2. Decide for the nearest constellation point, however not independent for each subcarrier in the RB. 12 constellation points are decided dependent, using the applicable CAZAC sequence. Result: Nominal OFDM data symbols</w:t>
      </w:r>
    </w:p>
    <w:p>
      <w:r>
        <w:t xml:space="preserve">At this stage we have an array of </w:t>
      </w:r>
      <w:r>
        <w:rPr>
          <w:u w:val="single"/>
        </w:rPr>
        <w:t>M</w:t>
      </w:r>
      <w:r>
        <w:t>easured data-</w:t>
      </w:r>
      <w:r>
        <w:rPr>
          <w:u w:val="single"/>
        </w:rPr>
        <w:t>S</w:t>
      </w:r>
      <w:r>
        <w:t>ymbols and reference-</w:t>
      </w:r>
      <w:r>
        <w:rPr>
          <w:u w:val="single"/>
        </w:rPr>
        <w:t>S</w:t>
      </w:r>
      <w:r>
        <w:t>ymbols (MS(f,t))</w:t>
      </w:r>
    </w:p>
    <w:p>
      <w:r>
        <w:t xml:space="preserve">versus an array of </w:t>
      </w:r>
      <w:r>
        <w:rPr>
          <w:u w:val="single"/>
        </w:rPr>
        <w:t>N</w:t>
      </w:r>
      <w:r>
        <w:t>ominal data-</w:t>
      </w:r>
      <w:r>
        <w:rPr>
          <w:u w:val="single"/>
        </w:rPr>
        <w:t>S</w:t>
      </w:r>
      <w:r>
        <w:t xml:space="preserve">ymbols and reference </w:t>
      </w:r>
      <w:r>
        <w:rPr>
          <w:u w:val="single"/>
        </w:rPr>
        <w:t>S</w:t>
      </w:r>
      <w:r>
        <w:t>ymbols (NS(f,t))</w:t>
      </w:r>
    </w:p>
    <w:p>
      <w:r>
        <w:t>The arrays comprise in sum 7 data and reference symbols, depending on the PUCCH format, in the time axis and the number of allocated sub-carriers in the frequency axis.</w:t>
      </w:r>
    </w:p>
    <w:p>
      <w:r>
        <w:t>MS(f,t) and NS(f,t) are processed with a least square (LS) estimator, to derive one equalizer coefficient per time slot and per allocated subcarrier. EC(f)</w:t>
      </w:r>
    </w:p>
    <w:p>
      <w:pPr>
        <w:pStyle w:val="95"/>
      </w:pPr>
      <w:r>
        <w:tab/>
      </w:r>
      <w:r>
        <w:object>
          <v:shape id="_x0000_i1191" o:spt="75" type="#_x0000_t75" style="height:66pt;width:155.4pt;" o:ole="t" filled="f" o:preferrelative="t" stroked="f" coordsize="21600,21600">
            <v:path/>
            <v:fill on="f" focussize="0,0"/>
            <v:stroke on="f" joinstyle="miter"/>
            <v:imagedata r:id="rId290" o:title=""/>
            <o:lock v:ext="edit" aspectratio="t"/>
            <w10:wrap type="none"/>
            <w10:anchorlock/>
          </v:shape>
          <o:OLEObject Type="Embed" ProgID="Equation.3" ShapeID="_x0000_i1191" DrawAspect="Content" ObjectID="_1468075891" r:id="rId289">
            <o:LockedField>false</o:LockedField>
          </o:OLEObject>
        </w:object>
      </w:r>
    </w:p>
    <w:p>
      <w:r>
        <w:t>With * denoting complex conjugation.</w:t>
      </w:r>
    </w:p>
    <w:p>
      <w:r>
        <w:t>EC(f) are used to equalize the OFDM data together with the demodulation reference symbols by:</w:t>
      </w:r>
    </w:p>
    <w:p>
      <w:pPr>
        <w:pStyle w:val="95"/>
      </w:pPr>
      <w:r>
        <w:tab/>
      </w:r>
      <w:r>
        <w:t xml:space="preserve">Z’(f,t) = MS(f,t) </w:t>
      </w:r>
      <w:r>
        <w:rPr>
          <w:b/>
          <w:vertAlign w:val="superscript"/>
        </w:rPr>
        <w:t>.</w:t>
      </w:r>
      <w:r>
        <w:t xml:space="preserve"> EC(f)</w:t>
      </w:r>
    </w:p>
    <w:p>
      <w:r>
        <w:t xml:space="preserve">With </w:t>
      </w:r>
      <w:r>
        <w:rPr>
          <w:b/>
          <w:vertAlign w:val="superscript"/>
        </w:rPr>
        <w:t>.</w:t>
      </w:r>
      <w:r>
        <w:t xml:space="preserve"> denoting multiplication.</w:t>
      </w:r>
    </w:p>
    <w:p>
      <w:r>
        <w:t>Z’(f,t) is used to calculate EVM</w:t>
      </w:r>
      <w:r>
        <w:rPr>
          <w:vertAlign w:val="subscript"/>
        </w:rPr>
        <w:t>PUCCH</w:t>
      </w:r>
      <w:r>
        <w:t>, as described in E.5.9 1</w:t>
      </w:r>
    </w:p>
    <w:p>
      <w:pPr>
        <w:pStyle w:val="100"/>
      </w:pPr>
      <w:r>
        <w:t>NOTE:</w:t>
      </w:r>
      <w:r>
        <w:tab/>
      </w:r>
      <w:r>
        <w:t>although an exclusion period for EVM</w:t>
      </w:r>
      <w:r>
        <w:rPr>
          <w:vertAlign w:val="subscript"/>
        </w:rPr>
        <w:t>PUCCH</w:t>
      </w:r>
      <w:r>
        <w:t xml:space="preserve"> is applicable in E.5.9.1, the post FFT minimisation process is done over 7 OFDM symbols.</w:t>
      </w:r>
    </w:p>
    <w:p>
      <w:r>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pPr>
        <w:pStyle w:val="4"/>
        <w:rPr>
          <w:snapToGrid w:val="0"/>
        </w:rPr>
      </w:pPr>
      <w:bookmarkStart w:id="2218" w:name="_Toc13887"/>
      <w:bookmarkStart w:id="2219" w:name="_Toc7131"/>
      <w:bookmarkStart w:id="2220" w:name="_Toc18133"/>
      <w:bookmarkStart w:id="2221" w:name="_Toc15741"/>
      <w:bookmarkStart w:id="2222" w:name="_Toc17993"/>
      <w:r>
        <w:rPr>
          <w:snapToGrid w:val="0"/>
        </w:rPr>
        <w:t>E.5.9</w:t>
      </w:r>
      <w:r>
        <w:rPr>
          <w:snapToGrid w:val="0"/>
        </w:rPr>
        <w:tab/>
      </w:r>
      <w:r>
        <w:rPr>
          <w:snapToGrid w:val="0"/>
        </w:rPr>
        <w:t>Derivation of the results</w:t>
      </w:r>
      <w:bookmarkEnd w:id="2218"/>
      <w:bookmarkEnd w:id="2219"/>
      <w:bookmarkEnd w:id="2220"/>
      <w:bookmarkEnd w:id="2221"/>
      <w:bookmarkEnd w:id="2222"/>
    </w:p>
    <w:p>
      <w:pPr>
        <w:pStyle w:val="5"/>
      </w:pPr>
      <w:bookmarkStart w:id="2223" w:name="_Toc14855"/>
      <w:bookmarkStart w:id="2224" w:name="_Toc4331"/>
      <w:bookmarkStart w:id="2225" w:name="_Toc18737"/>
      <w:bookmarkStart w:id="2226" w:name="_Toc17156"/>
      <w:bookmarkStart w:id="2227" w:name="_Toc19653"/>
      <w:r>
        <w:t>E.5.9.1</w:t>
      </w:r>
      <w:r>
        <w:tab/>
      </w:r>
      <w:r>
        <w:t>EVM</w:t>
      </w:r>
      <w:r>
        <w:rPr>
          <w:szCs w:val="24"/>
          <w:vertAlign w:val="subscript"/>
        </w:rPr>
        <w:t>PUCCH</w:t>
      </w:r>
      <w:bookmarkEnd w:id="2223"/>
      <w:bookmarkEnd w:id="2224"/>
      <w:bookmarkEnd w:id="2225"/>
      <w:bookmarkEnd w:id="2226"/>
      <w:bookmarkEnd w:id="2227"/>
    </w:p>
    <w:p>
      <w:r>
        <w:rPr>
          <w:rFonts w:eastAsia="Osaka"/>
        </w:rPr>
        <w:t>For EVM</w:t>
      </w:r>
      <w:r>
        <w:rPr>
          <w:rFonts w:eastAsia="Osaka"/>
          <w:vertAlign w:val="subscript"/>
        </w:rPr>
        <w:t>PUCCH</w:t>
      </w:r>
      <w:r>
        <w:rPr>
          <w:rFonts w:eastAsia="Osaka"/>
        </w:rPr>
        <w:t xml:space="preserve"> create two sets of </w:t>
      </w:r>
      <w:r>
        <w:t>Z’(f,t).</w:t>
      </w:r>
      <w:r>
        <w:rPr>
          <w:rFonts w:eastAsia="Osaka"/>
        </w:rPr>
        <w:t xml:space="preserve">, according to the timing </w:t>
      </w:r>
      <w:r>
        <w:t xml:space="preserve">” </w:t>
      </w:r>
      <w:r>
        <w:rPr>
          <w:position w:val="-6"/>
        </w:rPr>
        <w:object>
          <v:shape id="_x0000_i1192"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92" DrawAspect="Content" ObjectID="_1468075892" r:id="rId291">
            <o:LockedField>false</o:LockedField>
          </o:OLEObject>
        </w:object>
      </w:r>
      <w:r>
        <w:t xml:space="preserve"> –W/2 and </w:t>
      </w:r>
      <w:r>
        <w:rPr>
          <w:position w:val="-6"/>
        </w:rPr>
        <w:object>
          <v:shape id="_x0000_i1193"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93" DrawAspect="Content" ObjectID="_1468075893" r:id="rId292">
            <o:LockedField>false</o:LockedField>
          </o:OLEObject>
        </w:object>
      </w:r>
      <w:r>
        <w:t xml:space="preserve"> +W/2” using the equalizer coefficients from E.5.8</w:t>
      </w:r>
    </w:p>
    <w:p>
      <w:r>
        <w:t xml:space="preserve">The </w:t>
      </w:r>
      <w:r>
        <w:rPr>
          <w:rFonts w:eastAsia="Osaka"/>
        </w:rPr>
        <w:t>EVM</w:t>
      </w:r>
      <w:r>
        <w:rPr>
          <w:rFonts w:eastAsia="Osaka"/>
          <w:vertAlign w:val="subscript"/>
        </w:rPr>
        <w:t>PUCCH</w:t>
      </w:r>
      <w:r>
        <w:t xml:space="preserve"> is the difference between the ideal waveform and the measured and equalized waveform for the allocated RB(s)</w:t>
      </w:r>
    </w:p>
    <w:p>
      <w:pPr>
        <w:pStyle w:val="95"/>
      </w:pPr>
      <w:r>
        <w:tab/>
      </w:r>
      <w:r>
        <w:rPr>
          <w:position w:val="-38"/>
        </w:rPr>
        <w:object>
          <v:shape id="_x0000_i1194" o:spt="75" type="#_x0000_t75" style="height:55.2pt;width:225pt;" o:ole="t" filled="f" o:preferrelative="t" stroked="f" coordsize="21600,21600">
            <v:path/>
            <v:fill on="f" focussize="0,0"/>
            <v:stroke on="f" joinstyle="miter"/>
            <v:imagedata r:id="rId294" o:title=""/>
            <o:lock v:ext="edit" aspectratio="t"/>
            <w10:wrap type="none"/>
            <w10:anchorlock/>
          </v:shape>
          <o:OLEObject Type="Embed" ProgID="Equation.3" ShapeID="_x0000_i1194" DrawAspect="Content" ObjectID="_1468075894" r:id="rId293">
            <o:LockedField>false</o:LockedField>
          </o:OLEObject>
        </w:object>
      </w:r>
      <w:r>
        <w:t>,</w:t>
      </w:r>
    </w:p>
    <w:p>
      <w:r>
        <w:t>where</w:t>
      </w:r>
    </w:p>
    <w:p>
      <w:r>
        <w:t>the OFDM symbols next to slot boarders (instant of band edge alternation) are excluded:</w:t>
      </w:r>
    </w:p>
    <w:p>
      <w:r>
        <w:rPr>
          <w:sz w:val="24"/>
          <w:szCs w:val="24"/>
        </w:rPr>
        <w:t xml:space="preserve">t </w:t>
      </w:r>
      <w:r>
        <w:t>covers less than the count of demodulated symbols in the slot (|T|= 5)</w:t>
      </w:r>
    </w:p>
    <w:p>
      <w:pPr>
        <w:rPr>
          <w:sz w:val="18"/>
        </w:rPr>
      </w:pPr>
      <w:r>
        <w:rPr>
          <w:rFonts w:eastAsia="Osaka"/>
        </w:rPr>
        <w:t xml:space="preserve">f covers the count of subcarriers </w:t>
      </w:r>
      <w:r>
        <w:t>within the allocated bandwidth. (</w:t>
      </w:r>
      <w:r>
        <w:rPr>
          <w:sz w:val="18"/>
        </w:rPr>
        <w:t>|F|=</w:t>
      </w:r>
      <w:r>
        <w:t>12)</w:t>
      </w:r>
    </w:p>
    <w:p>
      <w:pPr>
        <w:pStyle w:val="95"/>
      </w:pPr>
      <w:r>
        <w:rPr>
          <w:position w:val="-14"/>
        </w:rPr>
        <w:object>
          <v:shape id="_x0000_i1195" o:spt="75" type="#_x0000_t75" style="height:20.4pt;width:44.4pt;" o:ole="t" filled="f" o:preferrelative="t" stroked="f" coordsize="21600,21600">
            <v:path/>
            <v:fill on="f" focussize="0,0"/>
            <v:stroke on="f" joinstyle="miter"/>
            <v:imagedata r:id="rId296" o:title=""/>
            <o:lock v:ext="edit" aspectratio="t"/>
            <w10:wrap type="none"/>
            <w10:anchorlock/>
          </v:shape>
          <o:OLEObject Type="Embed" ProgID="Equation.3" ShapeID="_x0000_i1195" DrawAspect="Content" ObjectID="_1468075895" r:id="rId295">
            <o:LockedField>false</o:LockedField>
          </o:OLEObject>
        </w:object>
      </w:r>
      <w:r>
        <w:t xml:space="preserve"> are the samples of the signal evaluated for the </w:t>
      </w:r>
      <w:r>
        <w:rPr>
          <w:rFonts w:eastAsia="Osaka"/>
        </w:rPr>
        <w:t>EVM</w:t>
      </w:r>
      <w:r>
        <w:rPr>
          <w:rFonts w:eastAsia="Osaka"/>
          <w:vertAlign w:val="subscript"/>
        </w:rPr>
        <w:t>PUCCH</w:t>
      </w:r>
    </w:p>
    <w:p>
      <w:pPr>
        <w:pStyle w:val="95"/>
      </w:pPr>
      <w:r>
        <w:rPr>
          <w:position w:val="-10"/>
        </w:rPr>
        <w:object>
          <v:shape id="_x0000_i1196" o:spt="75" type="#_x0000_t75" style="height:19.2pt;width:34.8pt;" o:ole="t" filled="f" o:preferrelative="t" stroked="f" coordsize="21600,21600">
            <v:path/>
            <v:fill on="f" focussize="0,0"/>
            <v:stroke on="f" joinstyle="miter"/>
            <v:imagedata r:id="rId298" o:title=""/>
            <o:lock v:ext="edit" aspectratio="t"/>
            <w10:wrap type="none"/>
            <w10:anchorlock/>
          </v:shape>
          <o:OLEObject Type="Embed" ProgID="Equation.3" ShapeID="_x0000_i1196" DrawAspect="Content" ObjectID="_1468075896" r:id="rId297">
            <o:LockedField>false</o:LockedField>
          </o:OLEObject>
        </w:object>
      </w:r>
      <w:r>
        <w:t>is the ideal signal reconstructed by the measurement equipment, and</w:t>
      </w:r>
    </w:p>
    <w:p>
      <w:r>
        <w:rPr>
          <w:rFonts w:ascii="Arial" w:hAnsi="Arial" w:cs="Arial"/>
          <w:position w:val="-12"/>
        </w:rPr>
        <w:object>
          <v:shape id="_x0000_i1197"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97" DrawAspect="Content" ObjectID="_1468075897" r:id="rId299">
            <o:LockedField>false</o:LockedField>
          </o:OLEObject>
        </w:object>
      </w:r>
      <w:r>
        <w:t xml:space="preserve"> is the average power of the ideal signal. For normalized modulation symbols </w:t>
      </w:r>
      <w:r>
        <w:rPr>
          <w:position w:val="-12"/>
        </w:rPr>
        <w:object>
          <v:shape id="_x0000_i1198"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98" DrawAspect="Content" ObjectID="_1468075898" r:id="rId300">
            <o:LockedField>false</o:LockedField>
          </o:OLEObject>
        </w:object>
      </w:r>
      <w:r>
        <w:t xml:space="preserve"> is equal to 1.</w:t>
      </w:r>
    </w:p>
    <w:p>
      <w:pPr>
        <w:jc w:val="both"/>
        <w:rPr>
          <w:rFonts w:eastAsia="MS Mincho"/>
        </w:rPr>
      </w:pPr>
      <w:r>
        <w:rPr>
          <w:rFonts w:eastAsia="MS Mincho"/>
        </w:rPr>
        <w:t xml:space="preserve">From the acquired samples 40 </w:t>
      </w:r>
      <w:r>
        <w:rPr>
          <w:rFonts w:eastAsia="Osaka"/>
        </w:rPr>
        <w:t>EVM</w:t>
      </w:r>
      <w:r>
        <w:rPr>
          <w:rFonts w:eastAsia="Osaka"/>
          <w:vertAlign w:val="subscript"/>
        </w:rPr>
        <w:t>PUCCH</w:t>
      </w:r>
      <w:r>
        <w:rPr>
          <w:rFonts w:eastAsia="MS Mincho"/>
        </w:rPr>
        <w:t xml:space="preserve"> value can be derived, 20 values for the timing </w:t>
      </w:r>
      <w:r>
        <w:rPr>
          <w:position w:val="-6"/>
        </w:rPr>
        <w:object>
          <v:shape id="_x0000_i1199"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99" DrawAspect="Content" ObjectID="_1468075899" r:id="rId301">
            <o:LockedField>false</o:LockedField>
          </o:OLEObject>
        </w:object>
      </w:r>
      <w:r>
        <w:t xml:space="preserve"> –W/2 and 20 values for the timing </w:t>
      </w:r>
      <w:r>
        <w:rPr>
          <w:position w:val="-6"/>
        </w:rPr>
        <w:object>
          <v:shape id="_x0000_i1200"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200" DrawAspect="Content" ObjectID="_1468075900" r:id="rId302">
            <o:LockedField>false</o:LockedField>
          </o:OLEObject>
        </w:object>
      </w:r>
      <w:r>
        <w:t xml:space="preserve"> +W/2</w:t>
      </w:r>
    </w:p>
    <w:p>
      <w:pPr>
        <w:pStyle w:val="5"/>
      </w:pPr>
      <w:bookmarkStart w:id="2228" w:name="_Toc6294"/>
      <w:bookmarkStart w:id="2229" w:name="_Toc2828"/>
      <w:bookmarkStart w:id="2230" w:name="_Toc20341"/>
      <w:bookmarkStart w:id="2231" w:name="_Toc5909"/>
      <w:bookmarkStart w:id="2232" w:name="_Toc23551"/>
      <w:r>
        <w:t>E.5.9.2</w:t>
      </w:r>
      <w:r>
        <w:tab/>
      </w:r>
      <w:r>
        <w:t>Averaged EVM</w:t>
      </w:r>
      <w:r>
        <w:rPr>
          <w:vertAlign w:val="subscript"/>
        </w:rPr>
        <w:t>PUCCH</w:t>
      </w:r>
      <w:bookmarkEnd w:id="2228"/>
      <w:bookmarkEnd w:id="2229"/>
      <w:bookmarkEnd w:id="2230"/>
      <w:bookmarkEnd w:id="2231"/>
      <w:bookmarkEnd w:id="2232"/>
    </w:p>
    <w:p>
      <w:pPr>
        <w:rPr>
          <w:color w:val="000000"/>
          <w:lang w:eastAsia="zh-CN"/>
        </w:rPr>
      </w:pPr>
      <w:r>
        <w:t>EVM</w:t>
      </w:r>
      <w:r>
        <w:rPr>
          <w:vertAlign w:val="subscript"/>
        </w:rPr>
        <w:t>PUCCH</w:t>
      </w:r>
      <w:r>
        <w:t xml:space="preserve"> is averaged over all </w:t>
      </w:r>
      <w:r>
        <w:rPr>
          <w:lang w:eastAsia="zh-CN"/>
        </w:rPr>
        <w:t xml:space="preserve">basic </w:t>
      </w:r>
      <w:r>
        <w:rPr>
          <w:rFonts w:eastAsia="Osaka"/>
        </w:rPr>
        <w:t>EVM</w:t>
      </w:r>
      <w:r>
        <w:rPr>
          <w:rFonts w:eastAsia="Osaka"/>
          <w:vertAlign w:val="subscript"/>
        </w:rPr>
        <w:t>PUCCH</w:t>
      </w:r>
      <w:r>
        <w:rPr>
          <w:lang w:eastAsia="zh-CN"/>
        </w:rPr>
        <w:t xml:space="preserve"> measurements</w:t>
      </w:r>
    </w:p>
    <w:p>
      <w:pPr>
        <w:rPr>
          <w:lang w:eastAsia="zh-CN"/>
        </w:rPr>
      </w:pPr>
      <w:r>
        <w:rPr>
          <w:lang w:eastAsia="zh-CN"/>
        </w:rPr>
        <w:t>For subslot TTI, The averaging comprises 60 UL subslots (for frame structure 2: excluding special fields(UpPTS)) for PUCCH, PUSCH, PDSCH.</w:t>
      </w:r>
    </w:p>
    <w:p>
      <w:pPr>
        <w:rPr>
          <w:color w:val="000000"/>
          <w:lang w:eastAsia="zh-CN"/>
        </w:rPr>
      </w:pPr>
      <w:r>
        <w:rPr>
          <w:lang w:eastAsia="zh-CN"/>
        </w:rPr>
        <w:t xml:space="preserve">For subframe/slot TTI, </w:t>
      </w:r>
      <w:r>
        <w:rPr>
          <w:color w:val="000000"/>
          <w:lang w:eastAsia="zh-CN"/>
        </w:rPr>
        <w:t>the averaging comprises 20 UL slots (for frame structure 2: excluding special fields(UpPTS))</w:t>
      </w:r>
    </w:p>
    <w:p>
      <w:pPr>
        <w:pStyle w:val="95"/>
        <w:rPr>
          <w:rFonts w:ascii="宋体" w:cs="宋体"/>
          <w:color w:val="000000"/>
          <w:lang w:eastAsia="zh-CN"/>
        </w:rPr>
      </w:pPr>
      <w:r>
        <w:tab/>
      </w:r>
      <w:r>
        <w:rPr>
          <w:position w:val="-30"/>
        </w:rPr>
        <w:object>
          <v:shape id="_x0000_i1201" o:spt="75" type="#_x0000_t75" style="height:36.6pt;width:174pt;" o:ole="t" filled="f" o:preferrelative="t" stroked="f" coordsize="21600,21600">
            <v:path/>
            <v:fill on="f" focussize="0,0"/>
            <v:stroke on="f" joinstyle="miter"/>
            <v:imagedata r:id="rId304" o:title=""/>
            <o:lock v:ext="edit" aspectratio="t"/>
            <w10:wrap type="none"/>
            <w10:anchorlock/>
          </v:shape>
          <o:OLEObject Type="Embed" ProgID="Equation.3" ShapeID="_x0000_i1201" DrawAspect="Content" ObjectID="_1468075901" r:id="rId303">
            <o:LockedField>false</o:LockedField>
          </o:OLEObject>
        </w:object>
      </w:r>
    </w:p>
    <w:p>
      <w:pPr>
        <w:pStyle w:val="95"/>
        <w:rPr>
          <w:color w:val="000000"/>
          <w:lang w:eastAsia="zh-CN"/>
        </w:rPr>
      </w:pPr>
      <w:r>
        <w:rPr>
          <w:color w:val="000000"/>
          <w:lang w:eastAsia="zh-CN"/>
        </w:rPr>
        <w:t>The averaging is done separately for timing¦</w:t>
      </w:r>
      <w:r>
        <w:t xml:space="preserve"> </w:t>
      </w:r>
      <w:r>
        <w:rPr>
          <w:position w:val="-6"/>
        </w:rPr>
        <w:object>
          <v:shape id="_x0000_i1202"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202" DrawAspect="Content" ObjectID="_1468075902" r:id="rId305">
            <o:LockedField>false</o:LockedField>
          </o:OLEObject>
        </w:object>
      </w:r>
      <w:r>
        <w:t xml:space="preserve"> –W/2 and </w:t>
      </w:r>
      <w:r>
        <w:rPr>
          <w:position w:val="-6"/>
        </w:rPr>
        <w:object>
          <v:shape id="_x0000_i1203"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203" DrawAspect="Content" ObjectID="_1468075903" r:id="rId306">
            <o:LockedField>false</o:LockedField>
          </o:OLEObject>
        </w:object>
      </w:r>
      <w:r>
        <w:t xml:space="preserve"> +W/2</w:t>
      </w:r>
      <w:r>
        <w:rPr>
          <w:color w:val="000000"/>
          <w:lang w:eastAsia="zh-CN"/>
        </w:rPr>
        <w:t xml:space="preserve"> leading to</w:t>
      </w:r>
      <w:r>
        <w:rPr>
          <w:position w:val="-8"/>
        </w:rPr>
        <w:object>
          <v:shape id="_x0000_i1204" o:spt="75" type="#_x0000_t75" style="height:17.4pt;width:73.8pt;" o:ole="t" filled="f" o:preferrelative="t" stroked="f" coordsize="21600,21600">
            <v:path/>
            <v:fill on="f" focussize="0,0"/>
            <v:stroke on="f" joinstyle="miter"/>
            <v:imagedata r:id="rId308" o:title=""/>
            <o:lock v:ext="edit" aspectratio="t"/>
            <w10:wrap type="none"/>
            <w10:anchorlock/>
          </v:shape>
          <o:OLEObject Type="Embed" ProgID="Equation.3" ShapeID="_x0000_i1204" DrawAspect="Content" ObjectID="_1468075904" r:id="rId307">
            <o:LockedField>false</o:LockedField>
          </o:OLEObject>
        </w:object>
      </w:r>
      <w:r>
        <w:rPr>
          <w:color w:val="000000"/>
          <w:lang w:eastAsia="zh-CN"/>
        </w:rPr>
        <w:t xml:space="preserve"> and </w:t>
      </w:r>
      <w:r>
        <w:rPr>
          <w:position w:val="-10"/>
        </w:rPr>
        <w:object>
          <v:shape id="_x0000_i1205" o:spt="75" type="#_x0000_t75" style="height:19.2pt;width:75.6pt;" o:ole="t" filled="f" o:preferrelative="t" stroked="f" coordsize="21600,21600">
            <v:path/>
            <v:fill on="f" focussize="0,0"/>
            <v:stroke on="f" joinstyle="miter"/>
            <v:imagedata r:id="rId310" o:title=""/>
            <o:lock v:ext="edit" aspectratio="t"/>
            <w10:wrap type="none"/>
            <w10:anchorlock/>
          </v:shape>
          <o:OLEObject Type="Embed" ProgID="Equation.3" ShapeID="_x0000_i1205" DrawAspect="Content" ObjectID="_1468075905" r:id="rId309">
            <o:LockedField>false</o:LockedField>
          </o:OLEObject>
        </w:object>
      </w:r>
    </w:p>
    <w:p>
      <w:pPr>
        <w:pStyle w:val="95"/>
        <w:rPr>
          <w:rFonts w:eastAsia="MS Mincho"/>
        </w:rPr>
      </w:pPr>
      <w:r>
        <w:rPr>
          <w:position w:val="-14"/>
        </w:rPr>
        <w:object>
          <v:shape id="_x0000_i1206" o:spt="75" type="#_x0000_t75" style="height:19.8pt;width:265.2pt;" o:ole="t" filled="f" o:preferrelative="t" stroked="f" coordsize="21600,21600">
            <v:path/>
            <v:fill on="f" focussize="0,0"/>
            <v:stroke on="f" joinstyle="miter"/>
            <v:imagedata r:id="rId312" o:title=""/>
            <o:lock v:ext="edit" aspectratio="t"/>
            <w10:wrap type="none"/>
            <w10:anchorlock/>
          </v:shape>
          <o:OLEObject Type="Embed" ProgID="Equation.3" ShapeID="_x0000_i1206" DrawAspect="Content" ObjectID="_1468075906" r:id="rId311">
            <o:LockedField>false</o:LockedField>
          </o:OLEObject>
        </w:object>
      </w:r>
      <w:r>
        <w:rPr>
          <w:color w:val="000000"/>
          <w:lang w:eastAsia="zh-CN"/>
        </w:rPr>
        <w:t>is compared against the test requirements.</w:t>
      </w:r>
    </w:p>
    <w:p>
      <w:pPr>
        <w:pStyle w:val="5"/>
      </w:pPr>
      <w:bookmarkStart w:id="2233" w:name="_Toc16285"/>
      <w:bookmarkStart w:id="2234" w:name="_Toc29716"/>
      <w:bookmarkStart w:id="2235" w:name="_Toc3253"/>
      <w:bookmarkStart w:id="2236" w:name="_Toc17977"/>
      <w:bookmarkStart w:id="2237" w:name="_Toc26856"/>
      <w:r>
        <w:t>E.5.9.3</w:t>
      </w:r>
      <w:r>
        <w:tab/>
      </w:r>
      <w:r>
        <w:t>In-band emissions measurement</w:t>
      </w:r>
      <w:bookmarkEnd w:id="2233"/>
      <w:bookmarkEnd w:id="2234"/>
      <w:bookmarkEnd w:id="2235"/>
      <w:bookmarkEnd w:id="2236"/>
      <w:bookmarkEnd w:id="2237"/>
    </w:p>
    <w:p>
      <w:r>
        <w:t>The in-band emissions are a measure of the interference falling into the non-allocated resources blocks</w:t>
      </w:r>
    </w:p>
    <w:p>
      <w:r>
        <w:t>Create one set of Y(t,f) per slot according to the timing “</w:t>
      </w:r>
      <w:r>
        <w:rPr>
          <w:position w:val="-6"/>
        </w:rPr>
        <w:object>
          <v:shape id="_x0000_i1207"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207" DrawAspect="Content" ObjectID="_1468075907" r:id="rId313">
            <o:LockedField>false</o:LockedField>
          </o:OLEObject>
        </w:object>
      </w:r>
      <w:r>
        <w:t>”</w:t>
      </w:r>
    </w:p>
    <w:p>
      <w:r>
        <w:t>For the non-allocated RBs the in-band emissions are calculated as follows</w:t>
      </w:r>
    </w:p>
    <w:p>
      <w:pPr>
        <w:pStyle w:val="95"/>
      </w:pPr>
      <w:r>
        <w:tab/>
      </w:r>
      <w:r>
        <w:rPr>
          <w:position w:val="-66"/>
        </w:rPr>
        <w:object>
          <v:shape id="_x0000_i1208" o:spt="75" type="#_x0000_t75" style="height:72pt;width:324.6pt;" o:ole="t" filled="f" o:preferrelative="t" stroked="f" coordsize="21600,21600">
            <v:path/>
            <v:fill on="f" focussize="0,0"/>
            <v:stroke on="f" joinstyle="miter"/>
            <v:imagedata r:id="rId315" o:title=""/>
            <o:lock v:ext="edit" aspectratio="t"/>
            <w10:wrap type="none"/>
            <w10:anchorlock/>
          </v:shape>
          <o:OLEObject Type="Embed" ProgID="Equation.3" ShapeID="_x0000_i1208" DrawAspect="Content" ObjectID="_1468075908" r:id="rId314">
            <o:LockedField>false</o:LockedField>
          </o:OLEObject>
        </w:object>
      </w:r>
      <w:r>
        <w:t>,</w:t>
      </w:r>
    </w:p>
    <w:p>
      <w:r>
        <w:t>where</w:t>
      </w:r>
    </w:p>
    <w:p>
      <w:r>
        <w:t>the upper formula represents the inband emissions below the allocated frequency block and the lower one the inband emissions above the allocated frequency block.</w:t>
      </w:r>
    </w:p>
    <w:p>
      <w:r>
        <w:rPr>
          <w:position w:val="-12"/>
        </w:rPr>
        <w:object>
          <v:shape id="_x0000_i1209" o:spt="75" type="#_x0000_t75" style="height:19.2pt;width:13.2pt;" o:ole="t" filled="f" o:preferrelative="t" stroked="f" coordsize="21600,21600">
            <v:path/>
            <v:fill on="f" focussize="0,0"/>
            <v:stroke on="f" joinstyle="miter"/>
            <v:imagedata r:id="rId225" o:title=""/>
            <o:lock v:ext="edit" aspectratio="t"/>
            <w10:wrap type="none"/>
            <w10:anchorlock/>
          </v:shape>
          <o:OLEObject Type="Embed" ProgID="Equation.3" ShapeID="_x0000_i1209" DrawAspect="Content" ObjectID="_1468075909" r:id="rId316">
            <o:LockedField>false</o:LockedField>
          </o:OLEObject>
        </w:object>
      </w:r>
      <w:r>
        <w:rPr>
          <w:i/>
        </w:rPr>
        <w:t xml:space="preserve"> </w:t>
      </w:r>
      <w:r>
        <w:t xml:space="preserve">is a set of </w:t>
      </w:r>
      <w:r>
        <w:rPr>
          <w:position w:val="-14"/>
          <w:sz w:val="24"/>
          <w:szCs w:val="24"/>
        </w:rPr>
        <w:object>
          <v:shape id="_x0000_i1210" o:spt="75" type="#_x0000_t75" style="height:20.4pt;width:17.4pt;" o:ole="t" filled="f" o:preferrelative="t" stroked="f" coordsize="21600,21600">
            <v:path/>
            <v:fill on="f" focussize="0,0"/>
            <v:stroke on="f" joinstyle="miter"/>
            <v:imagedata r:id="rId227" o:title=""/>
            <o:lock v:ext="edit" aspectratio="t"/>
            <w10:wrap type="none"/>
            <w10:anchorlock/>
          </v:shape>
          <o:OLEObject Type="Embed" ProgID="Equation.3" ShapeID="_x0000_i1210" DrawAspect="Content" ObjectID="_1468075910" r:id="rId317">
            <o:LockedField>false</o:LockedField>
          </o:OLEObject>
        </w:object>
      </w:r>
      <w:r>
        <w:t>OFDM symbols in the measurement period,</w:t>
      </w:r>
    </w:p>
    <w:p>
      <w:r>
        <w:rPr>
          <w:position w:val="-10"/>
        </w:rPr>
        <w:object>
          <v:shape id="_x0000_i1211" o:spt="75" type="#_x0000_t75" style="height:15pt;width:20.4pt;" o:ole="t" filled="f" o:preferrelative="t" stroked="f" coordsize="21600,21600">
            <v:path/>
            <v:fill on="f" focussize="0,0"/>
            <v:stroke on="f" joinstyle="miter"/>
            <v:imagedata r:id="rId52" o:title=""/>
            <o:lock v:ext="edit" aspectratio="t"/>
            <w10:wrap type="none"/>
            <w10:anchorlock/>
          </v:shape>
          <o:OLEObject Type="Embed" ProgID="Equation.3" ShapeID="_x0000_i1211" DrawAspect="Content" ObjectID="_1468075911" r:id="rId318">
            <o:LockedField>false</o:LockedField>
          </o:OLEObject>
        </w:object>
      </w:r>
      <w:r>
        <w:t xml:space="preserve"> is the starting frequency offset between the allocated RB and the measured non-allocated RB (e.g. </w:t>
      </w:r>
      <w:r>
        <w:rPr>
          <w:position w:val="-10"/>
        </w:rPr>
        <w:object>
          <v:shape id="_x0000_i1212" o:spt="75" type="#_x0000_t75" style="height:17.4pt;width:39pt;" o:ole="t" filled="f" o:preferrelative="t" stroked="f" coordsize="21600,21600">
            <v:path/>
            <v:fill on="f" focussize="0,0"/>
            <v:stroke on="f" joinstyle="miter"/>
            <v:imagedata r:id="rId54" o:title=""/>
            <o:lock v:ext="edit" aspectratio="t"/>
            <w10:wrap type="none"/>
            <w10:anchorlock/>
          </v:shape>
          <o:OLEObject Type="Embed" ProgID="Equation.3" ShapeID="_x0000_i1212" DrawAspect="Content" ObjectID="_1468075912" r:id="rId319">
            <o:LockedField>false</o:LockedField>
          </o:OLEObject>
        </w:object>
      </w:r>
      <w:r>
        <w:t xml:space="preserve"> for the first upper or </w:t>
      </w:r>
      <w:r>
        <w:rPr>
          <w:position w:val="-10"/>
        </w:rPr>
        <w:object>
          <v:shape id="_x0000_i1213" o:spt="75" type="#_x0000_t75" style="height:17.4pt;width:46.2pt;" o:ole="t" filled="f" o:preferrelative="t" stroked="f" coordsize="21600,21600">
            <v:path/>
            <v:fill on="f" focussize="0,0"/>
            <v:stroke on="f" joinstyle="miter"/>
            <v:imagedata r:id="rId56" o:title=""/>
            <o:lock v:ext="edit" aspectratio="t"/>
            <w10:wrap type="none"/>
            <w10:anchorlock/>
          </v:shape>
          <o:OLEObject Type="Embed" ProgID="Equation.3" ShapeID="_x0000_i1213" DrawAspect="Content" ObjectID="_1468075913" r:id="rId320">
            <o:LockedField>false</o:LockedField>
          </o:OLEObject>
        </w:object>
      </w:r>
      <w:r>
        <w:t xml:space="preserve"> for the first lower adjacent RB),</w:t>
      </w:r>
    </w:p>
    <w:p>
      <w:pPr>
        <w:rPr>
          <w:lang w:eastAsia="zh-CN"/>
        </w:rPr>
      </w:pPr>
      <w:r>
        <w:rPr>
          <w:position w:val="-10"/>
        </w:rPr>
        <w:object>
          <v:shape id="_x0000_i1214" o:spt="75" type="#_x0000_t75" style="height:15pt;width:20.4pt;" o:ole="t" filled="f" o:preferrelative="t" stroked="f" coordsize="21600,21600">
            <v:path/>
            <v:fill on="f" focussize="0,0"/>
            <v:stroke on="f" joinstyle="miter"/>
            <v:imagedata r:id="rId232" o:title=""/>
            <o:lock v:ext="edit" aspectratio="t"/>
            <w10:wrap type="none"/>
            <w10:anchorlock/>
          </v:shape>
          <o:OLEObject Type="Embed" ProgID="Equation.3" ShapeID="_x0000_i1214" DrawAspect="Content" ObjectID="_1468075914" r:id="rId321">
            <o:LockedField>false</o:LockedField>
          </o:OLEObject>
        </w:object>
      </w:r>
      <w:r>
        <w:rPr>
          <w:lang w:eastAsia="zh-CN"/>
        </w:rPr>
        <w:t xml:space="preserve">and </w:t>
      </w:r>
      <w:r>
        <w:rPr>
          <w:position w:val="-12"/>
        </w:rPr>
        <w:object>
          <v:shape id="_x0000_i1215" o:spt="75" type="#_x0000_t75" style="height:19.2pt;width:22.2pt;" o:ole="t" filled="f" o:preferrelative="t" stroked="f" coordsize="21600,21600">
            <v:path/>
            <v:fill on="f" focussize="0,0"/>
            <v:stroke on="f" joinstyle="miter"/>
            <v:imagedata r:id="rId234" o:title=""/>
            <o:lock v:ext="edit" aspectratio="t"/>
            <w10:wrap type="none"/>
            <w10:anchorlock/>
          </v:shape>
          <o:OLEObject Type="Embed" ProgID="Equation.3" ShapeID="_x0000_i1215" DrawAspect="Content" ObjectID="_1468075915" r:id="rId322">
            <o:LockedField>false</o:LockedField>
          </o:OLEObject>
        </w:object>
      </w:r>
      <w:r>
        <w:rPr>
          <w:lang w:eastAsia="zh-CN"/>
        </w:rPr>
        <w:t>are the lower and upper edge of the UL system BW,</w:t>
      </w:r>
    </w:p>
    <w:p>
      <w:pPr>
        <w:rPr>
          <w:lang w:eastAsia="zh-CN"/>
        </w:rPr>
      </w:pPr>
      <w:r>
        <w:rPr>
          <w:position w:val="-12"/>
        </w:rPr>
        <w:object>
          <v:shape id="_x0000_i1216" o:spt="75" type="#_x0000_t75" style="height:19.2pt;width:11.4pt;" o:ole="t" filled="f" o:preferrelative="t" stroked="f" coordsize="21600,21600">
            <v:path/>
            <v:fill on="f" focussize="0,0"/>
            <v:stroke on="f" joinstyle="miter"/>
            <v:imagedata r:id="rId236" o:title=""/>
            <o:lock v:ext="edit" aspectratio="t"/>
            <w10:wrap type="none"/>
            <w10:anchorlock/>
          </v:shape>
          <o:OLEObject Type="Embed" ProgID="Equation.3" ShapeID="_x0000_i1216" DrawAspect="Content" ObjectID="_1468075916" r:id="rId323">
            <o:LockedField>false</o:LockedField>
          </o:OLEObject>
        </w:object>
      </w:r>
      <w:r>
        <w:rPr>
          <w:lang w:eastAsia="zh-CN"/>
        </w:rPr>
        <w:t xml:space="preserve"> and </w:t>
      </w:r>
      <w:r>
        <w:rPr>
          <w:position w:val="-12"/>
        </w:rPr>
        <w:object>
          <v:shape id="_x0000_i1217" o:spt="75" type="#_x0000_t75" style="height:19.2pt;width:15pt;" o:ole="t" filled="f" o:preferrelative="t" stroked="f" coordsize="21600,21600">
            <v:path/>
            <v:fill on="f" focussize="0,0"/>
            <v:stroke on="f" joinstyle="miter"/>
            <v:imagedata r:id="rId238" o:title=""/>
            <o:lock v:ext="edit" aspectratio="t"/>
            <w10:wrap type="none"/>
            <w10:anchorlock/>
          </v:shape>
          <o:OLEObject Type="Embed" ProgID="Equation.3" ShapeID="_x0000_i1217" DrawAspect="Content" ObjectID="_1468075917" r:id="rId324">
            <o:LockedField>false</o:LockedField>
          </o:OLEObject>
        </w:object>
      </w:r>
      <w:r>
        <w:rPr>
          <w:lang w:eastAsia="zh-CN"/>
        </w:rPr>
        <w:t xml:space="preserve"> are </w:t>
      </w:r>
      <w:r>
        <w:t xml:space="preserve">the lower </w:t>
      </w:r>
      <w:r>
        <w:rPr>
          <w:lang w:eastAsia="zh-CN"/>
        </w:rPr>
        <w:t xml:space="preserve">and upper </w:t>
      </w:r>
      <w:r>
        <w:t>edge of the allocated BW,</w:t>
      </w:r>
    </w:p>
    <w:p>
      <w:r>
        <w:rPr>
          <w:position w:val="-14"/>
        </w:rPr>
        <w:object>
          <v:shape id="_x0000_i1218" o:spt="75" type="#_x0000_t75" style="height:19.2pt;width:19.2pt;" o:ole="t" filled="f" o:preferrelative="t" stroked="f" coordsize="21600,21600">
            <v:path/>
            <v:fill on="f" focussize="0,0"/>
            <v:stroke on="f" joinstyle="miter"/>
            <v:imagedata r:id="rId240" o:title=""/>
            <o:lock v:ext="edit" aspectratio="t"/>
            <w10:wrap type="none"/>
            <w10:anchorlock/>
          </v:shape>
          <o:OLEObject Type="Embed" ProgID="Equation.3" ShapeID="_x0000_i1218" DrawAspect="Content" ObjectID="_1468075918" r:id="rId325">
            <o:LockedField>false</o:LockedField>
          </o:OLEObject>
        </w:object>
      </w:r>
      <w:r>
        <w:rPr>
          <w:lang w:eastAsia="zh-CN"/>
        </w:rPr>
        <w:t>is 15kHz,and</w:t>
      </w:r>
    </w:p>
    <w:p>
      <w:r>
        <w:rPr>
          <w:position w:val="-10"/>
        </w:rPr>
        <w:object>
          <v:shape id="_x0000_i1219" o:spt="75" type="#_x0000_t75" style="height:16.8pt;width:31.8pt;" o:ole="t" filled="f" o:preferrelative="t" stroked="f" coordsize="21600,21600">
            <v:path/>
            <v:fill on="f" focussize="0,0"/>
            <v:stroke on="f" joinstyle="miter"/>
            <v:imagedata r:id="rId242" o:title=""/>
            <o:lock v:ext="edit" aspectratio="t"/>
            <w10:wrap type="none"/>
            <w10:anchorlock/>
          </v:shape>
          <o:OLEObject Type="Embed" ProgID="Equation.3" ShapeID="_x0000_i1219" DrawAspect="Content" ObjectID="_1468075919" r:id="rId326">
            <o:LockedField>false</o:LockedField>
          </o:OLEObject>
        </w:object>
      </w:r>
      <w:r>
        <w:t xml:space="preserve"> is the frequency domain signal evaluated for in-band emissions as defined in the subsection E.5.8</w:t>
      </w:r>
    </w:p>
    <w:p>
      <w:r>
        <w:t>The relative in-band emissions are, given by</w:t>
      </w:r>
    </w:p>
    <w:p>
      <w:pPr>
        <w:pStyle w:val="95"/>
      </w:pPr>
      <w:r>
        <w:tab/>
      </w:r>
      <w:r>
        <w:rPr>
          <w:position w:val="-66"/>
        </w:rPr>
        <w:object>
          <v:shape id="_x0000_i1220" o:spt="75" type="#_x0000_t75" style="height:53.4pt;width:361.8pt;" o:ole="t" filled="f" o:preferrelative="t" stroked="f" coordsize="21600,21600">
            <v:path/>
            <v:fill on="f" focussize="0,0"/>
            <v:stroke on="f" joinstyle="miter"/>
            <v:imagedata r:id="rId328" o:title=""/>
            <o:lock v:ext="edit" aspectratio="t"/>
            <w10:wrap type="none"/>
            <w10:anchorlock/>
          </v:shape>
          <o:OLEObject Type="Embed" ProgID="Equation.3" ShapeID="_x0000_i1220" DrawAspect="Content" ObjectID="_1468075920" r:id="rId327">
            <o:LockedField>false</o:LockedField>
          </o:OLEObject>
        </w:object>
      </w:r>
    </w:p>
    <w:p>
      <w:r>
        <w:t>where</w:t>
      </w:r>
    </w:p>
    <w:p>
      <w:r>
        <w:rPr>
          <w:position w:val="-10"/>
        </w:rPr>
        <w:object>
          <v:shape id="_x0000_i1221"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221" DrawAspect="Content" ObjectID="_1468075921" r:id="rId329">
            <o:LockedField>false</o:LockedField>
          </o:OLEObject>
        </w:object>
      </w:r>
      <w:r>
        <w:t>is the number of allocated RBs, which is always 1 in case of PUCCH</w:t>
      </w:r>
    </w:p>
    <w:p>
      <w:pPr>
        <w:rPr>
          <w:rFonts w:ascii="Arial" w:hAnsi="Arial" w:cs="Arial"/>
          <w:lang w:eastAsia="zh-CN"/>
        </w:rPr>
      </w:pPr>
      <w:r>
        <w:t xml:space="preserve"> </w:t>
      </w:r>
      <w:r>
        <w:rPr>
          <w:rFonts w:ascii="Arial" w:hAnsi="Arial" w:cs="Arial"/>
          <w:lang w:eastAsia="zh-CN"/>
        </w:rPr>
        <w:t xml:space="preserve">and </w:t>
      </w:r>
      <w:r>
        <w:rPr>
          <w:position w:val="-10"/>
        </w:rPr>
        <w:object>
          <v:shape id="_x0000_i1222" o:spt="75" type="#_x0000_t75" style="height:16.8pt;width:41.4pt;" o:ole="t" filled="f" o:preferrelative="t" stroked="f" coordsize="21600,21600">
            <v:path/>
            <v:fill on="f" focussize="0,0"/>
            <v:stroke on="f" joinstyle="miter"/>
            <v:imagedata r:id="rId251" o:title=""/>
            <o:lock v:ext="edit" aspectratio="t"/>
            <w10:wrap type="none"/>
            <w10:anchorlock/>
          </v:shape>
          <o:OLEObject Type="Embed" ProgID="Equation.3" ShapeID="_x0000_i1222" DrawAspect="Content" ObjectID="_1468075922" r:id="rId330">
            <o:LockedField>false</o:LockedField>
          </o:OLEObject>
        </w:object>
      </w:r>
      <w:r>
        <w:rPr>
          <w:lang w:eastAsia="zh-CN"/>
        </w:rPr>
        <w:t xml:space="preserve"> is the frequency domain samples for the allocated bandwidth, as defined in the subsection E.5.8</w:t>
      </w:r>
    </w:p>
    <w:p>
      <w:r>
        <w:t>Although an exclusion period for EVM is applicable in E.5.9.1, the inband emissions</w:t>
      </w:r>
      <w:r>
        <w:rPr>
          <w:rFonts w:eastAsia="MS Mincho"/>
        </w:rPr>
        <w:t xml:space="preserve"> measurement interval is </w:t>
      </w:r>
      <w:r>
        <w:t>defined over one complete slot in the time domain.</w:t>
      </w:r>
    </w:p>
    <w:p>
      <w:pPr>
        <w:rPr>
          <w:rFonts w:eastAsia="MS Mincho"/>
        </w:rPr>
      </w:pPr>
      <w:r>
        <w:rPr>
          <w:rFonts w:eastAsia="MS Mincho"/>
        </w:rPr>
        <w:t>From the acquired samples 20 functions for inband emissions can be derived.</w:t>
      </w:r>
    </w:p>
    <w:p>
      <w:pPr>
        <w:rPr>
          <w:rFonts w:eastAsia="MS Mincho"/>
        </w:rPr>
      </w:pPr>
      <w:r>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pPr>
        <w:pStyle w:val="3"/>
      </w:pPr>
      <w:bookmarkStart w:id="2238" w:name="_Toc29729"/>
      <w:bookmarkStart w:id="2239" w:name="_Toc6612"/>
      <w:bookmarkStart w:id="2240" w:name="_Toc18595"/>
      <w:bookmarkStart w:id="2241" w:name="_Toc14704"/>
      <w:bookmarkStart w:id="2242" w:name="_Toc13134"/>
      <w:r>
        <w:t>E.6</w:t>
      </w:r>
      <w:r>
        <w:tab/>
      </w:r>
      <w:r>
        <w:t>EVM for PRACH</w:t>
      </w:r>
      <w:bookmarkEnd w:id="2238"/>
      <w:bookmarkEnd w:id="2239"/>
      <w:bookmarkEnd w:id="2240"/>
      <w:bookmarkEnd w:id="2241"/>
      <w:bookmarkEnd w:id="2242"/>
    </w:p>
    <w:p>
      <w:r>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Pr>
          <w:rFonts w:eastAsia="Osaka"/>
        </w:rPr>
        <w:t>(format 0 to 3) and 2 (format 4)</w:t>
      </w:r>
      <w:r>
        <w:t xml:space="preserve"> times of the PRACH. This results in an oversampling factor of 12 </w:t>
      </w:r>
      <w:r>
        <w:rPr>
          <w:rFonts w:eastAsia="Osaka"/>
        </w:rPr>
        <w:t>(format 0 to 3) and 2 (format 4)</w:t>
      </w:r>
      <w:r>
        <w:t xml:space="preserve">, when acquiring the time samples for the PRACH. The pre-FFT algorithms (clauses E.6.6 and E.6.7) use all time samples, although oversampled. For the FFT the time samples are decimated by the factor of 12 </w:t>
      </w:r>
      <w:r>
        <w:rPr>
          <w:rFonts w:eastAsia="Osaka"/>
        </w:rPr>
        <w:t>(format 0 to 3) and 2 (format 4)</w:t>
      </w:r>
      <w:r>
        <w:t>, resulting in the same FFT size as for the other transmit modulation tests (2048). Decimation requires a decision, which samples are used and which ones are rejected. The algorithm in E.6.6, Timing of the FFT window, can also be used to decide about the used samples.</w:t>
      </w:r>
    </w:p>
    <w:p>
      <w:pPr>
        <w:pStyle w:val="4"/>
      </w:pPr>
      <w:bookmarkStart w:id="2243" w:name="_Toc18365"/>
      <w:bookmarkStart w:id="2244" w:name="_Toc12412"/>
      <w:bookmarkStart w:id="2245" w:name="_Toc23809"/>
      <w:bookmarkStart w:id="2246" w:name="_Toc19783"/>
      <w:bookmarkStart w:id="2247" w:name="_Toc21063"/>
      <w:r>
        <w:t>E.6.1</w:t>
      </w:r>
      <w:r>
        <w:tab/>
      </w:r>
      <w:r>
        <w:t>Basic principle</w:t>
      </w:r>
      <w:bookmarkEnd w:id="2243"/>
      <w:bookmarkEnd w:id="2244"/>
      <w:bookmarkEnd w:id="2245"/>
      <w:bookmarkEnd w:id="2246"/>
      <w:bookmarkEnd w:id="2247"/>
    </w:p>
    <w:p>
      <w:r>
        <w:t>The basis principle is the same as described in E.2.1</w:t>
      </w:r>
    </w:p>
    <w:p>
      <w:pPr>
        <w:pStyle w:val="4"/>
      </w:pPr>
      <w:bookmarkStart w:id="2248" w:name="_Toc778"/>
      <w:bookmarkStart w:id="2249" w:name="_Toc512"/>
      <w:bookmarkStart w:id="2250" w:name="_Toc12402"/>
      <w:bookmarkStart w:id="2251" w:name="_Toc378"/>
      <w:bookmarkStart w:id="2252" w:name="_Toc14623"/>
      <w:r>
        <w:t>E.6.2</w:t>
      </w:r>
      <w:r>
        <w:tab/>
      </w:r>
      <w:r>
        <w:t>Output signal of the TX under test</w:t>
      </w:r>
      <w:bookmarkEnd w:id="2248"/>
      <w:bookmarkEnd w:id="2249"/>
      <w:bookmarkEnd w:id="2250"/>
      <w:bookmarkEnd w:id="2251"/>
      <w:bookmarkEnd w:id="2252"/>
    </w:p>
    <w:p>
      <w:r>
        <w:t>The output signal of the TX under test is processed same as described in E.2.2</w:t>
      </w:r>
    </w:p>
    <w:p>
      <w:r>
        <w:t>The measurement period is different:</w:t>
      </w:r>
    </w:p>
    <w:p>
      <w:pPr>
        <w:pStyle w:val="111"/>
      </w:pPr>
      <w:r>
        <w:t>-</w:t>
      </w:r>
      <w:r>
        <w:tab/>
      </w:r>
      <w:r>
        <w:t>2 PRACH preambles are recorded for format 0and 1,</w:t>
      </w:r>
    </w:p>
    <w:p>
      <w:pPr>
        <w:pStyle w:val="111"/>
      </w:pPr>
      <w:r>
        <w:t>-</w:t>
      </w:r>
      <w:r>
        <w:tab/>
      </w:r>
      <w:r>
        <w:t>1 PRACH preamble is recorded for format 2 and 3, each containing 1 CP and 2 preamble sequences</w:t>
      </w:r>
    </w:p>
    <w:p>
      <w:pPr>
        <w:pStyle w:val="111"/>
      </w:pPr>
      <w:r>
        <w:t>-</w:t>
      </w:r>
      <w:r>
        <w:tab/>
      </w:r>
      <w:r>
        <w:t>10 RPRACH preambles are recorded for format 4.</w:t>
      </w:r>
    </w:p>
    <w:p>
      <w:pPr>
        <w:pStyle w:val="4"/>
      </w:pPr>
      <w:bookmarkStart w:id="2253" w:name="_Toc21446"/>
      <w:bookmarkStart w:id="2254" w:name="_Toc29829"/>
      <w:bookmarkStart w:id="2255" w:name="_Toc16955"/>
      <w:bookmarkStart w:id="2256" w:name="_Toc30367"/>
      <w:bookmarkStart w:id="2257" w:name="_Toc13919"/>
      <w:r>
        <w:t>E.6.3</w:t>
      </w:r>
      <w:r>
        <w:tab/>
      </w:r>
      <w:r>
        <w:t>Reference signal</w:t>
      </w:r>
      <w:bookmarkEnd w:id="2253"/>
      <w:bookmarkEnd w:id="2254"/>
      <w:bookmarkEnd w:id="2255"/>
      <w:bookmarkEnd w:id="2256"/>
      <w:bookmarkEnd w:id="2257"/>
    </w:p>
    <w:p>
      <w:r>
        <w:t>The test description in 6.5.2.1.4.1A is based on non contention based access:</w:t>
      </w:r>
    </w:p>
    <w:p>
      <w:pPr>
        <w:pStyle w:val="111"/>
      </w:pPr>
      <w:r>
        <w:t>-</w:t>
      </w:r>
      <w:r>
        <w:tab/>
      </w:r>
      <w:r>
        <w:t>PRACH configuration index (responsible for Preamble format, System frame number and subframe number)</w:t>
      </w:r>
    </w:p>
    <w:p>
      <w:pPr>
        <w:pStyle w:val="111"/>
      </w:pPr>
      <w:r>
        <w:t>-</w:t>
      </w:r>
      <w:r>
        <w:tab/>
      </w:r>
      <w:r>
        <w:t>Preamble ID</w:t>
      </w:r>
    </w:p>
    <w:p>
      <w:pPr>
        <w:pStyle w:val="111"/>
      </w:pPr>
      <w:r>
        <w:t>-</w:t>
      </w:r>
      <w:r>
        <w:tab/>
      </w:r>
      <w:r>
        <w:t>Preamble power</w:t>
      </w:r>
    </w:p>
    <w:p>
      <w:r>
        <w:t>signalled to the UE, defines the reference signal unambiguously, such that no demodulation process is necessary to gain the reference signal.</w:t>
      </w:r>
    </w:p>
    <w:p>
      <w:r>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pPr>
        <w:pStyle w:val="4"/>
      </w:pPr>
      <w:bookmarkStart w:id="2258" w:name="_Toc30690"/>
      <w:bookmarkStart w:id="2259" w:name="_Toc23832"/>
      <w:bookmarkStart w:id="2260" w:name="_Toc24184"/>
      <w:bookmarkStart w:id="2261" w:name="_Toc7826"/>
      <w:bookmarkStart w:id="2262" w:name="_Toc30778"/>
      <w:r>
        <w:t>E.6.4</w:t>
      </w:r>
      <w:r>
        <w:tab/>
      </w:r>
      <w:r>
        <w:t>Measurement results</w:t>
      </w:r>
      <w:bookmarkEnd w:id="2258"/>
      <w:bookmarkEnd w:id="2259"/>
      <w:bookmarkEnd w:id="2260"/>
      <w:bookmarkEnd w:id="2261"/>
      <w:bookmarkEnd w:id="2262"/>
    </w:p>
    <w:p>
      <w:r>
        <w:t>The measurement result is:</w:t>
      </w:r>
    </w:p>
    <w:p>
      <w:pPr>
        <w:pStyle w:val="111"/>
      </w:pPr>
      <w:r>
        <w:t>-</w:t>
      </w:r>
      <w:r>
        <w:tab/>
      </w:r>
      <w:r>
        <w:t>EVMPRACH</w:t>
      </w:r>
    </w:p>
    <w:p>
      <w:pPr>
        <w:pStyle w:val="4"/>
      </w:pPr>
      <w:bookmarkStart w:id="2263" w:name="_Toc32103"/>
      <w:bookmarkStart w:id="2264" w:name="_Toc11407"/>
      <w:bookmarkStart w:id="2265" w:name="_Toc19827"/>
      <w:bookmarkStart w:id="2266" w:name="_Toc1087"/>
      <w:bookmarkStart w:id="2267" w:name="_Toc14109"/>
      <w:r>
        <w:t>E.6.5</w:t>
      </w:r>
      <w:r>
        <w:tab/>
      </w:r>
      <w:r>
        <w:t>Measurement points</w:t>
      </w:r>
      <w:bookmarkEnd w:id="2263"/>
      <w:bookmarkEnd w:id="2264"/>
      <w:bookmarkEnd w:id="2265"/>
      <w:bookmarkEnd w:id="2266"/>
      <w:bookmarkEnd w:id="2267"/>
    </w:p>
    <w:p>
      <w:r>
        <w:t>The measurement points are illustrated in the figure below:</w:t>
      </w:r>
    </w:p>
    <w:p>
      <w:pPr>
        <w:pStyle w:val="113"/>
      </w:pPr>
      <w:r>
        <w:drawing>
          <wp:inline distT="0" distB="0" distL="114300" distR="114300">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31"/>
                    <a:stretch>
                      <a:fillRect/>
                    </a:stretch>
                  </pic:blipFill>
                  <pic:spPr>
                    <a:xfrm>
                      <a:off x="0" y="0"/>
                      <a:ext cx="5772150" cy="1784350"/>
                    </a:xfrm>
                    <a:prstGeom prst="rect">
                      <a:avLst/>
                    </a:prstGeom>
                    <a:noFill/>
                    <a:ln>
                      <a:noFill/>
                    </a:ln>
                  </pic:spPr>
                </pic:pic>
              </a:graphicData>
            </a:graphic>
          </wp:inline>
        </w:drawing>
      </w:r>
    </w:p>
    <w:p>
      <w:pPr>
        <w:pStyle w:val="120"/>
      </w:pPr>
      <w:r>
        <w:t>Figure E.6.5-1</w:t>
      </w:r>
    </w:p>
    <w:p/>
    <w:p>
      <w:pPr>
        <w:pStyle w:val="4"/>
      </w:pPr>
      <w:bookmarkStart w:id="2268" w:name="_Toc7389"/>
      <w:bookmarkStart w:id="2269" w:name="_Toc6311"/>
      <w:bookmarkStart w:id="2270" w:name="_Toc31841"/>
      <w:bookmarkStart w:id="2271" w:name="_Toc13124"/>
      <w:bookmarkStart w:id="2272" w:name="_Toc13009"/>
      <w:r>
        <w:t>E.6.6</w:t>
      </w:r>
      <w:r>
        <w:tab/>
      </w:r>
      <w:r>
        <w:t>Pre FFT minimization process</w:t>
      </w:r>
      <w:bookmarkEnd w:id="2268"/>
      <w:bookmarkEnd w:id="2269"/>
      <w:bookmarkEnd w:id="2270"/>
      <w:bookmarkEnd w:id="2271"/>
      <w:bookmarkEnd w:id="2272"/>
    </w:p>
    <w:p>
      <w:r>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Pr>
          <w:b/>
        </w:rPr>
        <w:t xml:space="preserve"> </w:t>
      </w:r>
      <w:r>
        <w:t>z(ν) are jointly varied in order to minimise the difference between z(ν) and i(ν). Best fit (minimum difference) is achieved when the RMS difference value between z(ν) and i(ν) is an absolute minimum.</w:t>
      </w:r>
    </w:p>
    <w:p>
      <w:r>
        <w:t>After this process the samples z(ν) are called z</w:t>
      </w:r>
      <w:r>
        <w:rPr>
          <w:vertAlign w:val="superscript"/>
        </w:rPr>
        <w:t>0</w:t>
      </w:r>
      <w:r>
        <w:t>(ν).</w:t>
      </w:r>
    </w:p>
    <w:p>
      <w:r>
        <w:t>RF error, and carrier leakage are necessary for best fit of the measured signal towards the ideal signal in the pre FFT domain. However they are not used to compare them against the limits.</w:t>
      </w:r>
    </w:p>
    <w:p>
      <w:pPr>
        <w:pStyle w:val="4"/>
      </w:pPr>
      <w:bookmarkStart w:id="2273" w:name="_Toc4966"/>
      <w:bookmarkStart w:id="2274" w:name="_Toc28088"/>
      <w:bookmarkStart w:id="2275" w:name="_Toc12066"/>
      <w:bookmarkStart w:id="2276" w:name="_Toc1092"/>
      <w:bookmarkStart w:id="2277" w:name="_Toc17369"/>
      <w:r>
        <w:t>E.6.7</w:t>
      </w:r>
      <w:r>
        <w:tab/>
      </w:r>
      <w:r>
        <w:t>Timing of the FFT window</w:t>
      </w:r>
      <w:bookmarkEnd w:id="2273"/>
      <w:bookmarkEnd w:id="2274"/>
      <w:bookmarkEnd w:id="2275"/>
      <w:bookmarkEnd w:id="2276"/>
      <w:bookmarkEnd w:id="2277"/>
    </w:p>
    <w:p>
      <w:pPr>
        <w:rPr>
          <w:rFonts w:eastAsia="Osaka"/>
        </w:rPr>
      </w:pPr>
      <w:r>
        <w:rPr>
          <w:rFonts w:eastAsia="Osaka"/>
        </w:rPr>
        <w:t>The FFT window length is 24576 samples for preamble format 0, however in the measurement period is at least 27744 samples are taken. The position in time for FFT must be determined.</w:t>
      </w:r>
    </w:p>
    <w:p>
      <w:pPr>
        <w:rPr>
          <w:rFonts w:eastAsia="Osaka"/>
        </w:rPr>
      </w:pPr>
      <w:r>
        <w:rPr>
          <w:rFonts w:eastAsia="Osaka"/>
        </w:rPr>
        <w:t>In an ideal signal, the FFT may start at any instant within the cyclic prefix without causing an error. The TX filter, however, reduces the window. The EVM requirements shall be met within a window W&lt;CP.</w:t>
      </w:r>
    </w:p>
    <w:p>
      <w:r>
        <w:rPr>
          <w:rFonts w:eastAsia="Osaka"/>
        </w:rPr>
        <w:t xml:space="preserve">The reference instant for the FFT start is the centre of the reduced window, called </w:t>
      </w:r>
      <w:r>
        <w:rPr>
          <w:position w:val="-3"/>
        </w:rPr>
        <w:object>
          <v:shape id="_x0000_i1223"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23" DrawAspect="Content" ObjectID="_1468075923" r:id="rId332">
            <o:LockedField>false</o:LockedField>
          </o:OLEObject>
        </w:object>
      </w:r>
      <w:r>
        <w:t xml:space="preserve">, </w:t>
      </w:r>
    </w:p>
    <w:p>
      <w:pPr>
        <w:rPr>
          <w:rFonts w:eastAsia="Osaka"/>
        </w:rPr>
      </w:pPr>
      <w:r>
        <w:t xml:space="preserve">EVM is measured at the following two instants: </w:t>
      </w:r>
      <w:r>
        <w:rPr>
          <w:position w:val="-3"/>
        </w:rPr>
        <w:object>
          <v:shape id="_x0000_i1224"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24" DrawAspect="Content" ObjectID="_1468075924" r:id="rId333">
            <o:LockedField>false</o:LockedField>
          </o:OLEObject>
        </w:object>
      </w:r>
      <w:r>
        <w:t xml:space="preserve"> –W/2 and </w:t>
      </w:r>
      <w:r>
        <w:rPr>
          <w:position w:val="-3"/>
        </w:rPr>
        <w:object>
          <v:shape id="_x0000_i1225"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25" DrawAspect="Content" ObjectID="_1468075925" r:id="rId334">
            <o:LockedField>false</o:LockedField>
          </o:OLEObject>
        </w:object>
      </w:r>
      <w:r>
        <w:t xml:space="preserve"> +W/2. </w:t>
      </w:r>
    </w:p>
    <w:p>
      <w:r>
        <w:t>The timing of the measured signal z</w:t>
      </w:r>
      <w:r>
        <w:rPr>
          <w:vertAlign w:val="superscript"/>
        </w:rPr>
        <w:t>0</w:t>
      </w:r>
      <w:r>
        <w:t>(ν) with respect to the ideal signal i(ν) is determined in the pre FFT domain as follows:</w:t>
      </w:r>
    </w:p>
    <w:p>
      <w:r>
        <w:t>Correlation between z</w:t>
      </w:r>
      <w:r>
        <w:rPr>
          <w:vertAlign w:val="superscript"/>
        </w:rPr>
        <w:t>0</w:t>
      </w:r>
      <w:r>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pPr>
        <w:rPr>
          <w:shd w:val="clear" w:color="auto" w:fill="00FFFF"/>
        </w:rPr>
      </w:pPr>
      <w:r>
        <w:t>W is different for different preamble formats and shown in TableE.6.7-1.</w:t>
      </w:r>
    </w:p>
    <w:p>
      <w:pPr>
        <w:pStyle w:val="113"/>
      </w:pPr>
      <w:r>
        <w:t>Table E.6.7-1EVM window length for PRACH</w:t>
      </w:r>
    </w:p>
    <w:tbl>
      <w:tblPr>
        <w:tblStyle w:val="89"/>
        <w:tblW w:w="61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6"/>
        <w:gridCol w:w="1260"/>
        <w:gridCol w:w="1174"/>
        <w:gridCol w:w="1346"/>
        <w:gridCol w:w="12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4" w:hRule="atLeast"/>
          <w:jc w:val="center"/>
        </w:trPr>
        <w:tc>
          <w:tcPr>
            <w:tcW w:w="1076" w:type="dxa"/>
            <w:shd w:val="clear" w:color="auto" w:fill="auto"/>
            <w:vAlign w:val="center"/>
          </w:tcPr>
          <w:p>
            <w:pPr>
              <w:pStyle w:val="104"/>
              <w:rPr>
                <w:lang w:eastAsia="zh-CN"/>
              </w:rPr>
            </w:pPr>
            <w:r>
              <w:rPr>
                <w:lang w:eastAsia="zh-CN"/>
              </w:rPr>
              <w:t>Preamble format</w:t>
            </w:r>
          </w:p>
        </w:tc>
        <w:tc>
          <w:tcPr>
            <w:tcW w:w="1260" w:type="dxa"/>
            <w:shd w:val="clear" w:color="auto" w:fill="auto"/>
            <w:vAlign w:val="center"/>
          </w:tcPr>
          <w:p>
            <w:pPr>
              <w:pStyle w:val="104"/>
              <w:rPr>
                <w:lang w:eastAsia="zh-CN"/>
              </w:rPr>
            </w:pPr>
            <w:r>
              <w:rPr>
                <w:lang w:eastAsia="zh-CN"/>
              </w:rPr>
              <w:t>Cyclic prefix length</w:t>
            </w:r>
            <w:r>
              <w:rPr>
                <w:vertAlign w:val="superscript"/>
                <w:lang w:eastAsia="zh-CN"/>
              </w:rPr>
              <w:t>1</w:t>
            </w:r>
            <w:r>
              <w:rPr>
                <w:lang w:eastAsia="zh-CN"/>
              </w:rPr>
              <w:t xml:space="preserve"> </w:t>
            </w:r>
            <w:r>
              <w:rPr>
                <w:position w:val="-14"/>
                <w:lang w:eastAsia="zh-CN"/>
              </w:rPr>
              <w:object>
                <v:shape id="_x0000_i1226" o:spt="75" type="#_x0000_t75" style="height:17.4pt;width:19.2pt;" o:ole="t" filled="f" o:preferrelative="t" stroked="f" coordsize="21600,21600">
                  <v:path/>
                  <v:fill on="f" focussize="0,0"/>
                  <v:stroke on="f" joinstyle="miter"/>
                  <v:imagedata r:id="rId336" o:title=""/>
                  <o:lock v:ext="edit" aspectratio="t"/>
                  <w10:wrap type="none"/>
                  <w10:anchorlock/>
                </v:shape>
                <o:OLEObject Type="Embed" ProgID="Equation.3" ShapeID="_x0000_i1226" DrawAspect="Content" ObjectID="_1468075926" r:id="rId335">
                  <o:LockedField>false</o:LockedField>
                </o:OLEObject>
              </w:object>
            </w:r>
          </w:p>
        </w:tc>
        <w:tc>
          <w:tcPr>
            <w:tcW w:w="1174" w:type="dxa"/>
            <w:shd w:val="clear" w:color="auto" w:fill="auto"/>
            <w:vAlign w:val="center"/>
          </w:tcPr>
          <w:p>
            <w:pPr>
              <w:pStyle w:val="104"/>
              <w:rPr>
                <w:lang w:eastAsia="zh-CN"/>
              </w:rPr>
            </w:pPr>
            <w:r>
              <w:rPr>
                <w:lang w:eastAsia="zh-CN"/>
              </w:rPr>
              <w:t>Nominal FFT size</w:t>
            </w:r>
            <w:r>
              <w:rPr>
                <w:vertAlign w:val="superscript"/>
                <w:lang w:eastAsia="zh-CN"/>
              </w:rPr>
              <w:t>2</w:t>
            </w:r>
          </w:p>
        </w:tc>
        <w:tc>
          <w:tcPr>
            <w:tcW w:w="1346" w:type="dxa"/>
            <w:shd w:val="clear" w:color="auto" w:fill="auto"/>
            <w:vAlign w:val="center"/>
          </w:tcPr>
          <w:p>
            <w:pPr>
              <w:pStyle w:val="104"/>
              <w:rPr>
                <w:lang w:eastAsia="zh-CN"/>
              </w:rPr>
            </w:pPr>
            <w:r>
              <w:rPr>
                <w:lang w:eastAsia="zh-CN"/>
              </w:rPr>
              <w:t xml:space="preserve">EVM window length </w:t>
            </w:r>
            <w:r>
              <w:rPr>
                <w:i/>
                <w:lang w:eastAsia="zh-CN"/>
              </w:rPr>
              <w:t>W</w:t>
            </w:r>
            <w:r>
              <w:rPr>
                <w:lang w:eastAsia="zh-CN"/>
              </w:rPr>
              <w:t xml:space="preserve"> in FFT samples</w:t>
            </w:r>
          </w:p>
        </w:tc>
        <w:tc>
          <w:tcPr>
            <w:tcW w:w="1279" w:type="dxa"/>
            <w:shd w:val="clear" w:color="auto" w:fill="auto"/>
            <w:vAlign w:val="center"/>
          </w:tcPr>
          <w:p>
            <w:pPr>
              <w:pStyle w:val="104"/>
              <w:rPr>
                <w:lang w:eastAsia="zh-CN"/>
              </w:rPr>
            </w:pPr>
            <w:r>
              <w:rPr>
                <w:lang w:eastAsia="zh-CN"/>
              </w:rPr>
              <w:t xml:space="preserve">Ratio of </w:t>
            </w:r>
            <w:r>
              <w:rPr>
                <w:i/>
                <w:lang w:eastAsia="zh-CN"/>
              </w:rPr>
              <w:t>W</w:t>
            </w:r>
            <w:r>
              <w:rPr>
                <w:lang w:eastAsia="zh-CN"/>
              </w:rPr>
              <w:t xml:space="preserve"> to CP</w:t>
            </w:r>
            <w:r>
              <w:rPr>
                <w:vertAlign w:val="superscript"/>
                <w:lang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0</w:t>
            </w:r>
          </w:p>
        </w:tc>
        <w:tc>
          <w:tcPr>
            <w:tcW w:w="1260" w:type="dxa"/>
            <w:shd w:val="clear" w:color="auto" w:fill="auto"/>
            <w:vAlign w:val="center"/>
          </w:tcPr>
          <w:p>
            <w:pPr>
              <w:pStyle w:val="105"/>
            </w:pPr>
            <w:r>
              <w:t>3168</w:t>
            </w:r>
          </w:p>
        </w:tc>
        <w:tc>
          <w:tcPr>
            <w:tcW w:w="1174" w:type="dxa"/>
            <w:vAlign w:val="center"/>
          </w:tcPr>
          <w:p>
            <w:pPr>
              <w:pStyle w:val="105"/>
            </w:pPr>
            <w:r>
              <w:t>24576</w:t>
            </w:r>
          </w:p>
        </w:tc>
        <w:tc>
          <w:tcPr>
            <w:tcW w:w="1346" w:type="dxa"/>
            <w:vAlign w:val="center"/>
          </w:tcPr>
          <w:p>
            <w:pPr>
              <w:pStyle w:val="105"/>
            </w:pPr>
            <w:r>
              <w:t xml:space="preserve">3072 </w:t>
            </w:r>
          </w:p>
        </w:tc>
        <w:tc>
          <w:tcPr>
            <w:tcW w:w="1279" w:type="dxa"/>
          </w:tcPr>
          <w:p>
            <w:pPr>
              <w:pStyle w:val="105"/>
            </w:pPr>
            <w:r>
              <w:t xml:space="preserve">96.7%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1</w:t>
            </w:r>
          </w:p>
        </w:tc>
        <w:tc>
          <w:tcPr>
            <w:tcW w:w="1260" w:type="dxa"/>
            <w:shd w:val="clear" w:color="auto" w:fill="auto"/>
            <w:vAlign w:val="center"/>
          </w:tcPr>
          <w:p>
            <w:pPr>
              <w:pStyle w:val="105"/>
            </w:pPr>
            <w:r>
              <w:t>21024</w:t>
            </w:r>
          </w:p>
        </w:tc>
        <w:tc>
          <w:tcPr>
            <w:tcW w:w="1174" w:type="dxa"/>
            <w:vAlign w:val="center"/>
          </w:tcPr>
          <w:p>
            <w:pPr>
              <w:pStyle w:val="105"/>
            </w:pPr>
            <w:r>
              <w:t>24576</w:t>
            </w:r>
          </w:p>
        </w:tc>
        <w:tc>
          <w:tcPr>
            <w:tcW w:w="1346" w:type="dxa"/>
            <w:vAlign w:val="center"/>
          </w:tcPr>
          <w:p>
            <w:pPr>
              <w:pStyle w:val="105"/>
            </w:pPr>
            <w:r>
              <w:t xml:space="preserve">20928 </w:t>
            </w:r>
          </w:p>
        </w:tc>
        <w:tc>
          <w:tcPr>
            <w:tcW w:w="1279" w:type="dxa"/>
          </w:tcPr>
          <w:p>
            <w:pPr>
              <w:pStyle w:val="105"/>
            </w:pPr>
            <w:r>
              <w:t xml:space="preserve">99.5%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2</w:t>
            </w:r>
          </w:p>
        </w:tc>
        <w:tc>
          <w:tcPr>
            <w:tcW w:w="1260" w:type="dxa"/>
            <w:shd w:val="clear" w:color="auto" w:fill="auto"/>
            <w:vAlign w:val="center"/>
          </w:tcPr>
          <w:p>
            <w:pPr>
              <w:pStyle w:val="105"/>
            </w:pPr>
            <w:r>
              <w:t>6240</w:t>
            </w:r>
          </w:p>
        </w:tc>
        <w:tc>
          <w:tcPr>
            <w:tcW w:w="1174" w:type="dxa"/>
            <w:vAlign w:val="center"/>
          </w:tcPr>
          <w:p>
            <w:pPr>
              <w:pStyle w:val="105"/>
            </w:pPr>
            <w:r>
              <w:t>49152</w:t>
            </w:r>
          </w:p>
        </w:tc>
        <w:tc>
          <w:tcPr>
            <w:tcW w:w="1346" w:type="dxa"/>
            <w:vAlign w:val="center"/>
          </w:tcPr>
          <w:p>
            <w:pPr>
              <w:pStyle w:val="105"/>
            </w:pPr>
            <w:r>
              <w:t xml:space="preserve">6144 </w:t>
            </w:r>
          </w:p>
        </w:tc>
        <w:tc>
          <w:tcPr>
            <w:tcW w:w="1279" w:type="dxa"/>
          </w:tcPr>
          <w:p>
            <w:pPr>
              <w:pStyle w:val="105"/>
            </w:pPr>
            <w:r>
              <w:t xml:space="preserve">98.5%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3</w:t>
            </w:r>
          </w:p>
        </w:tc>
        <w:tc>
          <w:tcPr>
            <w:tcW w:w="1260" w:type="dxa"/>
            <w:shd w:val="clear" w:color="auto" w:fill="auto"/>
            <w:vAlign w:val="center"/>
          </w:tcPr>
          <w:p>
            <w:pPr>
              <w:pStyle w:val="105"/>
            </w:pPr>
            <w:r>
              <w:t>21024</w:t>
            </w:r>
          </w:p>
        </w:tc>
        <w:tc>
          <w:tcPr>
            <w:tcW w:w="1174" w:type="dxa"/>
            <w:vAlign w:val="center"/>
          </w:tcPr>
          <w:p>
            <w:pPr>
              <w:pStyle w:val="105"/>
            </w:pPr>
            <w:r>
              <w:t>49152</w:t>
            </w:r>
          </w:p>
        </w:tc>
        <w:tc>
          <w:tcPr>
            <w:tcW w:w="1346" w:type="dxa"/>
            <w:vAlign w:val="center"/>
          </w:tcPr>
          <w:p>
            <w:pPr>
              <w:pStyle w:val="105"/>
            </w:pPr>
            <w:r>
              <w:t xml:space="preserve">20928 </w:t>
            </w:r>
          </w:p>
        </w:tc>
        <w:tc>
          <w:tcPr>
            <w:tcW w:w="1279" w:type="dxa"/>
          </w:tcPr>
          <w:p>
            <w:pPr>
              <w:pStyle w:val="105"/>
            </w:pPr>
            <w:r>
              <w:t xml:space="preserve">99.5%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4</w:t>
            </w:r>
          </w:p>
        </w:tc>
        <w:tc>
          <w:tcPr>
            <w:tcW w:w="1260" w:type="dxa"/>
            <w:shd w:val="clear" w:color="auto" w:fill="auto"/>
            <w:vAlign w:val="center"/>
          </w:tcPr>
          <w:p>
            <w:pPr>
              <w:pStyle w:val="105"/>
            </w:pPr>
            <w:r>
              <w:t>448</w:t>
            </w:r>
          </w:p>
        </w:tc>
        <w:tc>
          <w:tcPr>
            <w:tcW w:w="1174" w:type="dxa"/>
            <w:vAlign w:val="center"/>
          </w:tcPr>
          <w:p>
            <w:pPr>
              <w:pStyle w:val="105"/>
            </w:pPr>
            <w:r>
              <w:t>4096</w:t>
            </w:r>
          </w:p>
        </w:tc>
        <w:tc>
          <w:tcPr>
            <w:tcW w:w="1346" w:type="dxa"/>
            <w:vAlign w:val="center"/>
          </w:tcPr>
          <w:p>
            <w:pPr>
              <w:pStyle w:val="105"/>
            </w:pPr>
            <w:r>
              <w:t xml:space="preserve">432 </w:t>
            </w:r>
          </w:p>
        </w:tc>
        <w:tc>
          <w:tcPr>
            <w:tcW w:w="1279" w:type="dxa"/>
          </w:tcPr>
          <w:p>
            <w:pPr>
              <w:pStyle w:val="105"/>
            </w:pPr>
            <w:r>
              <w:t xml:space="preserve">96.4%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gridSpan w:val="5"/>
            <w:vAlign w:val="center"/>
          </w:tcPr>
          <w:p>
            <w:pPr>
              <w:pStyle w:val="118"/>
            </w:pPr>
            <w:r>
              <w:t>Note 1:</w:t>
            </w:r>
            <w:r>
              <w:tab/>
            </w:r>
            <w:r>
              <w:tab/>
            </w:r>
            <w:r>
              <w:t>The unit is number of samples, sampling rate of 30.72MHz is assumed</w:t>
            </w:r>
          </w:p>
          <w:p>
            <w:pPr>
              <w:pStyle w:val="118"/>
            </w:pPr>
            <w:r>
              <w:t>Note 2:</w:t>
            </w:r>
            <w:r>
              <w:tab/>
            </w:r>
            <w:r>
              <w:tab/>
            </w:r>
            <w:r>
              <w:t>Decimation of time samples by 12</w:t>
            </w:r>
            <w:r>
              <w:rPr>
                <w:rFonts w:eastAsia="Osaka"/>
              </w:rPr>
              <w:t>(format 0 to 3) and factor 2 (format 4)</w:t>
            </w:r>
            <w:r>
              <w:t xml:space="preserve"> is assumed, leading to a uniform FFT size of 2048 for all formats.</w:t>
            </w:r>
          </w:p>
          <w:p>
            <w:pPr>
              <w:pStyle w:val="118"/>
            </w:pPr>
            <w:r>
              <w:t>Note 3:</w:t>
            </w:r>
            <w:r>
              <w:tab/>
            </w:r>
            <w:r>
              <w:tab/>
            </w:r>
            <w:r>
              <w:t>These percentages are informative</w:t>
            </w:r>
          </w:p>
        </w:tc>
      </w:tr>
    </w:tbl>
    <w:p>
      <w:pPr>
        <w:pStyle w:val="108"/>
      </w:pPr>
    </w:p>
    <w:p>
      <w:r>
        <w:t>The number of samples, used for FFT is reduced compared to z</w:t>
      </w:r>
      <w:r>
        <w:rPr>
          <w:vertAlign w:val="superscript"/>
        </w:rPr>
        <w:t>0</w:t>
      </w:r>
      <w:r>
        <w:t>(ν). This subset of samples is called z’’(ν).</w:t>
      </w:r>
    </w:p>
    <w:p>
      <w:r>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t>The final number of samples per PRACH preamble, used for FFT is reduced compared to z</w:t>
      </w:r>
      <w:r>
        <w:rPr>
          <w:vertAlign w:val="superscript"/>
        </w:rPr>
        <w:t>’’</w:t>
      </w:r>
      <w:r>
        <w:t xml:space="preserve">(ν) by the factor of 12 </w:t>
      </w:r>
      <w:r>
        <w:rPr>
          <w:rFonts w:eastAsia="Osaka"/>
        </w:rPr>
        <w:t>(format 0 to 3) and factor 2 (format 4)</w:t>
      </w:r>
      <w:r>
        <w:t>. This subset of samples is called z’(ν).</w:t>
      </w:r>
    </w:p>
    <w:p>
      <w:pPr>
        <w:pStyle w:val="4"/>
      </w:pPr>
      <w:bookmarkStart w:id="2278" w:name="_Toc19334"/>
      <w:bookmarkStart w:id="2279" w:name="_Toc16001"/>
      <w:bookmarkStart w:id="2280" w:name="_Toc8901"/>
      <w:bookmarkStart w:id="2281" w:name="_Toc16763"/>
      <w:bookmarkStart w:id="2282" w:name="_Toc13218"/>
      <w:r>
        <w:t>E.6.8</w:t>
      </w:r>
      <w:r>
        <w:tab/>
      </w:r>
      <w:r>
        <w:t>Post FFT equalisation</w:t>
      </w:r>
      <w:bookmarkEnd w:id="2278"/>
      <w:bookmarkEnd w:id="2279"/>
      <w:bookmarkEnd w:id="2280"/>
      <w:bookmarkEnd w:id="2281"/>
      <w:bookmarkEnd w:id="2282"/>
    </w:p>
    <w:p>
      <w:r>
        <w:t>Equalisation is not applicable for the PRACH.</w:t>
      </w:r>
    </w:p>
    <w:p>
      <w:pPr>
        <w:pStyle w:val="4"/>
      </w:pPr>
      <w:bookmarkStart w:id="2283" w:name="_Toc10314"/>
      <w:bookmarkStart w:id="2284" w:name="_Toc18647"/>
      <w:bookmarkStart w:id="2285" w:name="_Toc16550"/>
      <w:bookmarkStart w:id="2286" w:name="_Toc22203"/>
      <w:bookmarkStart w:id="2287" w:name="_Toc3224"/>
      <w:r>
        <w:t>E.6.9</w:t>
      </w:r>
      <w:r>
        <w:tab/>
      </w:r>
      <w:r>
        <w:t>Derivation of the results</w:t>
      </w:r>
      <w:bookmarkEnd w:id="2283"/>
      <w:bookmarkEnd w:id="2284"/>
      <w:bookmarkEnd w:id="2285"/>
      <w:bookmarkEnd w:id="2286"/>
      <w:bookmarkEnd w:id="2287"/>
    </w:p>
    <w:p>
      <w:pPr>
        <w:pStyle w:val="5"/>
        <w:rPr>
          <w:szCs w:val="24"/>
          <w:vertAlign w:val="subscript"/>
        </w:rPr>
      </w:pPr>
      <w:bookmarkStart w:id="2288" w:name="_Toc29052"/>
      <w:bookmarkStart w:id="2289" w:name="_Toc24845"/>
      <w:bookmarkStart w:id="2290" w:name="_Toc323"/>
      <w:bookmarkStart w:id="2291" w:name="_Toc20891"/>
      <w:bookmarkStart w:id="2292" w:name="_Toc5839"/>
      <w:r>
        <w:t>E.6.9.1</w:t>
      </w:r>
      <w:r>
        <w:tab/>
      </w:r>
      <w:r>
        <w:t>EVM</w:t>
      </w:r>
      <w:r>
        <w:rPr>
          <w:szCs w:val="24"/>
          <w:vertAlign w:val="subscript"/>
        </w:rPr>
        <w:t>PRACH</w:t>
      </w:r>
      <w:bookmarkEnd w:id="2288"/>
      <w:bookmarkEnd w:id="2289"/>
      <w:bookmarkEnd w:id="2290"/>
      <w:bookmarkEnd w:id="2291"/>
      <w:bookmarkEnd w:id="2292"/>
    </w:p>
    <w:p>
      <w:r>
        <w:t xml:space="preserve">Perform FFT on z’(ν) and i(ν) using the FFT timing </w:t>
      </w:r>
      <w:r>
        <w:rPr>
          <w:position w:val="-3"/>
        </w:rPr>
        <w:object>
          <v:shape id="_x0000_i1227"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27" DrawAspect="Content" ObjectID="_1468075927" r:id="rId337">
            <o:LockedField>false</o:LockedField>
          </o:OLEObject>
        </w:object>
      </w:r>
      <w:r>
        <w:t xml:space="preserve"> –W/2 and </w:t>
      </w:r>
      <w:r>
        <w:rPr>
          <w:position w:val="-3"/>
        </w:rPr>
        <w:object>
          <v:shape id="_x0000_i1228"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28" DrawAspect="Content" ObjectID="_1468075928" r:id="rId338">
            <o:LockedField>false</o:LockedField>
          </o:OLEObject>
        </w:object>
      </w:r>
      <w:r>
        <w:t xml:space="preserve"> +W/2.</w:t>
      </w:r>
    </w:p>
    <w:p>
      <w:r>
        <w:t>For format 2 and 3 the first and the repeated preamble sequence are FFT-converted separately. using the standard FFT length 0f 2048</w:t>
      </w:r>
    </w:p>
    <w:p>
      <w:r>
        <w:t xml:space="preserve">The </w:t>
      </w:r>
      <w:r>
        <w:rPr>
          <w:rFonts w:eastAsia="Osaka"/>
        </w:rPr>
        <w:t>EVM</w:t>
      </w:r>
      <w:r>
        <w:rPr>
          <w:rFonts w:eastAsia="Osaka"/>
          <w:vertAlign w:val="subscript"/>
        </w:rPr>
        <w:t>PRACH</w:t>
      </w:r>
      <w:r>
        <w:t xml:space="preserve"> is the difference between the ideal waveform and the measured and equalized waveform for the allocated RB(s).</w:t>
      </w:r>
    </w:p>
    <w:p>
      <w:pPr>
        <w:pStyle w:val="95"/>
      </w:pPr>
      <w:r>
        <w:rPr>
          <w:position w:val="-32"/>
        </w:rPr>
        <w:object>
          <v:shape id="_x0000_i1229" o:spt="75" type="#_x0000_t75" style="height:54.6pt;width:183.6pt;" o:ole="t" filled="t" o:preferrelative="t" stroked="f" coordsize="21600,21600">
            <v:path/>
            <v:fill on="t" color2="#000000" focussize="0,0"/>
            <v:stroke on="f" joinstyle="miter"/>
            <v:imagedata r:id="rId340" o:title=""/>
            <o:lock v:ext="edit" aspectratio="t"/>
            <w10:wrap type="none"/>
            <w10:anchorlock/>
          </v:shape>
          <o:OLEObject Type="Embed" ProgID="Equation.3" ShapeID="_x0000_i1229" DrawAspect="Content" ObjectID="_1468075929" r:id="rId339">
            <o:LockedField>false</o:LockedField>
          </o:OLEObject>
        </w:object>
      </w:r>
      <w:r>
        <w:t>,</w:t>
      </w:r>
    </w:p>
    <w:p>
      <w:r>
        <w:t>where</w:t>
      </w:r>
    </w:p>
    <w:p>
      <w:pPr>
        <w:pStyle w:val="111"/>
      </w:pPr>
      <w:r>
        <w:rPr>
          <w:rFonts w:eastAsia="Osaka"/>
        </w:rPr>
        <w:tab/>
      </w:r>
      <w:r>
        <w:rPr>
          <w:rFonts w:eastAsia="Osaka"/>
        </w:rPr>
        <w:t xml:space="preserve">f covers the count of demodulated symbols </w:t>
      </w:r>
      <w:r>
        <w:t>within the allocated bandwidth.</w:t>
      </w:r>
    </w:p>
    <w:p>
      <w:pPr>
        <w:pStyle w:val="111"/>
      </w:pPr>
      <w:r>
        <w:tab/>
      </w:r>
      <w:r>
        <w:rPr>
          <w:position w:val="-10"/>
        </w:rPr>
        <w:object>
          <v:shape id="_x0000_i1230" o:spt="75" type="#_x0000_t75" style="height:20.4pt;width:37.8pt;" o:ole="t" filled="t" o:preferrelative="t" stroked="f" coordsize="21600,21600">
            <v:path/>
            <v:fill on="t" color2="#000000" focussize="0,0"/>
            <v:stroke on="f" joinstyle="miter"/>
            <v:imagedata r:id="rId342" o:title=""/>
            <o:lock v:ext="edit" aspectratio="t"/>
            <w10:wrap type="none"/>
            <w10:anchorlock/>
          </v:shape>
          <o:OLEObject Type="Embed" ProgID="Equation.3" ShapeID="_x0000_i1230" DrawAspect="Content" ObjectID="_1468075930" r:id="rId341">
            <o:LockedField>false</o:LockedField>
          </o:OLEObject>
        </w:object>
      </w:r>
      <w:r>
        <w:t xml:space="preserve"> are the samples of the signal evaluated for the </w:t>
      </w:r>
      <w:r>
        <w:rPr>
          <w:rFonts w:eastAsia="Osaka"/>
        </w:rPr>
        <w:t>EVM</w:t>
      </w:r>
      <w:r>
        <w:rPr>
          <w:rFonts w:eastAsia="Osaka"/>
          <w:vertAlign w:val="subscript"/>
        </w:rPr>
        <w:t>PRACH</w:t>
      </w:r>
    </w:p>
    <w:p>
      <w:pPr>
        <w:pStyle w:val="111"/>
      </w:pPr>
      <w:r>
        <w:tab/>
      </w:r>
      <w:r>
        <w:rPr>
          <w:position w:val="-8"/>
        </w:rPr>
        <w:object>
          <v:shape id="_x0000_i1231" o:spt="75" type="#_x0000_t75" style="height:19.2pt;width:25.8pt;" o:ole="t" filled="t" o:preferrelative="t" stroked="f" coordsize="21600,21600">
            <v:path/>
            <v:fill on="t" color2="#000000" focussize="0,0"/>
            <v:stroke on="f" joinstyle="miter"/>
            <v:imagedata r:id="rId344" o:title=""/>
            <o:lock v:ext="edit" aspectratio="t"/>
            <w10:wrap type="none"/>
            <w10:anchorlock/>
          </v:shape>
          <o:OLEObject Type="Embed" ProgID="Equation.3" ShapeID="_x0000_i1231" DrawAspect="Content" ObjectID="_1468075931" r:id="rId343">
            <o:LockedField>false</o:LockedField>
          </o:OLEObject>
        </w:object>
      </w:r>
      <w:r>
        <w:t>is the ideal signal reconstructed by the measurement equipment, and</w:t>
      </w:r>
    </w:p>
    <w:p>
      <w:pPr>
        <w:pStyle w:val="111"/>
      </w:pPr>
      <w:r>
        <w:tab/>
      </w:r>
      <w:r>
        <w:rPr>
          <w:position w:val="-8"/>
        </w:rPr>
        <w:object>
          <v:shape id="_x0000_i1232" o:spt="75" type="#_x0000_t75" style="height:19.2pt;width:13.2pt;" o:ole="t" filled="t" o:preferrelative="t" stroked="f" coordsize="21600,21600">
            <v:path/>
            <v:fill on="t" color2="#000000" focussize="0,0"/>
            <v:stroke on="f" joinstyle="miter"/>
            <v:imagedata r:id="rId212" o:title=""/>
            <o:lock v:ext="edit" aspectratio="t"/>
            <w10:wrap type="none"/>
            <w10:anchorlock/>
          </v:shape>
          <o:OLEObject Type="Embed" ProgID="Equation.3" ShapeID="_x0000_i1232" DrawAspect="Content" ObjectID="_1468075932" r:id="rId345">
            <o:LockedField>false</o:LockedField>
          </o:OLEObject>
        </w:object>
      </w:r>
      <w:r>
        <w:t xml:space="preserve"> is the average power of the ideal signal. For normalized modulation symbols </w:t>
      </w:r>
      <w:r>
        <w:rPr>
          <w:position w:val="-8"/>
        </w:rPr>
        <w:object>
          <v:shape id="_x0000_i1233" o:spt="75" type="#_x0000_t75" style="height:19.2pt;width:13.2pt;" o:ole="t" filled="t" o:preferrelative="t" stroked="f" coordsize="21600,21600">
            <v:path/>
            <v:fill on="t" color2="#000000" focussize="0,0"/>
            <v:stroke on="f" joinstyle="miter"/>
            <v:imagedata r:id="rId212" o:title=""/>
            <o:lock v:ext="edit" aspectratio="t"/>
            <w10:wrap type="none"/>
            <w10:anchorlock/>
          </v:shape>
          <o:OLEObject Type="Embed" ProgID="Equation.3" ShapeID="_x0000_i1233" DrawAspect="Content" ObjectID="_1468075933" r:id="rId346">
            <o:LockedField>false</o:LockedField>
          </o:OLEObject>
        </w:object>
      </w:r>
      <w:r>
        <w:t xml:space="preserve"> is equal to 1.</w:t>
      </w:r>
    </w:p>
    <w:p>
      <w:pPr>
        <w:pStyle w:val="111"/>
        <w:rPr>
          <w:lang w:eastAsia="zh-CN"/>
        </w:rPr>
      </w:pPr>
      <w:r>
        <w:tab/>
      </w:r>
      <w:r>
        <w:rPr>
          <w:position w:val="-12"/>
        </w:rPr>
        <w:object>
          <v:shape id="_x0000_i1234" o:spt="75" type="#_x0000_t75" style="height:19.2pt;width:22.2pt;" o:ole="t" filled="f" o:preferrelative="t" stroked="f" coordsize="21600,21600">
            <v:path/>
            <v:fill on="f" focussize="0,0"/>
            <v:stroke on="f" joinstyle="miter"/>
            <v:imagedata r:id="rId348" o:title=""/>
            <o:lock v:ext="edit" aspectratio="t"/>
            <w10:wrap type="none"/>
            <w10:anchorlock/>
          </v:shape>
          <o:OLEObject Type="Embed" ProgID="Equation.DSMT4" ShapeID="_x0000_i1234" DrawAspect="Content" ObjectID="_1468075934" r:id="rId347">
            <o:LockedField>false</o:LockedField>
          </o:OLEObject>
        </w:object>
      </w:r>
      <w:r>
        <w:rPr>
          <w:lang w:eastAsia="zh-CN"/>
        </w:rPr>
        <w:t xml:space="preserve"> is random access preamble sequence length.</w:t>
      </w:r>
    </w:p>
    <w:p>
      <w:r>
        <w:rPr>
          <w:rFonts w:eastAsia="MS Mincho"/>
        </w:rPr>
        <w:t xml:space="preserve">From the acquired samples 4 </w:t>
      </w:r>
      <w:r>
        <w:rPr>
          <w:rFonts w:eastAsia="Osaka"/>
        </w:rPr>
        <w:t>EVM</w:t>
      </w:r>
      <w:r>
        <w:rPr>
          <w:rFonts w:eastAsia="Osaka"/>
          <w:vertAlign w:val="subscript"/>
        </w:rPr>
        <w:t>PRACH</w:t>
      </w:r>
      <w:r>
        <w:rPr>
          <w:rFonts w:eastAsia="MS Mincho"/>
        </w:rPr>
        <w:t xml:space="preserve"> value can be derived, 2 values for the timing </w:t>
      </w:r>
      <w:r>
        <w:rPr>
          <w:position w:val="-3"/>
        </w:rPr>
        <w:object>
          <v:shape id="_x0000_i1235"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35" DrawAspect="Content" ObjectID="_1468075935" r:id="rId349">
            <o:LockedField>false</o:LockedField>
          </o:OLEObject>
        </w:object>
      </w:r>
      <w:r>
        <w:t xml:space="preserve"> –W/2 and 2 values for the timing </w:t>
      </w:r>
      <w:r>
        <w:rPr>
          <w:position w:val="-3"/>
        </w:rPr>
        <w:object>
          <v:shape id="_x0000_i1236"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36" DrawAspect="Content" ObjectID="_1468075936" r:id="rId350">
            <o:LockedField>false</o:LockedField>
          </o:OLEObject>
        </w:object>
      </w:r>
      <w:r>
        <w:t xml:space="preserve"> +W/2 (4 and 2 applies for format 0,1,2,3. 20 and 10 applies for format 4).</w:t>
      </w:r>
    </w:p>
    <w:p>
      <w:pPr>
        <w:pStyle w:val="5"/>
        <w:rPr>
          <w:szCs w:val="28"/>
          <w:vertAlign w:val="subscript"/>
        </w:rPr>
      </w:pPr>
      <w:bookmarkStart w:id="2293" w:name="_Toc18705"/>
      <w:bookmarkStart w:id="2294" w:name="_Toc2097"/>
      <w:bookmarkStart w:id="2295" w:name="_Toc31787"/>
      <w:bookmarkStart w:id="2296" w:name="_Toc29468"/>
      <w:bookmarkStart w:id="2297" w:name="_Toc21444"/>
      <w:r>
        <w:t>E.6.9.2</w:t>
      </w:r>
      <w:r>
        <w:tab/>
      </w:r>
      <w:r>
        <w:t>Averaged EVM</w:t>
      </w:r>
      <w:r>
        <w:rPr>
          <w:szCs w:val="28"/>
          <w:vertAlign w:val="subscript"/>
        </w:rPr>
        <w:t>PRACH</w:t>
      </w:r>
      <w:bookmarkEnd w:id="2293"/>
      <w:bookmarkEnd w:id="2294"/>
      <w:bookmarkEnd w:id="2295"/>
      <w:bookmarkEnd w:id="2296"/>
      <w:bookmarkEnd w:id="2297"/>
    </w:p>
    <w:p>
      <w:pPr>
        <w:rPr>
          <w:rFonts w:eastAsia="×–¾’©‘Ì"/>
        </w:rPr>
      </w:pPr>
      <w:r>
        <w:rPr>
          <w:rFonts w:eastAsia="×–¾’©‘Ì"/>
        </w:rPr>
        <w:t xml:space="preserve">The PRACH EVM, </w:t>
      </w:r>
      <w:r>
        <w:rPr>
          <w:rFonts w:eastAsia="×–¾’©‘Ì"/>
          <w:position w:val="-12"/>
        </w:rPr>
        <w:object>
          <v:shape id="_x0000_i1237" o:spt="75" type="#_x0000_t75" style="height:19.2pt;width:54.6pt;" o:ole="t" filled="f" o:preferrelative="t" stroked="f" coordsize="21600,21600">
            <v:path/>
            <v:fill on="f" focussize="0,0"/>
            <v:stroke on="f" joinstyle="miter"/>
            <v:imagedata r:id="rId352" o:title=""/>
            <o:lock v:ext="edit" aspectratio="t"/>
            <w10:wrap type="none"/>
            <w10:anchorlock/>
          </v:shape>
          <o:OLEObject Type="Embed" ProgID="Equation.3" ShapeID="_x0000_i1237" DrawAspect="Content" ObjectID="_1468075937" r:id="rId351">
            <o:LockedField>false</o:LockedField>
          </o:OLEObject>
        </w:object>
      </w:r>
      <w:r>
        <w:rPr>
          <w:rFonts w:eastAsia="×–¾’©‘Ì"/>
        </w:rPr>
        <w:t>, is averaged over two preamble sequence measurements for preamble formats 0, 1, 2, 3, and it is averaged over 10 preamble sequence measurements for preamble format 4.</w:t>
      </w:r>
    </w:p>
    <w:p>
      <w:pPr>
        <w:pStyle w:val="95"/>
        <w:rPr>
          <w:sz w:val="18"/>
        </w:rPr>
      </w:pPr>
      <w:r>
        <w:tab/>
      </w:r>
      <w:r>
        <w:rPr>
          <w:position w:val="-27"/>
        </w:rPr>
        <w:object>
          <v:shape id="_x0000_i1238" o:spt="75" type="#_x0000_t75" style="height:36.6pt;width:167.4pt;" o:ole="t" filled="t" o:preferrelative="t" stroked="f" coordsize="21600,21600">
            <v:path/>
            <v:fill on="t" color2="#000000" focussize="0,0"/>
            <v:stroke on="f" joinstyle="miter"/>
            <v:imagedata r:id="rId354" o:title=""/>
            <o:lock v:ext="edit" aspectratio="t"/>
            <w10:wrap type="none"/>
            <w10:anchorlock/>
          </v:shape>
          <o:OLEObject Type="Embed" ProgID="Equation.3" ShapeID="_x0000_i1238" DrawAspect="Content" ObjectID="_1468075938" r:id="rId353">
            <o:LockedField>false</o:LockedField>
          </o:OLEObject>
        </w:object>
      </w:r>
      <w:r>
        <w:rPr>
          <w:sz w:val="18"/>
        </w:rPr>
        <w:t xml:space="preserve"> for preamble formats 0,1,2,3</w:t>
      </w:r>
    </w:p>
    <w:p>
      <w:pPr>
        <w:pStyle w:val="95"/>
      </w:pPr>
      <w:r>
        <w:rPr>
          <w:position w:val="-30"/>
        </w:rPr>
        <w:object>
          <v:shape id="_x0000_i1239" o:spt="75" type="#_x0000_t75" style="height:36.6pt;width:172.2pt;" o:ole="t" filled="t" o:preferrelative="t" stroked="f" coordsize="21600,21600">
            <v:path/>
            <v:fill on="t" color2="#000000" focussize="0,0"/>
            <v:stroke on="f" joinstyle="miter"/>
            <v:imagedata r:id="rId356" o:title=""/>
            <o:lock v:ext="edit" aspectratio="t"/>
            <w10:wrap type="none"/>
            <w10:anchorlock/>
          </v:shape>
          <o:OLEObject Type="Embed" ProgID="Equation.3" ShapeID="_x0000_i1239" DrawAspect="Content" ObjectID="_1468075939" r:id="rId355">
            <o:LockedField>false</o:LockedField>
          </o:OLEObject>
        </w:object>
      </w:r>
      <w:r>
        <w:rPr>
          <w:sz w:val="18"/>
        </w:rPr>
        <w:t xml:space="preserve"> for preamble format 4</w:t>
      </w:r>
    </w:p>
    <w:p>
      <w:r>
        <w:rPr>
          <w:color w:val="000000"/>
        </w:rPr>
        <w:t>The averaging is done separately for timing¦</w:t>
      </w:r>
      <w:r>
        <w:t xml:space="preserve"> </w:t>
      </w:r>
      <w:r>
        <w:rPr>
          <w:position w:val="-3"/>
        </w:rPr>
        <w:object>
          <v:shape id="_x0000_i1240"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40" DrawAspect="Content" ObjectID="_1468075940" r:id="rId357">
            <o:LockedField>false</o:LockedField>
          </o:OLEObject>
        </w:object>
      </w:r>
      <w:r>
        <w:t xml:space="preserve"> –W/2 and </w:t>
      </w:r>
      <w:r>
        <w:rPr>
          <w:position w:val="-3"/>
        </w:rPr>
        <w:object>
          <v:shape id="_x0000_i1241"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41" DrawAspect="Content" ObjectID="_1468075941" r:id="rId358">
            <o:LockedField>false</o:LockedField>
          </o:OLEObject>
        </w:object>
      </w:r>
      <w:r>
        <w:t xml:space="preserve"> +W/2</w:t>
      </w:r>
      <w:r>
        <w:rPr>
          <w:color w:val="000000"/>
        </w:rPr>
        <w:t xml:space="preserve"> leading to</w:t>
      </w:r>
      <w:r>
        <w:rPr>
          <w:position w:val="-7"/>
        </w:rPr>
        <w:object>
          <v:shape id="_x0000_i1242" o:spt="75" type="#_x0000_t75" style="height:17.4pt;width:70.8pt;" o:ole="t" filled="t" o:preferrelative="t" stroked="f" coordsize="21600,21600">
            <v:path/>
            <v:fill on="t" color2="#000000" focussize="0,0"/>
            <v:stroke on="f" joinstyle="miter"/>
            <v:imagedata r:id="rId360" o:title=""/>
            <o:lock v:ext="edit" aspectratio="t"/>
            <w10:wrap type="none"/>
            <w10:anchorlock/>
          </v:shape>
          <o:OLEObject Type="Embed" ProgID="Equation.3" ShapeID="_x0000_i1242" DrawAspect="Content" ObjectID="_1468075942" r:id="rId359">
            <o:LockedField>false</o:LockedField>
          </o:OLEObject>
        </w:object>
      </w:r>
      <w:r>
        <w:rPr>
          <w:color w:val="000000"/>
        </w:rPr>
        <w:t xml:space="preserve"> and </w:t>
      </w:r>
      <w:r>
        <w:rPr>
          <w:position w:val="-8"/>
        </w:rPr>
        <w:object>
          <v:shape id="_x0000_i1243" o:spt="75" type="#_x0000_t75" style="height:19.2pt;width:74.4pt;" o:ole="t" filled="t" o:preferrelative="t" stroked="f" coordsize="21600,21600">
            <v:path/>
            <v:fill on="t" color2="#000000" focussize="0,0"/>
            <v:stroke on="f" joinstyle="miter"/>
            <v:imagedata r:id="rId362" o:title=""/>
            <o:lock v:ext="edit" aspectratio="t"/>
            <w10:wrap type="none"/>
            <w10:anchorlock/>
          </v:shape>
          <o:OLEObject Type="Embed" ProgID="Equation.3" ShapeID="_x0000_i1243" DrawAspect="Content" ObjectID="_1468075943" r:id="rId361">
            <o:LockedField>false</o:LockedField>
          </o:OLEObject>
        </w:object>
      </w:r>
    </w:p>
    <w:p>
      <w:pPr>
        <w:rPr>
          <w:color w:val="000000"/>
        </w:rPr>
      </w:pPr>
      <w:r>
        <w:rPr>
          <w:position w:val="-10"/>
        </w:rPr>
        <w:object>
          <v:shape id="_x0000_i1244" o:spt="75" type="#_x0000_t75" style="height:19.8pt;width:268.8pt;" o:ole="t" filled="t" o:preferrelative="t" stroked="f" coordsize="21600,21600">
            <v:path/>
            <v:fill on="t" color2="#000000" focussize="0,0"/>
            <v:stroke on="f" joinstyle="miter"/>
            <v:imagedata r:id="rId364" o:title=""/>
            <o:lock v:ext="edit" aspectratio="t"/>
            <w10:wrap type="none"/>
            <w10:anchorlock/>
          </v:shape>
          <o:OLEObject Type="Embed" ProgID="Equation.3" ShapeID="_x0000_i1244" DrawAspect="Content" ObjectID="_1468075944" r:id="rId363">
            <o:LockedField>false</o:LockedField>
          </o:OLEObject>
        </w:object>
      </w:r>
      <w:r>
        <w:rPr>
          <w:color w:val="000000"/>
        </w:rPr>
        <w:t>is compared against the test requirements.</w:t>
      </w:r>
    </w:p>
    <w:p>
      <w:pPr>
        <w:pStyle w:val="3"/>
        <w:rPr>
          <w:rFonts w:eastAsia="宋体"/>
          <w:vertAlign w:val="subscript"/>
          <w:lang w:val="en-US" w:eastAsia="zh-CN"/>
        </w:rPr>
      </w:pPr>
      <w:bookmarkStart w:id="2298" w:name="_Toc26256"/>
      <w:bookmarkStart w:id="2299" w:name="_Toc15168"/>
      <w:bookmarkStart w:id="2300" w:name="_Toc25951"/>
      <w:bookmarkStart w:id="2301" w:name="_Toc30840"/>
      <w:bookmarkStart w:id="2302" w:name="_Toc30165"/>
      <w:r>
        <w:t>E.7</w:t>
      </w:r>
      <w:r>
        <w:tab/>
      </w:r>
      <w:r>
        <w:rPr>
          <w:rFonts w:hint="eastAsia" w:eastAsia="宋体"/>
          <w:lang w:val="en-US" w:eastAsia="zh-CN"/>
        </w:rPr>
        <w:t>[FFS]</w:t>
      </w:r>
      <w:bookmarkEnd w:id="2298"/>
      <w:bookmarkEnd w:id="2299"/>
      <w:bookmarkEnd w:id="2300"/>
      <w:bookmarkEnd w:id="2301"/>
      <w:bookmarkEnd w:id="2302"/>
    </w:p>
    <w:p/>
    <w:p>
      <w:pPr>
        <w:pStyle w:val="3"/>
        <w:rPr>
          <w:vertAlign w:val="subscript"/>
        </w:rPr>
      </w:pPr>
      <w:bookmarkStart w:id="2303" w:name="_Toc9243"/>
      <w:bookmarkStart w:id="2304" w:name="_Toc31044"/>
      <w:bookmarkStart w:id="2305" w:name="_Toc11415"/>
      <w:bookmarkStart w:id="2306" w:name="_Toc20657"/>
      <w:bookmarkStart w:id="2307" w:name="_Toc17876"/>
      <w:r>
        <w:t>E.8</w:t>
      </w:r>
      <w:r>
        <w:tab/>
      </w:r>
      <w:r>
        <w:t>EVM for category NB1</w:t>
      </w:r>
      <w:bookmarkEnd w:id="2303"/>
      <w:bookmarkEnd w:id="2304"/>
      <w:bookmarkEnd w:id="2305"/>
      <w:bookmarkEnd w:id="2306"/>
      <w:bookmarkEnd w:id="2307"/>
    </w:p>
    <w:p>
      <w:pPr>
        <w:pStyle w:val="4"/>
      </w:pPr>
      <w:bookmarkStart w:id="2308" w:name="_Toc18620"/>
      <w:bookmarkStart w:id="2309" w:name="_Toc3081"/>
      <w:bookmarkStart w:id="2310" w:name="_Toc30651"/>
      <w:bookmarkStart w:id="2311" w:name="_Toc31757"/>
      <w:bookmarkStart w:id="2312" w:name="_Toc2677"/>
      <w:r>
        <w:t>E.8.1</w:t>
      </w:r>
      <w:r>
        <w:tab/>
      </w:r>
      <w:r>
        <w:t>Averaged EVM</w:t>
      </w:r>
      <w:bookmarkEnd w:id="2308"/>
      <w:bookmarkEnd w:id="2309"/>
      <w:bookmarkEnd w:id="2310"/>
      <w:bookmarkEnd w:id="2311"/>
      <w:bookmarkEnd w:id="2312"/>
    </w:p>
    <w:p>
      <w:pPr>
        <w:autoSpaceDE w:val="0"/>
        <w:autoSpaceDN w:val="0"/>
        <w:adjustRightInd w:val="0"/>
        <w:spacing w:after="0"/>
        <w:rPr>
          <w:lang w:eastAsia="de-DE"/>
        </w:rPr>
      </w:pPr>
      <w:r>
        <w:rPr>
          <w:lang w:eastAsia="de-DE"/>
        </w:rPr>
        <w:t>The general EVM for category NB1 is calculated using the procedure defined in Annex E.4 with the exception that the general EVM is averaged over basic EVM measurements for 240/</w:t>
      </w:r>
      <w:r>
        <w:rPr>
          <w:i/>
          <w:iCs/>
          <w:lang w:eastAsia="de-DE"/>
        </w:rPr>
        <w:t>L</w:t>
      </w:r>
      <w:r>
        <w:rPr>
          <w:i/>
          <w:iCs/>
          <w:sz w:val="13"/>
          <w:szCs w:val="13"/>
          <w:lang w:eastAsia="de-DE"/>
        </w:rPr>
        <w:t xml:space="preserve">Ctone </w:t>
      </w:r>
      <w:r>
        <w:rPr>
          <w:lang w:eastAsia="de-DE"/>
        </w:rPr>
        <w:t xml:space="preserve">slots in the time domain, where </w:t>
      </w:r>
      <w:r>
        <w:rPr>
          <w:i/>
          <w:iCs/>
          <w:lang w:eastAsia="de-DE"/>
        </w:rPr>
        <w:t>L</w:t>
      </w:r>
      <w:r>
        <w:rPr>
          <w:i/>
          <w:iCs/>
          <w:sz w:val="13"/>
          <w:szCs w:val="13"/>
          <w:lang w:eastAsia="de-DE"/>
        </w:rPr>
        <w:t xml:space="preserve">Ctone </w:t>
      </w:r>
      <w:r>
        <w:rPr>
          <w:lang w:eastAsia="de-DE"/>
        </w:rPr>
        <w:t>= {1, 3, 6, 12} is the number of subcarriers for the transmission.</w:t>
      </w:r>
    </w:p>
    <w:p>
      <w:pPr>
        <w:pStyle w:val="4"/>
      </w:pPr>
      <w:bookmarkStart w:id="2313" w:name="_Toc11162"/>
      <w:bookmarkStart w:id="2314" w:name="_Toc5161"/>
      <w:bookmarkStart w:id="2315" w:name="_Toc28216"/>
      <w:bookmarkStart w:id="2316" w:name="_Toc11894"/>
      <w:bookmarkStart w:id="2317" w:name="_Toc9950"/>
      <w:r>
        <w:t>E.8.2</w:t>
      </w:r>
      <w:r>
        <w:tab/>
      </w:r>
      <w:r>
        <w:t>EVM of Demodulation reference symbols (EVM</w:t>
      </w:r>
      <w:r>
        <w:rPr>
          <w:szCs w:val="28"/>
          <w:vertAlign w:val="subscript"/>
        </w:rPr>
        <w:t>DMRS</w:t>
      </w:r>
      <w:r>
        <w:t>)</w:t>
      </w:r>
      <w:bookmarkEnd w:id="2313"/>
      <w:bookmarkEnd w:id="2314"/>
      <w:bookmarkEnd w:id="2315"/>
      <w:bookmarkEnd w:id="2316"/>
      <w:bookmarkEnd w:id="2317"/>
    </w:p>
    <w:p>
      <w:pPr>
        <w:autoSpaceDE w:val="0"/>
        <w:autoSpaceDN w:val="0"/>
        <w:adjustRightInd w:val="0"/>
        <w:spacing w:after="0"/>
        <w:rPr>
          <w:i/>
          <w:iCs/>
          <w:sz w:val="13"/>
          <w:szCs w:val="13"/>
          <w:lang w:eastAsia="de-DE"/>
        </w:rPr>
      </w:pPr>
      <w:r>
        <w:rPr>
          <w:lang w:eastAsia="de-DE"/>
        </w:rPr>
        <w:t xml:space="preserve">The calculation of the EVM for the demodulation reference symbols for category NB1 follows the procedure defined for DMRS in Annex E.4 with the exception that the basic </w:t>
      </w:r>
      <w:r>
        <w:rPr>
          <w:i/>
          <w:iCs/>
          <w:lang w:eastAsia="de-DE"/>
        </w:rPr>
        <w:t xml:space="preserve">EVM </w:t>
      </w:r>
      <w:r>
        <w:rPr>
          <w:sz w:val="13"/>
          <w:szCs w:val="13"/>
          <w:lang w:eastAsia="de-DE"/>
        </w:rPr>
        <w:t xml:space="preserve">DMRS </w:t>
      </w:r>
      <w:r>
        <w:rPr>
          <w:lang w:eastAsia="de-DE"/>
        </w:rPr>
        <w:t xml:space="preserve">measurements are first averaged over 240/ </w:t>
      </w:r>
      <w:r>
        <w:rPr>
          <w:i/>
          <w:iCs/>
          <w:lang w:eastAsia="de-DE"/>
        </w:rPr>
        <w:t>L</w:t>
      </w:r>
      <w:r>
        <w:rPr>
          <w:i/>
          <w:iCs/>
          <w:sz w:val="13"/>
          <w:szCs w:val="13"/>
          <w:lang w:eastAsia="de-DE"/>
        </w:rPr>
        <w:t>Ctone</w:t>
      </w:r>
      <w:r>
        <w:rPr>
          <w:lang w:eastAsia="de-DE"/>
        </w:rPr>
        <w:t xml:space="preserve"> slots to obtain the intermediate average EVM.</w:t>
      </w:r>
    </w:p>
    <w:p>
      <w:pPr>
        <w:pStyle w:val="4"/>
      </w:pPr>
      <w:bookmarkStart w:id="2318" w:name="_Toc15240"/>
      <w:bookmarkStart w:id="2319" w:name="_Toc8932"/>
      <w:bookmarkStart w:id="2320" w:name="_Toc14922"/>
      <w:bookmarkStart w:id="2321" w:name="_Toc13864"/>
      <w:bookmarkStart w:id="2322" w:name="_Toc25758"/>
      <w:r>
        <w:t>E.8.3</w:t>
      </w:r>
      <w:r>
        <w:tab/>
      </w:r>
      <w:r>
        <w:t>EVM for NPRACH</w:t>
      </w:r>
      <w:bookmarkEnd w:id="2318"/>
      <w:bookmarkEnd w:id="2319"/>
      <w:bookmarkEnd w:id="2320"/>
      <w:bookmarkEnd w:id="2321"/>
      <w:bookmarkEnd w:id="2322"/>
    </w:p>
    <w:p>
      <w:pPr>
        <w:autoSpaceDE w:val="0"/>
        <w:autoSpaceDN w:val="0"/>
        <w:adjustRightInd w:val="0"/>
        <w:spacing w:after="0"/>
        <w:rPr>
          <w:lang w:eastAsia="de-DE"/>
        </w:rPr>
      </w:pPr>
      <w:r>
        <w:rPr>
          <w:lang w:eastAsia="de-DE"/>
        </w:rPr>
        <w:t xml:space="preserve">The calculation of the NPRACH EVM for both formats follows the procedure defined for PRACH in Annex E.6 with the exception that </w:t>
      </w:r>
      <w:r>
        <w:rPr>
          <w:i/>
          <w:iCs/>
          <w:lang w:eastAsia="de-DE"/>
        </w:rPr>
        <w:t xml:space="preserve">EVM </w:t>
      </w:r>
      <w:r>
        <w:rPr>
          <w:sz w:val="13"/>
          <w:szCs w:val="13"/>
          <w:lang w:eastAsia="de-DE"/>
        </w:rPr>
        <w:t xml:space="preserve">PRACH </w:t>
      </w:r>
      <w:r>
        <w:rPr>
          <w:lang w:eastAsia="de-DE"/>
        </w:rPr>
        <w:t>is averaged over 64 preamble measurements.</w:t>
      </w:r>
    </w:p>
    <w:p>
      <w:pPr>
        <w:pStyle w:val="4"/>
      </w:pPr>
      <w:bookmarkStart w:id="2323" w:name="_Toc8424"/>
      <w:bookmarkStart w:id="2324" w:name="_Toc12362"/>
      <w:bookmarkStart w:id="2325" w:name="_Toc29387"/>
      <w:bookmarkStart w:id="2326" w:name="_Toc26113"/>
      <w:bookmarkStart w:id="2327" w:name="_Toc27562"/>
      <w:r>
        <w:t>E.8.4</w:t>
      </w:r>
      <w:r>
        <w:tab/>
      </w:r>
      <w:r>
        <w:t>Window length for category NB1</w:t>
      </w:r>
      <w:bookmarkEnd w:id="2323"/>
      <w:bookmarkEnd w:id="2324"/>
      <w:bookmarkEnd w:id="2325"/>
      <w:bookmarkEnd w:id="2326"/>
      <w:bookmarkEnd w:id="2327"/>
    </w:p>
    <w:p>
      <w:pPr>
        <w:autoSpaceDE w:val="0"/>
        <w:autoSpaceDN w:val="0"/>
        <w:adjustRightInd w:val="0"/>
        <w:spacing w:after="0"/>
        <w:rPr>
          <w:lang w:eastAsia="de-DE"/>
        </w:rPr>
      </w:pPr>
      <w:r>
        <w:rPr>
          <w:lang w:eastAsia="de-DE"/>
        </w:rPr>
        <w:t>The EVM window length, W, for NPUSCH is set to 1 (in FFT samples where the nominal FFT size is 128 for 15 kHz sub-carrier spacing and 512 for 3.75 kHz sub-carrier spacing).</w:t>
      </w:r>
    </w:p>
    <w:p>
      <w:pPr>
        <w:autoSpaceDE w:val="0"/>
        <w:autoSpaceDN w:val="0"/>
        <w:adjustRightInd w:val="0"/>
        <w:spacing w:after="0"/>
      </w:pPr>
      <w:r>
        <w:rPr>
          <w:lang w:eastAsia="de-DE"/>
        </w:rPr>
        <w:t>The EVM window length, W, for NPRACH is set to 110 for preamble format 0 and to 494 for preamble format 1 (both in FFT samples where the nominal FFT size is 512).</w:t>
      </w:r>
    </w:p>
    <w:p>
      <w:pPr>
        <w:pStyle w:val="11"/>
      </w:pPr>
      <w:bookmarkStart w:id="2328" w:name="_Toc4381"/>
      <w:bookmarkStart w:id="2329" w:name="_Toc3947"/>
      <w:bookmarkStart w:id="2330" w:name="_Toc1710"/>
      <w:bookmarkStart w:id="2331" w:name="_Toc21264"/>
      <w:bookmarkStart w:id="2332" w:name="_Toc232582174"/>
      <w:bookmarkStart w:id="2333" w:name="_Toc15096"/>
      <w:r>
        <w:t>Annex F (normative):</w:t>
      </w:r>
      <w:r>
        <w:br w:type="textWrapping"/>
      </w:r>
      <w:r>
        <w:t>Measurement uncertainties and Test Tolerances</w:t>
      </w:r>
      <w:bookmarkEnd w:id="2328"/>
      <w:bookmarkEnd w:id="2329"/>
      <w:bookmarkEnd w:id="2330"/>
      <w:bookmarkEnd w:id="2331"/>
      <w:bookmarkEnd w:id="2332"/>
      <w:bookmarkEnd w:id="2333"/>
    </w:p>
    <w:p>
      <w:pPr>
        <w:pStyle w:val="3"/>
      </w:pPr>
      <w:bookmarkStart w:id="2334" w:name="_Toc23433"/>
      <w:bookmarkStart w:id="2335" w:name="_Toc6284"/>
      <w:bookmarkStart w:id="2336" w:name="_Toc9333"/>
      <w:bookmarkStart w:id="2337" w:name="_Toc232582175"/>
      <w:bookmarkStart w:id="2338" w:name="_Toc21151"/>
      <w:bookmarkStart w:id="2339" w:name="_Toc32370"/>
      <w:r>
        <w:t>F.1</w:t>
      </w:r>
      <w:r>
        <w:tab/>
      </w:r>
      <w:r>
        <w:t>Acceptable uncertainty of Test System (normative)</w:t>
      </w:r>
      <w:bookmarkEnd w:id="2334"/>
      <w:bookmarkEnd w:id="2335"/>
      <w:bookmarkEnd w:id="2336"/>
      <w:bookmarkEnd w:id="2337"/>
      <w:bookmarkEnd w:id="2338"/>
      <w:bookmarkEnd w:id="2339"/>
    </w:p>
    <w:p>
      <w:r>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r>
        <w:t>A confidence level of 95 % is the measurement uncertainty tolerance interval for a specific measurement that contains 95 % of the performance of a population of test equipment.</w:t>
      </w:r>
    </w:p>
    <w:p>
      <w:r>
        <w:t>For RF tests it should be noted that the uncertainties in clause F.1 apply to the Test System operating into a nominal 50 ohm load and do not include system effects due to mismatch between the DUT and the Test System.</w:t>
      </w:r>
    </w:p>
    <w:p>
      <w:bookmarkStart w:id="2340" w:name="_Toc232582176"/>
      <w:r>
        <w:rPr>
          <w:rFonts w:eastAsia="MS Mincho"/>
          <w:lang w:eastAsia="ja-JP"/>
        </w:rPr>
        <w:t>T</w:t>
      </w:r>
      <w:r>
        <w:t>he downlink signal uncertainties apply at each receiver antenna connector.</w:t>
      </w:r>
    </w:p>
    <w:p>
      <w:pPr>
        <w:pStyle w:val="4"/>
      </w:pPr>
      <w:bookmarkStart w:id="2341" w:name="_Toc21486"/>
      <w:bookmarkStart w:id="2342" w:name="_Toc14736"/>
      <w:bookmarkStart w:id="2343" w:name="_Toc17334"/>
      <w:bookmarkStart w:id="2344" w:name="_Toc3606"/>
      <w:bookmarkStart w:id="2345" w:name="_Toc17288"/>
      <w:r>
        <w:t>F.1.1</w:t>
      </w:r>
      <w:r>
        <w:tab/>
      </w:r>
      <w:r>
        <w:rPr>
          <w:lang w:eastAsia="sv-SE"/>
        </w:rPr>
        <w:t>Measurement of test environments</w:t>
      </w:r>
      <w:bookmarkEnd w:id="2340"/>
      <w:bookmarkEnd w:id="2341"/>
      <w:bookmarkEnd w:id="2342"/>
      <w:bookmarkEnd w:id="2343"/>
      <w:bookmarkEnd w:id="2344"/>
      <w:bookmarkEnd w:id="2345"/>
    </w:p>
    <w:p>
      <w:pPr>
        <w:rPr>
          <w:lang w:eastAsia="sv-SE"/>
        </w:rPr>
      </w:pPr>
      <w:r>
        <w:rPr>
          <w:lang w:eastAsia="sv-SE"/>
        </w:rPr>
        <w:t xml:space="preserve">The measurement accuracy of the </w:t>
      </w:r>
      <w:r>
        <w:rPr>
          <w:lang w:eastAsia="ja-JP"/>
        </w:rPr>
        <w:t>UE</w:t>
      </w:r>
      <w:r>
        <w:rPr>
          <w:lang w:eastAsia="sv-SE"/>
        </w:rPr>
        <w:t xml:space="preserve"> test environments defined in </w:t>
      </w:r>
      <w:r>
        <w:rPr>
          <w:lang w:eastAsia="ja-JP"/>
        </w:rPr>
        <w:t>TS 36.508 subclause 4.1</w:t>
      </w:r>
      <w:r>
        <w:rPr>
          <w:lang w:eastAsia="sv-SE"/>
        </w:rPr>
        <w:t>, Test environments shall be.</w:t>
      </w:r>
    </w:p>
    <w:p>
      <w:pPr>
        <w:pStyle w:val="111"/>
        <w:rPr>
          <w:snapToGrid w:val="0"/>
          <w:lang w:eastAsia="sv-SE"/>
        </w:rPr>
      </w:pPr>
      <w:r>
        <w:rPr>
          <w:snapToGrid w:val="0"/>
          <w:lang w:eastAsia="sv-SE"/>
        </w:rPr>
        <w:t>-</w:t>
      </w:r>
      <w:r>
        <w:rPr>
          <w:snapToGrid w:val="0"/>
          <w:lang w:eastAsia="sv-SE"/>
        </w:rPr>
        <w:tab/>
      </w:r>
      <w:r>
        <w:rPr>
          <w:snapToGrid w:val="0"/>
          <w:lang w:eastAsia="sv-SE"/>
        </w:rPr>
        <w:t>Pressure</w:t>
      </w:r>
      <w:r>
        <w:rPr>
          <w:snapToGrid w:val="0"/>
          <w:lang w:eastAsia="sv-SE"/>
        </w:rPr>
        <w:tab/>
      </w:r>
      <w:r>
        <w:rPr>
          <w:snapToGrid w:val="0"/>
          <w:lang w:eastAsia="sv-SE"/>
        </w:rPr>
        <w:tab/>
      </w:r>
      <w:r>
        <w:rPr>
          <w:snapToGrid w:val="0"/>
          <w:lang w:eastAsia="sv-SE"/>
        </w:rPr>
        <w:tab/>
      </w:r>
      <w:r>
        <w:rPr>
          <w:snapToGrid w:val="0"/>
          <w:lang w:eastAsia="sv-SE"/>
        </w:rPr>
        <w:tab/>
      </w:r>
      <w:r>
        <w:rPr>
          <w:rFonts w:ascii="Symbol" w:hAnsi="Symbol"/>
          <w:snapToGrid w:val="0"/>
          <w:lang w:eastAsia="sv-SE"/>
        </w:rPr>
        <w:t></w:t>
      </w:r>
      <w:r>
        <w:rPr>
          <w:snapToGrid w:val="0"/>
          <w:lang w:eastAsia="sv-SE"/>
        </w:rPr>
        <w:t>5 kPa.</w:t>
      </w:r>
    </w:p>
    <w:p>
      <w:pPr>
        <w:pStyle w:val="111"/>
        <w:rPr>
          <w:snapToGrid w:val="0"/>
          <w:lang w:eastAsia="sv-SE"/>
        </w:rPr>
      </w:pPr>
      <w:r>
        <w:rPr>
          <w:snapToGrid w:val="0"/>
          <w:lang w:eastAsia="sv-SE"/>
        </w:rPr>
        <w:t>-</w:t>
      </w:r>
      <w:r>
        <w:rPr>
          <w:snapToGrid w:val="0"/>
          <w:lang w:eastAsia="sv-SE"/>
        </w:rPr>
        <w:tab/>
      </w:r>
      <w:r>
        <w:rPr>
          <w:snapToGrid w:val="0"/>
        </w:rPr>
        <w:t>Temperature</w:t>
      </w:r>
      <w:r>
        <w:rPr>
          <w:snapToGrid w:val="0"/>
        </w:rPr>
        <w:tab/>
      </w:r>
      <w:r>
        <w:rPr>
          <w:snapToGrid w:val="0"/>
        </w:rPr>
        <w:tab/>
      </w:r>
      <w:r>
        <w:rPr>
          <w:snapToGrid w:val="0"/>
        </w:rPr>
        <w:tab/>
      </w:r>
      <w:r>
        <w:rPr>
          <w:rFonts w:ascii="Symbol" w:hAnsi="Symbol"/>
          <w:snapToGrid w:val="0"/>
        </w:rPr>
        <w:t></w:t>
      </w:r>
      <w:r>
        <w:rPr>
          <w:snapToGrid w:val="0"/>
        </w:rPr>
        <w:t>2 degrees.</w:t>
      </w:r>
    </w:p>
    <w:p>
      <w:pPr>
        <w:pStyle w:val="111"/>
        <w:rPr>
          <w:snapToGrid w:val="0"/>
          <w:lang w:eastAsia="sv-SE"/>
        </w:rPr>
      </w:pPr>
      <w:r>
        <w:rPr>
          <w:snapToGrid w:val="0"/>
          <w:lang w:eastAsia="sv-SE"/>
        </w:rPr>
        <w:t>-</w:t>
      </w:r>
      <w:r>
        <w:rPr>
          <w:snapToGrid w:val="0"/>
          <w:lang w:eastAsia="sv-SE"/>
        </w:rPr>
        <w:tab/>
      </w:r>
      <w:r>
        <w:rPr>
          <w:snapToGrid w:val="0"/>
        </w:rPr>
        <w:t>Relative Humidity</w:t>
      </w:r>
      <w:r>
        <w:rPr>
          <w:snapToGrid w:val="0"/>
        </w:rPr>
        <w:tab/>
      </w:r>
      <w:r>
        <w:rPr>
          <w:rFonts w:ascii="Symbol" w:hAnsi="Symbol"/>
          <w:snapToGrid w:val="0"/>
        </w:rPr>
        <w:t></w:t>
      </w:r>
      <w:r>
        <w:rPr>
          <w:snapToGrid w:val="0"/>
        </w:rPr>
        <w:t>5 %.</w:t>
      </w:r>
    </w:p>
    <w:p>
      <w:pPr>
        <w:pStyle w:val="111"/>
        <w:rPr>
          <w:snapToGrid w:val="0"/>
          <w:lang w:eastAsia="sv-SE"/>
        </w:rPr>
      </w:pPr>
      <w:r>
        <w:rPr>
          <w:snapToGrid w:val="0"/>
          <w:lang w:eastAsia="sv-SE"/>
        </w:rPr>
        <w:t>-</w:t>
      </w:r>
      <w:r>
        <w:rPr>
          <w:snapToGrid w:val="0"/>
          <w:lang w:eastAsia="sv-SE"/>
        </w:rPr>
        <w:tab/>
      </w:r>
      <w:r>
        <w:rPr>
          <w:snapToGrid w:val="0"/>
        </w:rPr>
        <w:t>DC Voltage</w:t>
      </w:r>
      <w:r>
        <w:rPr>
          <w:snapToGrid w:val="0"/>
        </w:rPr>
        <w:tab/>
      </w:r>
      <w:r>
        <w:rPr>
          <w:snapToGrid w:val="0"/>
        </w:rPr>
        <w:tab/>
      </w:r>
      <w:r>
        <w:rPr>
          <w:snapToGrid w:val="0"/>
        </w:rPr>
        <w:tab/>
      </w:r>
      <w:r>
        <w:rPr>
          <w:rFonts w:ascii="Symbol" w:hAnsi="Symbol"/>
          <w:snapToGrid w:val="0"/>
        </w:rPr>
        <w:t></w:t>
      </w:r>
      <w:r>
        <w:rPr>
          <w:snapToGrid w:val="0"/>
        </w:rPr>
        <w:t>1,0 %.</w:t>
      </w:r>
    </w:p>
    <w:p>
      <w:pPr>
        <w:pStyle w:val="111"/>
        <w:rPr>
          <w:snapToGrid w:val="0"/>
          <w:lang w:eastAsia="sv-SE"/>
        </w:rPr>
      </w:pPr>
      <w:r>
        <w:rPr>
          <w:snapToGrid w:val="0"/>
          <w:lang w:eastAsia="sv-SE"/>
        </w:rPr>
        <w:t>-</w:t>
      </w:r>
      <w:r>
        <w:rPr>
          <w:snapToGrid w:val="0"/>
          <w:lang w:eastAsia="sv-SE"/>
        </w:rPr>
        <w:tab/>
      </w:r>
      <w:r>
        <w:rPr>
          <w:snapToGrid w:val="0"/>
        </w:rPr>
        <w:t>AC Voltage</w:t>
      </w:r>
      <w:r>
        <w:rPr>
          <w:snapToGrid w:val="0"/>
        </w:rPr>
        <w:tab/>
      </w:r>
      <w:r>
        <w:rPr>
          <w:snapToGrid w:val="0"/>
        </w:rPr>
        <w:tab/>
      </w:r>
      <w:r>
        <w:rPr>
          <w:snapToGrid w:val="0"/>
        </w:rPr>
        <w:tab/>
      </w:r>
      <w:r>
        <w:rPr>
          <w:rFonts w:ascii="Symbol" w:hAnsi="Symbol"/>
          <w:snapToGrid w:val="0"/>
        </w:rPr>
        <w:t></w:t>
      </w:r>
      <w:r>
        <w:rPr>
          <w:snapToGrid w:val="0"/>
        </w:rPr>
        <w:t>1,5 %.</w:t>
      </w:r>
    </w:p>
    <w:p>
      <w:pPr>
        <w:pStyle w:val="111"/>
        <w:rPr>
          <w:snapToGrid w:val="0"/>
          <w:lang w:eastAsia="sv-SE"/>
        </w:rPr>
      </w:pPr>
      <w:r>
        <w:rPr>
          <w:snapToGrid w:val="0"/>
          <w:lang w:eastAsia="sv-SE"/>
        </w:rPr>
        <w:t>-</w:t>
      </w:r>
      <w:r>
        <w:rPr>
          <w:snapToGrid w:val="0"/>
          <w:lang w:eastAsia="sv-SE"/>
        </w:rPr>
        <w:tab/>
      </w:r>
      <w:r>
        <w:rPr>
          <w:snapToGrid w:val="0"/>
        </w:rPr>
        <w:t>Vibration</w:t>
      </w:r>
      <w:r>
        <w:rPr>
          <w:snapToGrid w:val="0"/>
        </w:rPr>
        <w:tab/>
      </w:r>
      <w:r>
        <w:rPr>
          <w:snapToGrid w:val="0"/>
        </w:rPr>
        <w:tab/>
      </w:r>
      <w:r>
        <w:rPr>
          <w:snapToGrid w:val="0"/>
        </w:rPr>
        <w:tab/>
      </w:r>
      <w:r>
        <w:rPr>
          <w:snapToGrid w:val="0"/>
        </w:rPr>
        <w:tab/>
      </w:r>
      <w:r>
        <w:rPr>
          <w:snapToGrid w:val="0"/>
        </w:rPr>
        <w:t>10 %.</w:t>
      </w:r>
    </w:p>
    <w:p>
      <w:pPr>
        <w:pStyle w:val="111"/>
      </w:pPr>
      <w:r>
        <w:rPr>
          <w:snapToGrid w:val="0"/>
          <w:lang w:eastAsia="sv-SE"/>
        </w:rPr>
        <w:t>-</w:t>
      </w:r>
      <w:r>
        <w:rPr>
          <w:snapToGrid w:val="0"/>
          <w:lang w:eastAsia="sv-SE"/>
        </w:rPr>
        <w:tab/>
      </w:r>
      <w:r>
        <w:rPr>
          <w:snapToGrid w:val="0"/>
        </w:rPr>
        <w:t>Vibration frequency</w:t>
      </w:r>
      <w:r>
        <w:rPr>
          <w:snapToGrid w:val="0"/>
        </w:rPr>
        <w:tab/>
      </w:r>
      <w:r>
        <w:rPr>
          <w:snapToGrid w:val="0"/>
        </w:rPr>
        <w:t>0,1 Hz.</w:t>
      </w:r>
    </w:p>
    <w:p>
      <w:r>
        <w:t>The above values shall apply unless the test environment is otherwise controlled and the specification for the control of the test environment specifies the uncertainty for the parameter.</w:t>
      </w:r>
    </w:p>
    <w:p>
      <w:pPr>
        <w:pStyle w:val="4"/>
      </w:pPr>
      <w:bookmarkStart w:id="2346" w:name="_Toc12141"/>
      <w:bookmarkStart w:id="2347" w:name="_Toc18630"/>
      <w:bookmarkStart w:id="2348" w:name="_Toc295"/>
      <w:bookmarkStart w:id="2349" w:name="_Toc232582177"/>
      <w:bookmarkStart w:id="2350" w:name="_Toc14014"/>
      <w:bookmarkStart w:id="2351" w:name="_Toc21787"/>
      <w:r>
        <w:t>F.1.2</w:t>
      </w:r>
      <w:r>
        <w:tab/>
      </w:r>
      <w:r>
        <w:rPr>
          <w:lang w:eastAsia="sv-SE"/>
        </w:rPr>
        <w:t xml:space="preserve">Measurement of </w:t>
      </w:r>
      <w:r>
        <w:t>transmitter</w:t>
      </w:r>
      <w:bookmarkEnd w:id="2346"/>
      <w:bookmarkEnd w:id="2347"/>
      <w:bookmarkEnd w:id="2348"/>
      <w:bookmarkEnd w:id="2349"/>
      <w:bookmarkEnd w:id="2350"/>
      <w:bookmarkEnd w:id="2351"/>
    </w:p>
    <w:p>
      <w:pPr>
        <w:pStyle w:val="113"/>
      </w:pPr>
      <w:r>
        <w:t>Table F.1.2</w:t>
      </w:r>
      <w:r>
        <w:rPr>
          <w:lang w:eastAsia="ja-JP"/>
        </w:rPr>
        <w:t>-1</w:t>
      </w:r>
      <w:r>
        <w:t>: Maximum Test System Uncertainty for transmitter tests</w:t>
      </w:r>
    </w:p>
    <w:tbl>
      <w:tblPr>
        <w:tblStyle w:val="89"/>
        <w:tblW w:w="97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452"/>
        <w:gridCol w:w="4560"/>
        <w:gridCol w:w="27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rPr>
                <w:lang w:eastAsia="zh-CN"/>
              </w:rPr>
            </w:pPr>
            <w:r>
              <w:rPr>
                <w:lang w:eastAsia="zh-CN"/>
              </w:rPr>
              <w:t>Subclause</w:t>
            </w:r>
          </w:p>
        </w:tc>
        <w:tc>
          <w:tcPr>
            <w:tcW w:w="4560" w:type="dxa"/>
          </w:tcPr>
          <w:p>
            <w:pPr>
              <w:pStyle w:val="104"/>
              <w:rPr>
                <w:lang w:eastAsia="zh-CN"/>
              </w:rPr>
            </w:pPr>
            <w:r>
              <w:rPr>
                <w:lang w:eastAsia="zh-CN"/>
              </w:rPr>
              <w:t>Maximum Test System Uncertainty</w:t>
            </w:r>
          </w:p>
        </w:tc>
        <w:tc>
          <w:tcPr>
            <w:tcW w:w="2735" w:type="dxa"/>
          </w:tcPr>
          <w:p>
            <w:pPr>
              <w:pStyle w:val="104"/>
              <w:rPr>
                <w:lang w:eastAsia="zh-CN"/>
              </w:rPr>
            </w:pPr>
            <w:r>
              <w:rPr>
                <w:lang w:eastAsia="zh-CN"/>
              </w:rP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lang w:eastAsia="zh-CN"/>
              </w:rPr>
            </w:pPr>
            <w:r>
              <w:rPr>
                <w:b w:val="0"/>
                <w:bCs/>
              </w:rPr>
              <w:t>6.2A.1</w:t>
            </w:r>
            <w:r>
              <w:rPr>
                <w:b w:val="0"/>
                <w:bCs/>
              </w:rPr>
              <w:tab/>
            </w:r>
            <w:r>
              <w:rPr>
                <w:b w:val="0"/>
                <w:bCs/>
                <w:lang w:eastAsia="zh-CN"/>
              </w:rPr>
              <w:t xml:space="preserve">UE </w:t>
            </w:r>
            <w:r>
              <w:rPr>
                <w:b w:val="0"/>
                <w:bCs/>
              </w:rPr>
              <w:t>maximum output power for category M1</w:t>
            </w:r>
          </w:p>
        </w:tc>
        <w:tc>
          <w:tcPr>
            <w:tcW w:w="4560" w:type="dxa"/>
          </w:tcPr>
          <w:p>
            <w:pPr>
              <w:pStyle w:val="104"/>
              <w:jc w:val="left"/>
              <w:rPr>
                <w:rFonts w:cs="v4.2.0"/>
                <w:b w:val="0"/>
                <w:bCs/>
                <w:lang w:eastAsia="zh-CN"/>
              </w:rPr>
            </w:pPr>
            <w:r>
              <w:rPr>
                <w:rFonts w:cs="v4.2.0"/>
                <w:b w:val="0"/>
                <w:bCs/>
                <w:lang w:eastAsia="ja-JP"/>
              </w:rPr>
              <w:t xml:space="preserve">Same as clause </w:t>
            </w:r>
            <w:r>
              <w:rPr>
                <w:b w:val="0"/>
                <w:bCs/>
              </w:rPr>
              <w:t xml:space="preserve">6.2.2EA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735" w:type="dxa"/>
          </w:tcPr>
          <w:p>
            <w:pPr>
              <w:pStyle w:val="104"/>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lang w:eastAsia="zh-CN"/>
              </w:rPr>
            </w:pPr>
            <w:r>
              <w:rPr>
                <w:b w:val="0"/>
                <w:bCs/>
              </w:rPr>
              <w:t>6.2A.2</w:t>
            </w:r>
            <w:r>
              <w:rPr>
                <w:b w:val="0"/>
                <w:bCs/>
                <w:lang w:eastAsia="zh-CN"/>
              </w:rPr>
              <w:tab/>
            </w:r>
            <w:r>
              <w:rPr>
                <w:b w:val="0"/>
                <w:bCs/>
              </w:rPr>
              <w:t>UE m</w:t>
            </w:r>
            <w:r>
              <w:rPr>
                <w:b w:val="0"/>
                <w:bCs/>
                <w:lang w:eastAsia="zh-CN"/>
              </w:rPr>
              <w:t xml:space="preserve">aximum output power reduction </w:t>
            </w:r>
            <w:r>
              <w:rPr>
                <w:b w:val="0"/>
                <w:bCs/>
              </w:rPr>
              <w:t xml:space="preserve">for </w:t>
            </w:r>
            <w:r>
              <w:rPr>
                <w:b w:val="0"/>
                <w:bCs/>
                <w:lang w:eastAsia="zh-CN"/>
              </w:rPr>
              <w:t>category M1</w:t>
            </w:r>
          </w:p>
        </w:tc>
        <w:tc>
          <w:tcPr>
            <w:tcW w:w="4560" w:type="dxa"/>
          </w:tcPr>
          <w:p>
            <w:pPr>
              <w:pStyle w:val="104"/>
              <w:jc w:val="left"/>
              <w:rPr>
                <w:b w:val="0"/>
                <w:bCs/>
                <w:lang w:eastAsia="zh-CN"/>
              </w:rPr>
            </w:pPr>
            <w:r>
              <w:rPr>
                <w:rFonts w:cs="v4.2.0"/>
                <w:b w:val="0"/>
                <w:bCs/>
                <w:lang w:eastAsia="ja-JP"/>
              </w:rPr>
              <w:t xml:space="preserve">Same as clause </w:t>
            </w:r>
            <w:r>
              <w:rPr>
                <w:rFonts w:cs="v4.2.0"/>
                <w:b w:val="0"/>
                <w:bCs/>
              </w:rPr>
              <w:t xml:space="preserve">6.2.3EA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lang w:eastAsia="zh-CN"/>
              </w:rPr>
            </w:pPr>
            <w:r>
              <w:rPr>
                <w:b w:val="0"/>
                <w:bCs/>
              </w:rPr>
              <w:t>6.2A.3 UE additional maximum output power reduction for category M1 UE</w:t>
            </w:r>
          </w:p>
        </w:tc>
        <w:tc>
          <w:tcPr>
            <w:tcW w:w="4560" w:type="dxa"/>
          </w:tcPr>
          <w:p>
            <w:pPr>
              <w:pStyle w:val="104"/>
              <w:jc w:val="left"/>
              <w:rPr>
                <w:b w:val="0"/>
                <w:bCs/>
                <w:lang w:val="en-US" w:eastAsia="zh-CN"/>
              </w:rPr>
            </w:pPr>
            <w:r>
              <w:rPr>
                <w:rFonts w:cs="v4.2.0"/>
                <w:b w:val="0"/>
                <w:bCs/>
                <w:lang w:eastAsia="ja-JP"/>
              </w:rPr>
              <w:t xml:space="preserve">Same as clause </w:t>
            </w:r>
            <w:r>
              <w:rPr>
                <w:b w:val="0"/>
                <w:bCs/>
              </w:rPr>
              <w:t>6.2.4</w:t>
            </w:r>
            <w:r>
              <w:rPr>
                <w:b w:val="0"/>
                <w:bCs/>
                <w:lang w:eastAsia="zh-CN"/>
              </w:rPr>
              <w:t>EA</w:t>
            </w:r>
            <w:r>
              <w:rPr>
                <w:b w:val="0"/>
                <w:bCs/>
              </w:rPr>
              <w:t xml:space="preserve">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6.2A.4 Configured transmitted Power for category M1</w:t>
            </w:r>
          </w:p>
        </w:tc>
        <w:tc>
          <w:tcPr>
            <w:tcW w:w="4560" w:type="dxa"/>
          </w:tcPr>
          <w:p>
            <w:pPr>
              <w:pStyle w:val="104"/>
              <w:jc w:val="left"/>
              <w:rPr>
                <w:b w:val="0"/>
                <w:bCs/>
                <w:lang w:eastAsia="zh-CN"/>
              </w:rPr>
            </w:pPr>
            <w:r>
              <w:rPr>
                <w:rFonts w:cs="v4.2.0"/>
                <w:b w:val="0"/>
                <w:bCs/>
                <w:lang w:eastAsia="ja-JP"/>
              </w:rPr>
              <w:t xml:space="preserve">Same as clause </w:t>
            </w:r>
            <w:r>
              <w:rPr>
                <w:b w:val="0"/>
                <w:bCs/>
              </w:rPr>
              <w:t xml:space="preserve">6.2.5EA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6.2B.1</w:t>
            </w:r>
            <w:r>
              <w:rPr>
                <w:b w:val="0"/>
                <w:bCs/>
              </w:rPr>
              <w:tab/>
            </w:r>
            <w:r>
              <w:rPr>
                <w:b w:val="0"/>
                <w:bCs/>
                <w:lang w:eastAsia="zh-CN"/>
              </w:rPr>
              <w:t xml:space="preserve">UE </w:t>
            </w:r>
            <w:r>
              <w:rPr>
                <w:b w:val="0"/>
                <w:bCs/>
              </w:rPr>
              <w:t>maximum output power for category NB1 and NB2</w:t>
            </w:r>
          </w:p>
        </w:tc>
        <w:tc>
          <w:tcPr>
            <w:tcW w:w="4560" w:type="dxa"/>
          </w:tcPr>
          <w:p>
            <w:pPr>
              <w:pStyle w:val="104"/>
              <w:jc w:val="left"/>
              <w:rPr>
                <w:rFonts w:cs="Arial"/>
                <w:b w:val="0"/>
                <w:bCs/>
                <w:lang w:eastAsia="ja-JP"/>
              </w:rPr>
            </w:pPr>
            <w:r>
              <w:rPr>
                <w:rFonts w:cs="v4.2.0"/>
                <w:b w:val="0"/>
                <w:bCs/>
                <w:lang w:eastAsia="ja-JP"/>
              </w:rPr>
              <w:t>Same as clause 6.2.2F 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6.2B.2</w:t>
            </w:r>
            <w:r>
              <w:rPr>
                <w:b w:val="0"/>
                <w:bCs/>
                <w:lang w:eastAsia="zh-CN"/>
              </w:rPr>
              <w:tab/>
            </w:r>
            <w:r>
              <w:rPr>
                <w:b w:val="0"/>
                <w:bCs/>
              </w:rPr>
              <w:t>UE m</w:t>
            </w:r>
            <w:r>
              <w:rPr>
                <w:b w:val="0"/>
                <w:bCs/>
                <w:lang w:eastAsia="zh-CN"/>
              </w:rPr>
              <w:t xml:space="preserve">aximum output power reduction </w:t>
            </w:r>
            <w:r>
              <w:rPr>
                <w:b w:val="0"/>
                <w:bCs/>
              </w:rPr>
              <w:t xml:space="preserve">for </w:t>
            </w:r>
            <w:r>
              <w:rPr>
                <w:b w:val="0"/>
                <w:bCs/>
                <w:lang w:eastAsia="zh-CN"/>
              </w:rPr>
              <w:t>category NB1 and NB2</w:t>
            </w:r>
          </w:p>
        </w:tc>
        <w:tc>
          <w:tcPr>
            <w:tcW w:w="4560" w:type="dxa"/>
          </w:tcPr>
          <w:p>
            <w:pPr>
              <w:pStyle w:val="104"/>
              <w:jc w:val="left"/>
              <w:rPr>
                <w:rFonts w:cs="Arial"/>
                <w:b w:val="0"/>
                <w:bCs/>
                <w:lang w:val="en-US" w:eastAsia="ja-JP"/>
              </w:rPr>
            </w:pPr>
            <w:r>
              <w:rPr>
                <w:rFonts w:cs="v4.2.0"/>
                <w:b w:val="0"/>
                <w:bCs/>
                <w:lang w:eastAsia="ja-JP"/>
              </w:rPr>
              <w:t>Same as clause 6.2.3F in TS 36.521-1[14]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6.2B.3</w:t>
            </w:r>
            <w:r>
              <w:rPr>
                <w:b w:val="0"/>
                <w:bCs/>
              </w:rPr>
              <w:tab/>
            </w:r>
            <w:r>
              <w:rPr>
                <w:b w:val="0"/>
                <w:bCs/>
              </w:rPr>
              <w:t>UE additional maximum output power reduction for category NB1 and NB2 UE</w:t>
            </w:r>
          </w:p>
        </w:tc>
        <w:tc>
          <w:tcPr>
            <w:tcW w:w="4560" w:type="dxa"/>
          </w:tcPr>
          <w:p>
            <w:pPr>
              <w:pStyle w:val="104"/>
              <w:jc w:val="left"/>
              <w:rPr>
                <w:rFonts w:eastAsia="宋体" w:cs="Arial"/>
                <w:b w:val="0"/>
                <w:bCs/>
                <w:lang w:val="en-US" w:eastAsia="zh-CN"/>
              </w:rPr>
            </w:pPr>
            <w:r>
              <w:rPr>
                <w:rFonts w:cs="v4.2.0"/>
                <w:b w:val="0"/>
                <w:bCs/>
                <w:lang w:eastAsia="ja-JP"/>
              </w:rPr>
              <w:t>Same as clause 6.2.3</w:t>
            </w:r>
            <w:r>
              <w:rPr>
                <w:rFonts w:hint="eastAsia" w:cs="v4.2.0"/>
                <w:b w:val="0"/>
                <w:bCs/>
                <w:lang w:val="en-US" w:eastAsia="zh-CN"/>
              </w:rPr>
              <w:t>F</w:t>
            </w:r>
            <w:r>
              <w:rPr>
                <w:rFonts w:cs="v4.2.0"/>
                <w:b w:val="0"/>
                <w:bCs/>
                <w:lang w:eastAsia="ja-JP"/>
              </w:rPr>
              <w:t xml:space="preserve"> in TS 36.521-1</w:t>
            </w:r>
            <w:r>
              <w:rPr>
                <w:rFonts w:hint="eastAsia" w:cs="v4.2.0"/>
                <w:b w:val="0"/>
                <w:bCs/>
                <w:lang w:val="en-US" w:eastAsia="zh-CN"/>
              </w:rPr>
              <w:t xml:space="preserve"> </w:t>
            </w:r>
            <w:r>
              <w:rPr>
                <w:rFonts w:cs="v4.2.0"/>
                <w:b w:val="0"/>
                <w:bCs/>
                <w:lang w:eastAsia="ja-JP"/>
              </w:rPr>
              <w:t>[14]</w:t>
            </w:r>
            <w:r>
              <w:rPr>
                <w:rFonts w:hint="eastAsia" w:eastAsia="宋体" w:cs="v4.2.0"/>
                <w:b w:val="0"/>
                <w:bCs/>
                <w:lang w:val="en-US" w:eastAsia="zh-CN"/>
              </w:rPr>
              <w:t xml:space="preserve"> for FDD band with </w:t>
            </w:r>
            <w:r>
              <w:rPr>
                <w:rFonts w:eastAsia="宋体" w:cs="v4.2.0"/>
                <w:b w:val="0"/>
                <w:bCs/>
                <w:lang w:val="en-US" w:eastAsia="zh-CN"/>
              </w:rPr>
              <w:t>“</w:t>
            </w:r>
            <w:r>
              <w:rPr>
                <w:rFonts w:cs="v4.2.0"/>
                <w:b w:val="0"/>
                <w:bCs/>
                <w:lang w:eastAsia="ja-JP"/>
              </w:rPr>
              <w:t xml:space="preserve">f </w:t>
            </w:r>
            <w:r>
              <w:rPr>
                <w:rFonts w:cs="Arial"/>
                <w:b w:val="0"/>
                <w:bCs/>
                <w:lang w:eastAsia="ja-JP"/>
              </w:rPr>
              <w:t>≤</w:t>
            </w:r>
            <w:r>
              <w:rPr>
                <w:rFonts w:cs="v4.2.0"/>
                <w:b w:val="0"/>
                <w:bCs/>
                <w:lang w:eastAsia="ja-JP"/>
              </w:rPr>
              <w:t xml:space="preserve"> 3.0GHz</w:t>
            </w:r>
            <w:r>
              <w:rPr>
                <w:rFonts w:eastAsia="宋体" w:cs="v4.2.0"/>
                <w:b w:val="0"/>
                <w:bCs/>
                <w:lang w:val="en-US" w:eastAsia="zh-CN"/>
              </w:rPr>
              <w:t>”</w:t>
            </w:r>
            <w:r>
              <w:rPr>
                <w:rFonts w:hint="eastAsia"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6.2B.4</w:t>
            </w:r>
            <w:r>
              <w:rPr>
                <w:b w:val="0"/>
                <w:bCs/>
              </w:rPr>
              <w:tab/>
            </w:r>
            <w:r>
              <w:rPr>
                <w:b w:val="0"/>
                <w:bCs/>
              </w:rPr>
              <w:t>Configured transmitted Power for category NB1 and NB2</w:t>
            </w:r>
          </w:p>
        </w:tc>
        <w:tc>
          <w:tcPr>
            <w:tcW w:w="4560" w:type="dxa"/>
          </w:tcPr>
          <w:p>
            <w:pPr>
              <w:pStyle w:val="104"/>
              <w:jc w:val="left"/>
              <w:rPr>
                <w:rFonts w:cs="Arial"/>
                <w:b w:val="0"/>
                <w:bCs/>
                <w:lang w:val="en-US" w:eastAsia="ja-JP"/>
              </w:rPr>
            </w:pPr>
            <w:r>
              <w:rPr>
                <w:rFonts w:cs="v4.2.0"/>
                <w:b w:val="0"/>
                <w:bCs/>
                <w:lang w:eastAsia="ja-JP"/>
              </w:rPr>
              <w:t xml:space="preserve">Same as clause </w:t>
            </w:r>
            <w:r>
              <w:rPr>
                <w:b w:val="0"/>
                <w:bCs/>
              </w:rPr>
              <w:t>6.2.5F</w:t>
            </w:r>
            <w:r>
              <w:rPr>
                <w:rFonts w:cs="v4.2.0"/>
                <w:b w:val="0"/>
                <w:bCs/>
                <w:lang w:eastAsia="ja-JP"/>
              </w:rPr>
              <w:t xml:space="preserve"> 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6.3A.1</w:t>
            </w:r>
            <w:r>
              <w:rPr>
                <w:b w:val="0"/>
                <w:bCs/>
              </w:rPr>
              <w:tab/>
            </w:r>
            <w:r>
              <w:rPr>
                <w:b w:val="0"/>
                <w:bCs/>
              </w:rPr>
              <w:t>UE Minimum output power for category M1</w:t>
            </w:r>
          </w:p>
        </w:tc>
        <w:tc>
          <w:tcPr>
            <w:tcW w:w="4560" w:type="dxa"/>
          </w:tcPr>
          <w:p>
            <w:pPr>
              <w:pStyle w:val="104"/>
              <w:jc w:val="left"/>
              <w:rPr>
                <w:rFonts w:cs="Arial"/>
                <w:b w:val="0"/>
                <w:bCs/>
                <w:lang w:val="en-US" w:eastAsia="ja-JP"/>
              </w:rPr>
            </w:pPr>
            <w:r>
              <w:rPr>
                <w:rFonts w:cs="v4.2.0"/>
                <w:b w:val="0"/>
                <w:bCs/>
                <w:lang w:eastAsia="ja-JP"/>
              </w:rPr>
              <w:t xml:space="preserve">Same as clause </w:t>
            </w:r>
            <w:r>
              <w:rPr>
                <w:b w:val="0"/>
                <w:bCs/>
              </w:rPr>
              <w:t xml:space="preserve">6.3.2EA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6.3A.2</w:t>
            </w:r>
            <w:r>
              <w:rPr>
                <w:b w:val="0"/>
                <w:bCs/>
                <w:lang w:val="en-US" w:eastAsia="zh-CN"/>
              </w:rPr>
              <w:t xml:space="preserve"> </w:t>
            </w:r>
            <w:r>
              <w:rPr>
                <w:b w:val="0"/>
                <w:bCs/>
              </w:rPr>
              <w:t>Transmit OFF power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6.3.3EA</w:t>
            </w:r>
            <w:r>
              <w:rPr>
                <w:b w:val="0"/>
                <w:bCs/>
                <w:lang w:eastAsia="zh-TW"/>
              </w:rPr>
              <w:t xml:space="preserve">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6.3A.3.1</w:t>
            </w:r>
            <w:r>
              <w:rPr>
                <w:b w:val="0"/>
                <w:bCs/>
              </w:rPr>
              <w:tab/>
            </w:r>
            <w:r>
              <w:rPr>
                <w:b w:val="0"/>
                <w:bCs/>
              </w:rPr>
              <w:t>General ON/OFF time mask for category M1</w:t>
            </w:r>
          </w:p>
        </w:tc>
        <w:tc>
          <w:tcPr>
            <w:tcW w:w="4560" w:type="dxa"/>
          </w:tcPr>
          <w:p>
            <w:pPr>
              <w:pStyle w:val="104"/>
              <w:jc w:val="left"/>
              <w:rPr>
                <w:rFonts w:cs="Arial"/>
                <w:b w:val="0"/>
                <w:bCs/>
                <w:lang w:eastAsia="ja-JP"/>
              </w:rPr>
            </w:pPr>
            <w:r>
              <w:rPr>
                <w:rFonts w:cs="v4.2.0"/>
                <w:b w:val="0"/>
                <w:bCs/>
                <w:lang w:eastAsia="ja-JP"/>
              </w:rPr>
              <w:t xml:space="preserve">Same as clause </w:t>
            </w:r>
            <w:r>
              <w:rPr>
                <w:b w:val="0"/>
                <w:bCs/>
                <w:lang w:eastAsia="ko-KR"/>
              </w:rPr>
              <w:t xml:space="preserve">6.3.4EA.1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6.3A.3.2.1</w:t>
            </w:r>
            <w:r>
              <w:rPr>
                <w:b w:val="0"/>
                <w:bCs/>
              </w:rPr>
              <w:tab/>
            </w:r>
            <w:r>
              <w:rPr>
                <w:b w:val="0"/>
                <w:bCs/>
              </w:rPr>
              <w:t>PRACH time mask for UE category M1</w:t>
            </w:r>
          </w:p>
        </w:tc>
        <w:tc>
          <w:tcPr>
            <w:tcW w:w="4560" w:type="dxa"/>
          </w:tcPr>
          <w:p>
            <w:pPr>
              <w:pStyle w:val="104"/>
              <w:jc w:val="left"/>
              <w:rPr>
                <w:rFonts w:cs="Arial"/>
                <w:b w:val="0"/>
                <w:bCs/>
                <w:lang w:eastAsia="ja-JP"/>
              </w:rPr>
            </w:pPr>
            <w:r>
              <w:rPr>
                <w:rFonts w:cs="v4.2.0"/>
                <w:b w:val="0"/>
                <w:bCs/>
                <w:lang w:eastAsia="ja-JP"/>
              </w:rPr>
              <w:t xml:space="preserve">Same as clause </w:t>
            </w:r>
            <w:r>
              <w:rPr>
                <w:b w:val="0"/>
                <w:bCs/>
                <w:lang w:eastAsia="ko-KR"/>
              </w:rPr>
              <w:t xml:space="preserve">6.3.4EA.2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6.3A.3.2.2</w:t>
            </w:r>
            <w:r>
              <w:rPr>
                <w:b w:val="0"/>
                <w:bCs/>
              </w:rPr>
              <w:tab/>
            </w:r>
            <w:r>
              <w:rPr>
                <w:b w:val="0"/>
                <w:bCs/>
              </w:rPr>
              <w:t>SRS time mask for UE category M1</w:t>
            </w:r>
          </w:p>
        </w:tc>
        <w:tc>
          <w:tcPr>
            <w:tcW w:w="4560" w:type="dxa"/>
          </w:tcPr>
          <w:p>
            <w:pPr>
              <w:pStyle w:val="104"/>
              <w:jc w:val="left"/>
              <w:rPr>
                <w:rFonts w:cs="Arial"/>
                <w:b w:val="0"/>
                <w:bCs/>
                <w:lang w:val="en-US" w:eastAsia="ja-JP"/>
              </w:rPr>
            </w:pPr>
            <w:r>
              <w:rPr>
                <w:rFonts w:cs="v4.2.0"/>
                <w:b w:val="0"/>
                <w:bCs/>
                <w:lang w:eastAsia="ja-JP"/>
              </w:rPr>
              <w:t xml:space="preserve">Same as clause </w:t>
            </w:r>
            <w:r>
              <w:rPr>
                <w:b w:val="0"/>
                <w:bCs/>
                <w:lang w:eastAsia="ko-KR"/>
              </w:rPr>
              <w:t xml:space="preserve">6.3.4EA.2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6.3A.4.1</w:t>
            </w:r>
            <w:r>
              <w:rPr>
                <w:b w:val="0"/>
                <w:bCs/>
              </w:rPr>
              <w:tab/>
            </w:r>
            <w:r>
              <w:rPr>
                <w:b w:val="0"/>
                <w:bCs/>
              </w:rPr>
              <w:t>Power Control Absolute power tolerance for UE category M1</w:t>
            </w:r>
          </w:p>
        </w:tc>
        <w:tc>
          <w:tcPr>
            <w:tcW w:w="4560" w:type="dxa"/>
          </w:tcPr>
          <w:p>
            <w:pPr>
              <w:pStyle w:val="104"/>
              <w:jc w:val="left"/>
              <w:rPr>
                <w:rFonts w:cs="Arial"/>
                <w:b w:val="0"/>
                <w:bCs/>
                <w:lang w:val="en-US" w:eastAsia="ja-JP"/>
              </w:rPr>
            </w:pPr>
            <w:r>
              <w:rPr>
                <w:rFonts w:cs="v4.2.0"/>
                <w:b w:val="0"/>
                <w:bCs/>
                <w:lang w:eastAsia="ja-JP"/>
              </w:rPr>
              <w:t xml:space="preserve">Same as clause </w:t>
            </w:r>
            <w:r>
              <w:rPr>
                <w:rFonts w:eastAsia="PMingLiU"/>
                <w:b w:val="0"/>
                <w:bCs/>
                <w:lang w:eastAsia="zh-TW"/>
              </w:rPr>
              <w:t xml:space="preserve">6.3.5EA.1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6.3A.4.2</w:t>
            </w:r>
            <w:r>
              <w:rPr>
                <w:b w:val="0"/>
                <w:bCs/>
              </w:rPr>
              <w:tab/>
            </w:r>
            <w:r>
              <w:rPr>
                <w:b w:val="0"/>
                <w:bCs/>
              </w:rPr>
              <w:t>Power Control Relative power tolerance for UE category M1</w:t>
            </w:r>
          </w:p>
        </w:tc>
        <w:tc>
          <w:tcPr>
            <w:tcW w:w="4560" w:type="dxa"/>
          </w:tcPr>
          <w:p>
            <w:pPr>
              <w:pStyle w:val="104"/>
              <w:jc w:val="left"/>
              <w:rPr>
                <w:rFonts w:cs="Arial"/>
                <w:b w:val="0"/>
                <w:bCs/>
                <w:lang w:eastAsia="ja-JP"/>
              </w:rPr>
            </w:pPr>
            <w:bookmarkStart w:id="2352" w:name="OLE_LINK13"/>
            <w:r>
              <w:rPr>
                <w:rFonts w:cs="v4.2.0"/>
                <w:b w:val="0"/>
                <w:bCs/>
                <w:lang w:eastAsia="ja-JP"/>
              </w:rPr>
              <w:t xml:space="preserve">Same as clause </w:t>
            </w:r>
            <w:r>
              <w:rPr>
                <w:rFonts w:eastAsia="PMingLiU"/>
                <w:b w:val="0"/>
                <w:bCs/>
                <w:lang w:eastAsia="zh-TW"/>
              </w:rPr>
              <w:t xml:space="preserve">6.3.5EA.2 </w:t>
            </w:r>
            <w:r>
              <w:rPr>
                <w:rFonts w:cs="v4.2.0"/>
                <w:b w:val="0"/>
                <w:bCs/>
                <w:lang w:eastAsia="ja-JP"/>
              </w:rPr>
              <w:t>in TS 36.521-1 [14]</w:t>
            </w:r>
            <w:bookmarkEnd w:id="2352"/>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6.3A.4.3</w:t>
            </w:r>
            <w:r>
              <w:rPr>
                <w:b w:val="0"/>
                <w:bCs/>
              </w:rPr>
              <w:tab/>
            </w:r>
            <w:r>
              <w:rPr>
                <w:b w:val="0"/>
                <w:bCs/>
              </w:rPr>
              <w:t xml:space="preserve">Aggregate power control tolerance for UE category </w:t>
            </w:r>
            <w:r>
              <w:rPr>
                <w:b w:val="0"/>
                <w:bCs/>
                <w:lang w:eastAsia="zh-TW"/>
              </w:rPr>
              <w:t>M1</w:t>
            </w:r>
          </w:p>
        </w:tc>
        <w:tc>
          <w:tcPr>
            <w:tcW w:w="4560" w:type="dxa"/>
          </w:tcPr>
          <w:p>
            <w:pPr>
              <w:pStyle w:val="104"/>
              <w:jc w:val="left"/>
              <w:rPr>
                <w:rFonts w:cs="Arial"/>
                <w:b w:val="0"/>
                <w:bCs/>
                <w:lang w:eastAsia="ja-JP"/>
              </w:rPr>
            </w:pPr>
            <w:r>
              <w:rPr>
                <w:rFonts w:cs="v4.2.0"/>
                <w:b w:val="0"/>
                <w:bCs/>
                <w:lang w:eastAsia="ja-JP"/>
              </w:rPr>
              <w:t xml:space="preserve">Same as clause </w:t>
            </w:r>
            <w:r>
              <w:rPr>
                <w:b w:val="0"/>
                <w:bCs/>
                <w:lang w:eastAsia="zh-TW"/>
              </w:rPr>
              <w:t xml:space="preserve">6.3.5EA.3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6.3B.1</w:t>
            </w:r>
            <w:r>
              <w:rPr>
                <w:b w:val="0"/>
                <w:bCs/>
              </w:rPr>
              <w:tab/>
            </w:r>
            <w:r>
              <w:rPr>
                <w:b w:val="0"/>
                <w:bCs/>
              </w:rPr>
              <w:t>UE Minimum output power for category NB1 and NB2</w:t>
            </w:r>
          </w:p>
        </w:tc>
        <w:tc>
          <w:tcPr>
            <w:tcW w:w="4560" w:type="dxa"/>
          </w:tcPr>
          <w:p>
            <w:pPr>
              <w:pStyle w:val="104"/>
              <w:jc w:val="left"/>
              <w:rPr>
                <w:rFonts w:cs="Arial"/>
                <w:b w:val="0"/>
                <w:bCs/>
                <w:lang w:eastAsia="ja-JP"/>
              </w:rPr>
            </w:pPr>
            <w:r>
              <w:rPr>
                <w:rFonts w:cs="v4.2.0"/>
                <w:b w:val="0"/>
                <w:bCs/>
                <w:lang w:eastAsia="ja-JP"/>
              </w:rPr>
              <w:t xml:space="preserve">Same as clause </w:t>
            </w:r>
            <w:r>
              <w:rPr>
                <w:b w:val="0"/>
                <w:bCs/>
              </w:rPr>
              <w:t xml:space="preserve">6.3.2F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6.3B.2</w:t>
            </w:r>
            <w:r>
              <w:rPr>
                <w:b w:val="0"/>
                <w:bCs/>
              </w:rPr>
              <w:tab/>
            </w:r>
            <w:r>
              <w:rPr>
                <w:b w:val="0"/>
                <w:bCs/>
              </w:rPr>
              <w:t>Transmit OFF power for category NB1 and NB2</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6.3.3</w:t>
            </w:r>
            <w:r>
              <w:rPr>
                <w:b w:val="0"/>
                <w:bCs/>
                <w:lang w:eastAsia="ja-JP"/>
              </w:rPr>
              <w:t>F</w:t>
            </w:r>
            <w:r>
              <w:rPr>
                <w:b w:val="0"/>
                <w:bCs/>
              </w:rPr>
              <w:t xml:space="preserve">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6.3B.3.1</w:t>
            </w:r>
            <w:r>
              <w:rPr>
                <w:b w:val="0"/>
                <w:bCs/>
              </w:rPr>
              <w:tab/>
            </w:r>
            <w:r>
              <w:rPr>
                <w:b w:val="0"/>
                <w:bCs/>
                <w:lang w:eastAsia="zh-TW"/>
              </w:rPr>
              <w:t>General ON/OFF time mask for category NB1 and NB2</w:t>
            </w:r>
          </w:p>
        </w:tc>
        <w:tc>
          <w:tcPr>
            <w:tcW w:w="4560" w:type="dxa"/>
          </w:tcPr>
          <w:p>
            <w:pPr>
              <w:pStyle w:val="104"/>
              <w:jc w:val="left"/>
              <w:rPr>
                <w:rFonts w:cs="Arial"/>
                <w:b w:val="0"/>
                <w:bCs/>
                <w:lang w:eastAsia="ja-JP"/>
              </w:rPr>
            </w:pPr>
            <w:r>
              <w:rPr>
                <w:rFonts w:cs="v4.2.0"/>
                <w:b w:val="0"/>
                <w:bCs/>
                <w:lang w:eastAsia="ja-JP"/>
              </w:rPr>
              <w:t xml:space="preserve">Same as clause </w:t>
            </w:r>
            <w:r>
              <w:rPr>
                <w:rFonts w:cs="v4.2.0"/>
                <w:b w:val="0"/>
                <w:bCs/>
              </w:rPr>
              <w:t>6.3.4</w:t>
            </w:r>
            <w:r>
              <w:rPr>
                <w:rFonts w:eastAsia="PMingLiU" w:cs="v4.2.0"/>
                <w:b w:val="0"/>
                <w:bCs/>
                <w:lang w:eastAsia="zh-TW"/>
              </w:rPr>
              <w:t>F</w:t>
            </w:r>
            <w:r>
              <w:rPr>
                <w:rFonts w:cs="v4.2.0"/>
                <w:b w:val="0"/>
                <w:bCs/>
              </w:rPr>
              <w:t>.1</w:t>
            </w:r>
            <w:r>
              <w:rPr>
                <w:b w:val="0"/>
                <w:bCs/>
              </w:rPr>
              <w:t xml:space="preserve">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6.3B.3.2</w:t>
            </w:r>
            <w:r>
              <w:rPr>
                <w:b w:val="0"/>
                <w:bCs/>
              </w:rPr>
              <w:tab/>
            </w:r>
            <w:r>
              <w:rPr>
                <w:b w:val="0"/>
                <w:bCs/>
                <w:lang w:eastAsia="zh-TW"/>
              </w:rPr>
              <w:t>NPRACH time mask for category NB1 and NB2</w:t>
            </w:r>
          </w:p>
        </w:tc>
        <w:tc>
          <w:tcPr>
            <w:tcW w:w="4560" w:type="dxa"/>
          </w:tcPr>
          <w:p>
            <w:pPr>
              <w:pStyle w:val="104"/>
              <w:jc w:val="left"/>
              <w:rPr>
                <w:rFonts w:cs="Arial"/>
                <w:b w:val="0"/>
                <w:bCs/>
                <w:lang w:eastAsia="ja-JP"/>
              </w:rPr>
            </w:pPr>
            <w:r>
              <w:rPr>
                <w:rFonts w:cs="v4.2.0"/>
                <w:b w:val="0"/>
                <w:bCs/>
                <w:lang w:eastAsia="ja-JP"/>
              </w:rPr>
              <w:t xml:space="preserve">Same as clause </w:t>
            </w:r>
            <w:r>
              <w:rPr>
                <w:rFonts w:cs="v4.2.0"/>
                <w:b w:val="0"/>
                <w:bCs/>
              </w:rPr>
              <w:t>6.3.4</w:t>
            </w:r>
            <w:r>
              <w:rPr>
                <w:rFonts w:eastAsia="PMingLiU" w:cs="v4.2.0"/>
                <w:b w:val="0"/>
                <w:bCs/>
                <w:lang w:eastAsia="zh-TW"/>
              </w:rPr>
              <w:t>F</w:t>
            </w:r>
            <w:r>
              <w:rPr>
                <w:rFonts w:cs="v4.2.0"/>
                <w:b w:val="0"/>
                <w:bCs/>
              </w:rPr>
              <w:t>.</w:t>
            </w:r>
            <w:r>
              <w:rPr>
                <w:rFonts w:eastAsia="PMingLiU" w:cs="v4.2.0"/>
                <w:b w:val="0"/>
                <w:bCs/>
                <w:lang w:eastAsia="zh-TW"/>
              </w:rPr>
              <w:t>2</w:t>
            </w:r>
            <w:r>
              <w:rPr>
                <w:b w:val="0"/>
                <w:bCs/>
              </w:rPr>
              <w:t xml:space="preserve">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6.3B.4.1</w:t>
            </w:r>
            <w:r>
              <w:rPr>
                <w:b w:val="0"/>
                <w:bCs/>
              </w:rPr>
              <w:tab/>
            </w:r>
            <w:r>
              <w:rPr>
                <w:b w:val="0"/>
                <w:bCs/>
              </w:rPr>
              <w:t>Power Control Absolute power tolerance for category NB1 and NB2</w:t>
            </w:r>
          </w:p>
        </w:tc>
        <w:tc>
          <w:tcPr>
            <w:tcW w:w="4560" w:type="dxa"/>
          </w:tcPr>
          <w:p>
            <w:pPr>
              <w:pStyle w:val="104"/>
              <w:jc w:val="left"/>
              <w:rPr>
                <w:rFonts w:cs="Arial"/>
                <w:b w:val="0"/>
                <w:bCs/>
                <w:lang w:eastAsia="ja-JP"/>
              </w:rPr>
            </w:pPr>
            <w:r>
              <w:rPr>
                <w:rFonts w:cs="v4.2.0"/>
                <w:b w:val="0"/>
                <w:bCs/>
                <w:lang w:eastAsia="ja-JP"/>
              </w:rPr>
              <w:t xml:space="preserve">Same as clause </w:t>
            </w:r>
            <w:r>
              <w:rPr>
                <w:rFonts w:cs="Arial"/>
                <w:b w:val="0"/>
                <w:bCs/>
                <w:szCs w:val="16"/>
                <w:lang w:eastAsia="ko-KR"/>
              </w:rPr>
              <w:t xml:space="preserve">6.3.5F.1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6.3B.4.2 Power Control Relative power tolerance for category NB1 and NB2</w:t>
            </w:r>
          </w:p>
        </w:tc>
        <w:tc>
          <w:tcPr>
            <w:tcW w:w="4560" w:type="dxa"/>
          </w:tcPr>
          <w:p>
            <w:pPr>
              <w:pStyle w:val="104"/>
              <w:jc w:val="left"/>
              <w:rPr>
                <w:rFonts w:cs="Arial"/>
                <w:b w:val="0"/>
                <w:bCs/>
                <w:lang w:eastAsia="ja-JP"/>
              </w:rPr>
            </w:pPr>
            <w:r>
              <w:rPr>
                <w:rFonts w:cs="v4.2.0"/>
                <w:b w:val="0"/>
                <w:bCs/>
                <w:lang w:eastAsia="ja-JP"/>
              </w:rPr>
              <w:t xml:space="preserve">Same as clause </w:t>
            </w:r>
            <w:r>
              <w:rPr>
                <w:rFonts w:cs="Arial"/>
                <w:b w:val="0"/>
                <w:bCs/>
                <w:szCs w:val="16"/>
                <w:lang w:eastAsia="ko-KR"/>
              </w:rPr>
              <w:t xml:space="preserve">6.3.5F.2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6.3B.4.3 Aggregate power control tolerance for category NB1 and NB2</w:t>
            </w:r>
          </w:p>
        </w:tc>
        <w:tc>
          <w:tcPr>
            <w:tcW w:w="4560" w:type="dxa"/>
          </w:tcPr>
          <w:p>
            <w:pPr>
              <w:pStyle w:val="104"/>
              <w:jc w:val="left"/>
              <w:rPr>
                <w:rFonts w:cs="Arial"/>
                <w:b w:val="0"/>
                <w:bCs/>
                <w:lang w:eastAsia="ja-JP"/>
              </w:rPr>
            </w:pPr>
            <w:r>
              <w:rPr>
                <w:rFonts w:cs="v4.2.0"/>
                <w:b w:val="0"/>
                <w:bCs/>
                <w:lang w:eastAsia="ja-JP"/>
              </w:rPr>
              <w:t xml:space="preserve">Same as clause </w:t>
            </w:r>
            <w:r>
              <w:rPr>
                <w:rFonts w:cs="Arial"/>
                <w:b w:val="0"/>
                <w:bCs/>
                <w:szCs w:val="16"/>
                <w:lang w:eastAsia="zh-TW"/>
              </w:rPr>
              <w:t xml:space="preserve">6.3.5F.3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6.4A.2.1</w:t>
            </w:r>
            <w:r>
              <w:rPr>
                <w:b w:val="0"/>
                <w:bCs/>
                <w:lang w:val="en-US" w:eastAsia="zh-CN"/>
              </w:rPr>
              <w:t xml:space="preserve"> </w:t>
            </w:r>
            <w:r>
              <w:rPr>
                <w:b w:val="0"/>
                <w:bCs/>
              </w:rPr>
              <w:t>Error Vector Magnitude (EVM) for category M1</w:t>
            </w:r>
          </w:p>
        </w:tc>
        <w:tc>
          <w:tcPr>
            <w:tcW w:w="4560" w:type="dxa"/>
          </w:tcPr>
          <w:p>
            <w:pPr>
              <w:pStyle w:val="104"/>
              <w:jc w:val="left"/>
              <w:rPr>
                <w:rFonts w:cs="v4.2.0"/>
                <w:b w:val="0"/>
                <w:bCs/>
                <w:lang w:eastAsia="ja-JP"/>
              </w:rPr>
            </w:pPr>
            <w:r>
              <w:rPr>
                <w:rFonts w:cs="v4.2.0"/>
                <w:b w:val="0"/>
                <w:bCs/>
                <w:lang w:eastAsia="ja-JP"/>
              </w:rPr>
              <w:t>Same as clause 6.5.2.1EA</w:t>
            </w:r>
            <w:r>
              <w:rPr>
                <w:rFonts w:hint="eastAsia" w:cs="v4.2.0"/>
                <w:b w:val="0"/>
                <w:bCs/>
                <w:lang w:val="en-US" w:eastAsia="zh-CN"/>
              </w:rPr>
              <w:t>.1</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6.4A.2.2</w:t>
            </w:r>
            <w:r>
              <w:rPr>
                <w:b w:val="0"/>
                <w:bCs/>
                <w:lang w:val="en-US" w:eastAsia="zh-CN"/>
              </w:rPr>
              <w:t xml:space="preserve"> </w:t>
            </w:r>
            <w:r>
              <w:rPr>
                <w:b w:val="0"/>
                <w:bCs/>
              </w:rPr>
              <w:t>Carrier leakage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6.5.2.2EA</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6.4A.2.3</w:t>
            </w:r>
            <w:r>
              <w:rPr>
                <w:b w:val="0"/>
                <w:bCs/>
                <w:lang w:val="en-US" w:eastAsia="zh-CN"/>
              </w:rPr>
              <w:t xml:space="preserve"> </w:t>
            </w:r>
            <w:r>
              <w:rPr>
                <w:b w:val="0"/>
                <w:bCs/>
              </w:rPr>
              <w:t>In-band emissions for non allocated RB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6.5.2.3EA</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6.4A.2.4</w:t>
            </w:r>
            <w:r>
              <w:rPr>
                <w:b w:val="0"/>
                <w:bCs/>
                <w:lang w:val="en-US" w:eastAsia="zh-CN"/>
              </w:rPr>
              <w:t xml:space="preserve"> </w:t>
            </w:r>
            <w:r>
              <w:rPr>
                <w:b w:val="0"/>
                <w:bCs/>
              </w:rPr>
              <w:t>EVM equalizer spectrum flatness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6.5.2.4EA</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6.4B.2.1</w:t>
            </w:r>
            <w:r>
              <w:rPr>
                <w:b w:val="0"/>
                <w:bCs/>
                <w:lang w:val="en-US" w:eastAsia="zh-CN"/>
              </w:rPr>
              <w:t xml:space="preserve"> </w:t>
            </w:r>
            <w:r>
              <w:rPr>
                <w:b w:val="0"/>
                <w:bCs/>
              </w:rPr>
              <w:t>Error Vector Magnitude (EVM) for Category NB1 and NB2</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6.5.2.1F.1</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6.4B.2.2</w:t>
            </w:r>
            <w:r>
              <w:rPr>
                <w:b w:val="0"/>
                <w:bCs/>
                <w:lang w:val="en-US" w:eastAsia="zh-CN"/>
              </w:rPr>
              <w:t xml:space="preserve"> </w:t>
            </w:r>
            <w:r>
              <w:rPr>
                <w:b w:val="0"/>
                <w:bCs/>
              </w:rPr>
              <w:t>Carrier leakage for Category NB1 and NB2</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6.5.2.2F</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6.4B.2.3</w:t>
            </w:r>
            <w:r>
              <w:rPr>
                <w:b w:val="0"/>
                <w:bCs/>
                <w:lang w:val="en-US" w:eastAsia="zh-CN"/>
              </w:rPr>
              <w:t xml:space="preserve"> </w:t>
            </w:r>
            <w:r>
              <w:rPr>
                <w:b w:val="0"/>
                <w:bCs/>
              </w:rPr>
              <w:t>In-band emissions for Category NB1 and NB2</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6.5.2.3</w:t>
            </w:r>
            <w:r>
              <w:rPr>
                <w:b w:val="0"/>
                <w:bCs/>
                <w:lang w:eastAsia="zh-CN"/>
              </w:rPr>
              <w:t>F</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6.5A.2</w:t>
            </w:r>
            <w:r>
              <w:rPr>
                <w:b w:val="0"/>
                <w:bCs/>
                <w:lang w:val="en-US" w:eastAsia="zh-CN"/>
              </w:rPr>
              <w:t xml:space="preserve"> </w:t>
            </w:r>
            <w:r>
              <w:rPr>
                <w:b w:val="0"/>
                <w:bCs/>
              </w:rPr>
              <w:t>Occupied bandwidth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b w:val="0"/>
                <w:bCs/>
                <w:lang w:eastAsia="ko-KR"/>
              </w:rPr>
              <w:t>6.6.1EA</w:t>
            </w:r>
            <w:r>
              <w:rPr>
                <w:rFonts w:cs="Arial"/>
                <w:b w:val="0"/>
                <w:bCs/>
                <w:szCs w:val="16"/>
                <w:lang w:eastAsia="zh-TW"/>
              </w:rPr>
              <w:t xml:space="preserve"> </w:t>
            </w:r>
            <w:r>
              <w:rPr>
                <w:rFonts w:cs="v4.2.0"/>
                <w:b w:val="0"/>
                <w:bCs/>
                <w:lang w:eastAsia="ja-JP"/>
              </w:rPr>
              <w:t>in TS 36.521-1 [14]</w:t>
            </w:r>
            <w:r>
              <w:rPr>
                <w:rFonts w:eastAsia="宋体" w:cs="v4.2.0"/>
                <w:b w:val="0"/>
                <w:bCs/>
                <w:lang w:val="en-US" w:eastAsia="zh-CN"/>
              </w:rPr>
              <w:t xml:space="preserve"> for FDD band with “channel bandwidth</w:t>
            </w:r>
            <w:r>
              <w:rPr>
                <w:rFonts w:cs="v4.2.0"/>
                <w:b w:val="0"/>
                <w:bCs/>
                <w:lang w:eastAsia="ja-JP"/>
              </w:rPr>
              <w:t xml:space="preserve"> </w:t>
            </w:r>
            <w:r>
              <w:rPr>
                <w:rFonts w:cs="Arial"/>
                <w:b w:val="0"/>
                <w:bCs/>
                <w:lang w:val="en-US" w:eastAsia="zh-CN"/>
              </w:rPr>
              <w:t>=</w:t>
            </w:r>
            <w:r>
              <w:rPr>
                <w:rFonts w:cs="v4.2.0"/>
                <w:b w:val="0"/>
                <w:bCs/>
                <w:lang w:eastAsia="ja-JP"/>
              </w:rPr>
              <w:t xml:space="preserve"> </w:t>
            </w:r>
            <w:r>
              <w:rPr>
                <w:rFonts w:cs="v4.2.0"/>
                <w:b w:val="0"/>
                <w:bCs/>
                <w:lang w:val="en-US" w:eastAsia="zh-CN"/>
              </w:rPr>
              <w:t>1.4M</w:t>
            </w:r>
            <w:r>
              <w:rPr>
                <w:rFonts w:cs="v4.2.0"/>
                <w:b w:val="0"/>
                <w:bCs/>
                <w:lang w:eastAsia="ja-JP"/>
              </w:rPr>
              <w:t>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6.5A.3.2</w:t>
            </w:r>
            <w:r>
              <w:rPr>
                <w:b w:val="0"/>
                <w:bCs/>
                <w:lang w:val="en-US" w:eastAsia="zh-CN"/>
              </w:rPr>
              <w:t xml:space="preserve"> </w:t>
            </w:r>
            <w:r>
              <w:rPr>
                <w:b w:val="0"/>
                <w:bCs/>
              </w:rPr>
              <w:t>Spectrum emission mask</w:t>
            </w:r>
            <w:r>
              <w:rPr>
                <w:rFonts w:hint="eastAsia"/>
                <w:b w:val="0"/>
                <w:bCs/>
              </w:rPr>
              <w:t xml:space="preserve">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6.6.2.1EA</w:t>
            </w:r>
            <w:r>
              <w:rPr>
                <w:rFonts w:cs="Arial"/>
                <w:b w:val="0"/>
                <w:bCs/>
                <w:szCs w:val="16"/>
                <w:lang w:eastAsia="zh-TW"/>
              </w:rPr>
              <w:t xml:space="preserve">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6.5A.3.4</w:t>
            </w:r>
            <w:r>
              <w:rPr>
                <w:b w:val="0"/>
                <w:bCs/>
                <w:lang w:val="en-US" w:eastAsia="zh-CN"/>
              </w:rPr>
              <w:t xml:space="preserve"> </w:t>
            </w:r>
            <w:r>
              <w:rPr>
                <w:b w:val="0"/>
                <w:bCs/>
              </w:rPr>
              <w:t>Adjacent Channel Leakage Ratio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6.6.2.3E</w:t>
            </w:r>
            <w:r>
              <w:rPr>
                <w:b w:val="0"/>
                <w:bCs/>
                <w:lang w:eastAsia="ja-JP"/>
              </w:rPr>
              <w:t>A</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6.5A.4.2</w:t>
            </w:r>
            <w:r>
              <w:rPr>
                <w:b w:val="0"/>
                <w:bCs/>
                <w:lang w:val="en-US" w:eastAsia="zh-CN"/>
              </w:rPr>
              <w:t xml:space="preserve"> </w:t>
            </w:r>
            <w:r>
              <w:rPr>
                <w:b w:val="0"/>
                <w:bCs/>
              </w:rPr>
              <w:t>Transmitter Spurious emissions</w:t>
            </w:r>
            <w:r>
              <w:rPr>
                <w:rFonts w:hint="eastAsia"/>
                <w:b w:val="0"/>
                <w:bCs/>
              </w:rPr>
              <w:t xml:space="preserve">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rFonts w:cs="v4.2.0"/>
                <w:b w:val="0"/>
                <w:bCs/>
              </w:rPr>
              <w:t>6.6.3EA.1</w:t>
            </w:r>
            <w:r>
              <w:rPr>
                <w:rFonts w:cs="Arial"/>
                <w:b w:val="0"/>
                <w:bCs/>
                <w:szCs w:val="16"/>
                <w:lang w:eastAsia="zh-TW"/>
              </w:rPr>
              <w:t xml:space="preserve"> </w:t>
            </w:r>
            <w:r>
              <w:rPr>
                <w:rFonts w:cs="v4.2.0"/>
                <w:b w:val="0"/>
                <w:bCs/>
                <w:lang w:eastAsia="ja-JP"/>
              </w:rPr>
              <w:t>in TS 36.521-1 [14]</w:t>
            </w:r>
            <w:r>
              <w:rPr>
                <w:rFonts w:eastAsia="宋体" w:cs="v4.2.0"/>
                <w:b w:val="0"/>
                <w:bCs/>
                <w:lang w:val="en-US" w:eastAsia="zh-CN"/>
              </w:rPr>
              <w:t xml:space="preserve"> for FDD band for spurious frequencies up to 12.75 GHz</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6.5A.4.3</w:t>
            </w:r>
            <w:r>
              <w:rPr>
                <w:b w:val="0"/>
                <w:bCs/>
                <w:lang w:val="en-US" w:eastAsia="zh-CN"/>
              </w:rPr>
              <w:t xml:space="preserve"> </w:t>
            </w:r>
            <w:r>
              <w:rPr>
                <w:b w:val="0"/>
                <w:bCs/>
              </w:rPr>
              <w:t>Spurious emission band UE co-existence</w:t>
            </w:r>
            <w:r>
              <w:rPr>
                <w:rFonts w:hint="eastAsia"/>
                <w:b w:val="0"/>
                <w:bCs/>
              </w:rPr>
              <w:t xml:space="preserve">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6.6.3EA.2</w:t>
            </w:r>
            <w:r>
              <w:rPr>
                <w:rFonts w:cs="Arial"/>
                <w:b w:val="0"/>
                <w:bCs/>
                <w:szCs w:val="16"/>
                <w:lang w:eastAsia="zh-TW"/>
              </w:rPr>
              <w:t xml:space="preserve"> </w:t>
            </w:r>
            <w:r>
              <w:rPr>
                <w:rFonts w:cs="v4.2.0"/>
                <w:b w:val="0"/>
                <w:bCs/>
                <w:lang w:eastAsia="ja-JP"/>
              </w:rPr>
              <w:t>in TS 36.521-1 [14]</w:t>
            </w:r>
            <w:r>
              <w:rPr>
                <w:rFonts w:eastAsia="宋体" w:cs="v4.2.0"/>
                <w:b w:val="0"/>
                <w:bCs/>
                <w:lang w:val="en-US" w:eastAsia="zh-CN"/>
              </w:rPr>
              <w:t xml:space="preserve"> for FDD band with “</w:t>
            </w:r>
            <w:r>
              <w:rPr>
                <w:b w:val="0"/>
                <w:bCs/>
              </w:rPr>
              <w:t xml:space="preserve">results &gt; -60 dBm, f </w:t>
            </w:r>
            <w:r>
              <w:rPr>
                <w:rFonts w:hint="eastAsia"/>
                <w:b w:val="0"/>
                <w:bCs/>
              </w:rPr>
              <w:t>≤</w:t>
            </w:r>
            <w:r>
              <w:rPr>
                <w:b w:val="0"/>
                <w:bCs/>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6.5A.4.4</w:t>
            </w:r>
            <w:r>
              <w:rPr>
                <w:b w:val="0"/>
                <w:bCs/>
                <w:lang w:val="en-US" w:eastAsia="zh-CN"/>
              </w:rPr>
              <w:t xml:space="preserve"> </w:t>
            </w:r>
            <w:r>
              <w:rPr>
                <w:b w:val="0"/>
                <w:bCs/>
              </w:rPr>
              <w:t>Additional spurious emissions</w:t>
            </w:r>
            <w:r>
              <w:rPr>
                <w:rFonts w:hint="eastAsia"/>
                <w:b w:val="0"/>
                <w:bCs/>
              </w:rPr>
              <w:t xml:space="preserve"> for category M1</w:t>
            </w:r>
          </w:p>
        </w:tc>
        <w:tc>
          <w:tcPr>
            <w:tcW w:w="4560" w:type="dxa"/>
          </w:tcPr>
          <w:p>
            <w:pPr>
              <w:pStyle w:val="104"/>
              <w:jc w:val="left"/>
              <w:rPr>
                <w:rFonts w:cs="v4.2.0"/>
                <w:b w:val="0"/>
                <w:bCs/>
                <w:lang w:val="en-US" w:eastAsia="ja-JP"/>
              </w:rPr>
            </w:pPr>
            <w:r>
              <w:rPr>
                <w:b w:val="0"/>
                <w:bCs/>
              </w:rPr>
              <w:t>± 2.0 dB, f ≤ 3.0GHz</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6.5B.2</w:t>
            </w:r>
            <w:r>
              <w:rPr>
                <w:b w:val="0"/>
                <w:bCs/>
                <w:lang w:val="en-US" w:eastAsia="zh-CN"/>
              </w:rPr>
              <w:t xml:space="preserve"> </w:t>
            </w:r>
            <w:r>
              <w:rPr>
                <w:b w:val="0"/>
                <w:bCs/>
              </w:rPr>
              <w:t>Occupied bandwidth for category NB1 and NB2</w:t>
            </w:r>
          </w:p>
        </w:tc>
        <w:tc>
          <w:tcPr>
            <w:tcW w:w="4560" w:type="dxa"/>
          </w:tcPr>
          <w:p>
            <w:pPr>
              <w:pStyle w:val="104"/>
              <w:jc w:val="left"/>
              <w:rPr>
                <w:rFonts w:cs="v4.2.0"/>
                <w:b w:val="0"/>
                <w:bCs/>
                <w:lang w:val="en-US" w:eastAsia="ja-JP"/>
              </w:rPr>
            </w:pPr>
            <w:r>
              <w:rPr>
                <w:rFonts w:cs="v4.2.0"/>
                <w:b w:val="0"/>
                <w:bCs/>
                <w:lang w:eastAsia="ja-JP"/>
              </w:rPr>
              <w:t xml:space="preserve">200kHz: </w:t>
            </w:r>
            <w:r>
              <w:rPr>
                <w:rFonts w:hint="eastAsia" w:cs="v4.2.0"/>
                <w:b w:val="0"/>
                <w:bCs/>
                <w:lang w:val="en-US" w:eastAsia="zh-CN"/>
              </w:rPr>
              <w:t>2kHz</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6.5B.3.2</w:t>
            </w:r>
            <w:r>
              <w:rPr>
                <w:b w:val="0"/>
                <w:bCs/>
                <w:lang w:val="en-US" w:eastAsia="zh-CN"/>
              </w:rPr>
              <w:t xml:space="preserve"> </w:t>
            </w:r>
            <w:r>
              <w:rPr>
                <w:b w:val="0"/>
                <w:bCs/>
              </w:rPr>
              <w:t>Spectrum emission mask</w:t>
            </w:r>
            <w:r>
              <w:rPr>
                <w:rFonts w:hint="eastAsia"/>
                <w:b w:val="0"/>
                <w:bCs/>
              </w:rPr>
              <w:t xml:space="preserve"> for category NB1 and NB2</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6.6.2.1</w:t>
            </w:r>
            <w:r>
              <w:rPr>
                <w:b w:val="0"/>
                <w:bCs/>
                <w:lang w:val="en-US" w:eastAsia="zh-CN"/>
              </w:rPr>
              <w:t>F</w:t>
            </w:r>
            <w:r>
              <w:rPr>
                <w:rFonts w:cs="Arial"/>
                <w:b w:val="0"/>
                <w:bCs/>
                <w:szCs w:val="16"/>
                <w:lang w:eastAsia="zh-TW"/>
              </w:rPr>
              <w:t xml:space="preserve">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6.5B.3.4</w:t>
            </w:r>
            <w:r>
              <w:rPr>
                <w:b w:val="0"/>
                <w:bCs/>
                <w:lang w:val="en-US" w:eastAsia="zh-CN"/>
              </w:rPr>
              <w:t xml:space="preserve"> </w:t>
            </w:r>
            <w:r>
              <w:rPr>
                <w:b w:val="0"/>
                <w:bCs/>
              </w:rPr>
              <w:t>Adjacent Channel Leakage Ratio for category NB1 and NB2</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6.6.2.</w:t>
            </w:r>
            <w:r>
              <w:rPr>
                <w:b w:val="0"/>
                <w:bCs/>
                <w:lang w:eastAsia="zh-CN"/>
              </w:rPr>
              <w:t>3F</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6.5B.4.2</w:t>
            </w:r>
            <w:r>
              <w:rPr>
                <w:b w:val="0"/>
                <w:bCs/>
                <w:lang w:val="en-US" w:eastAsia="zh-CN"/>
              </w:rPr>
              <w:t xml:space="preserve"> </w:t>
            </w:r>
            <w:r>
              <w:rPr>
                <w:b w:val="0"/>
                <w:bCs/>
              </w:rPr>
              <w:t>Transmitter Spurious emissions</w:t>
            </w:r>
            <w:r>
              <w:rPr>
                <w:rFonts w:hint="eastAsia"/>
                <w:b w:val="0"/>
                <w:bCs/>
              </w:rPr>
              <w:t xml:space="preserve"> for category NB1 and NB2</w:t>
            </w:r>
          </w:p>
        </w:tc>
        <w:tc>
          <w:tcPr>
            <w:tcW w:w="4560" w:type="dxa"/>
          </w:tcPr>
          <w:p>
            <w:pPr>
              <w:pStyle w:val="104"/>
              <w:jc w:val="left"/>
              <w:rPr>
                <w:rFonts w:cs="v4.2.0" w:eastAsiaTheme="minorEastAsia"/>
                <w:b w:val="0"/>
                <w:bCs/>
                <w:lang w:val="en-US" w:eastAsia="ja-JP"/>
              </w:rPr>
            </w:pPr>
            <w:r>
              <w:rPr>
                <w:rFonts w:cs="v4.2.0"/>
                <w:b w:val="0"/>
                <w:bCs/>
                <w:lang w:eastAsia="ja-JP"/>
              </w:rPr>
              <w:t>Same as clause 6.6.3</w:t>
            </w:r>
            <w:r>
              <w:rPr>
                <w:rFonts w:hint="eastAsia" w:cs="v4.2.0"/>
                <w:b w:val="0"/>
                <w:bCs/>
                <w:lang w:val="en-US" w:eastAsia="zh-CN"/>
              </w:rPr>
              <w:t>F</w:t>
            </w:r>
            <w:r>
              <w:rPr>
                <w:rFonts w:cs="v4.2.0"/>
                <w:b w:val="0"/>
                <w:bCs/>
                <w:lang w:eastAsia="ja-JP"/>
              </w:rPr>
              <w:t>.1 in TS 36.521-1[14]</w:t>
            </w:r>
            <w:r>
              <w:rPr>
                <w:rFonts w:hint="eastAsia" w:eastAsia="宋体" w:cs="v4.2.0"/>
                <w:b w:val="0"/>
                <w:bCs/>
                <w:lang w:val="en-US" w:eastAsia="zh-CN"/>
              </w:rPr>
              <w:t xml:space="preserve"> for </w:t>
            </w:r>
            <w:r>
              <w:rPr>
                <w:rFonts w:cs="v4.2.0"/>
                <w:b w:val="0"/>
                <w:bCs/>
                <w:lang w:eastAsia="ja-JP"/>
              </w:rPr>
              <w:t xml:space="preserve">f </w:t>
            </w:r>
            <w:r>
              <w:rPr>
                <w:rFonts w:cs="Arial"/>
                <w:b w:val="0"/>
                <w:bCs/>
              </w:rPr>
              <w:t>&lt; 5</w:t>
            </w:r>
            <w:r>
              <w:rPr>
                <w:rFonts w:cs="Arial"/>
                <w:b w:val="0"/>
                <w:bCs/>
                <w:vertAlign w:val="superscript"/>
              </w:rPr>
              <w:t>th</w:t>
            </w:r>
            <w:r>
              <w:rPr>
                <w:rFonts w:cs="Arial"/>
                <w:b w:val="0"/>
                <w:bCs/>
              </w:rPr>
              <w:t xml:space="preserve"> harmonic of the upper frequency edge of the UL operating band in GHz</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6.5B.4.3</w:t>
            </w:r>
            <w:r>
              <w:rPr>
                <w:b w:val="0"/>
                <w:bCs/>
                <w:lang w:val="en-US" w:eastAsia="zh-CN"/>
              </w:rPr>
              <w:t xml:space="preserve"> </w:t>
            </w:r>
            <w:r>
              <w:rPr>
                <w:b w:val="0"/>
                <w:bCs/>
              </w:rPr>
              <w:t>Spurious emission band UE co-existence</w:t>
            </w:r>
            <w:r>
              <w:rPr>
                <w:rFonts w:hint="eastAsia"/>
                <w:b w:val="0"/>
                <w:bCs/>
              </w:rPr>
              <w:t xml:space="preserve"> for category NB1 and NB2</w:t>
            </w:r>
          </w:p>
        </w:tc>
        <w:tc>
          <w:tcPr>
            <w:tcW w:w="4560" w:type="dxa"/>
          </w:tcPr>
          <w:p>
            <w:pPr>
              <w:pStyle w:val="104"/>
              <w:jc w:val="left"/>
              <w:rPr>
                <w:rFonts w:cs="v4.2.0" w:eastAsiaTheme="minorEastAsia"/>
                <w:b w:val="0"/>
                <w:bCs/>
                <w:lang w:val="en-US" w:eastAsia="ja-JP"/>
              </w:rPr>
            </w:pPr>
            <w:r>
              <w:rPr>
                <w:rFonts w:cs="v4.2.0"/>
                <w:b w:val="0"/>
                <w:bCs/>
                <w:lang w:eastAsia="ja-JP"/>
              </w:rPr>
              <w:t xml:space="preserve">Same as clause </w:t>
            </w:r>
            <w:r>
              <w:rPr>
                <w:b w:val="0"/>
                <w:bCs/>
              </w:rPr>
              <w:t>6.6.3F.2</w:t>
            </w:r>
            <w:r>
              <w:rPr>
                <w:rFonts w:cs="Arial"/>
                <w:b w:val="0"/>
                <w:bCs/>
                <w:szCs w:val="16"/>
                <w:lang w:eastAsia="zh-TW"/>
              </w:rPr>
              <w:t xml:space="preserve"> </w:t>
            </w:r>
            <w:r>
              <w:rPr>
                <w:rFonts w:cs="v4.2.0"/>
                <w:b w:val="0"/>
                <w:bCs/>
                <w:lang w:eastAsia="ja-JP"/>
              </w:rPr>
              <w:t>in TS 36.521-1 [14]</w:t>
            </w:r>
            <w:r>
              <w:rPr>
                <w:rFonts w:eastAsia="宋体" w:cs="v4.2.0"/>
                <w:b w:val="0"/>
                <w:bCs/>
                <w:lang w:val="en-US" w:eastAsia="zh-CN"/>
              </w:rPr>
              <w:t xml:space="preserve"> for FDD band with “</w:t>
            </w:r>
            <w:r>
              <w:rPr>
                <w:b w:val="0"/>
                <w:bCs/>
              </w:rPr>
              <w:t xml:space="preserve">results &gt; -60 dBm, f </w:t>
            </w:r>
            <w:r>
              <w:rPr>
                <w:rFonts w:hint="eastAsia"/>
                <w:b w:val="0"/>
                <w:bCs/>
              </w:rPr>
              <w:t>≤</w:t>
            </w:r>
            <w:r>
              <w:rPr>
                <w:b w:val="0"/>
                <w:bCs/>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6.5B.4.4</w:t>
            </w:r>
            <w:r>
              <w:rPr>
                <w:b w:val="0"/>
                <w:bCs/>
                <w:lang w:val="en-US" w:eastAsia="zh-CN"/>
              </w:rPr>
              <w:t xml:space="preserve"> </w:t>
            </w:r>
            <w:r>
              <w:rPr>
                <w:b w:val="0"/>
                <w:bCs/>
              </w:rPr>
              <w:t>Additional spurious emissions</w:t>
            </w:r>
            <w:r>
              <w:rPr>
                <w:rFonts w:hint="eastAsia"/>
                <w:b w:val="0"/>
                <w:bCs/>
              </w:rPr>
              <w:t xml:space="preserve"> for category NB1 and NB2</w:t>
            </w:r>
          </w:p>
        </w:tc>
        <w:tc>
          <w:tcPr>
            <w:tcW w:w="4560" w:type="dxa"/>
          </w:tcPr>
          <w:p>
            <w:pPr>
              <w:pStyle w:val="104"/>
              <w:jc w:val="left"/>
              <w:rPr>
                <w:rFonts w:cs="v4.2.0" w:eastAsiaTheme="minorEastAsia"/>
                <w:b w:val="0"/>
                <w:bCs/>
                <w:lang w:val="en-US" w:eastAsia="ja-JP"/>
              </w:rPr>
            </w:pPr>
            <w:r>
              <w:rPr>
                <w:b w:val="0"/>
                <w:bCs/>
              </w:rPr>
              <w:t>± 2.0 dB, f ≤ 3.0GHz</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6.6B</w:t>
            </w:r>
            <w:r>
              <w:rPr>
                <w:b w:val="0"/>
                <w:bCs/>
                <w:lang w:val="en-US" w:eastAsia="zh-CN"/>
              </w:rPr>
              <w:t xml:space="preserve"> </w:t>
            </w:r>
            <w:r>
              <w:rPr>
                <w:b w:val="0"/>
                <w:bCs/>
              </w:rPr>
              <w:t>Transmit intermodulation for category NB1 and NB2</w:t>
            </w:r>
          </w:p>
        </w:tc>
        <w:tc>
          <w:tcPr>
            <w:tcW w:w="4560" w:type="dxa"/>
          </w:tcPr>
          <w:p>
            <w:pPr>
              <w:pStyle w:val="104"/>
              <w:jc w:val="left"/>
              <w:rPr>
                <w:rFonts w:cs="v4.2.0"/>
                <w:b w:val="0"/>
                <w:bCs/>
                <w:lang w:val="en-US" w:eastAsia="ja-JP"/>
              </w:rPr>
            </w:pPr>
            <w:r>
              <w:rPr>
                <w:rFonts w:cs="v4.2.0"/>
                <w:b w:val="0"/>
                <w:bCs/>
                <w:lang w:eastAsia="ja-JP"/>
              </w:rPr>
              <w:t xml:space="preserve">Same as clause </w:t>
            </w:r>
            <w:r>
              <w:rPr>
                <w:rFonts w:cs="Arial"/>
                <w:b w:val="0"/>
                <w:bCs/>
                <w:szCs w:val="16"/>
                <w:lang w:eastAsia="ko-KR"/>
              </w:rPr>
              <w:t xml:space="preserve">6.7F </w:t>
            </w:r>
            <w:r>
              <w:rPr>
                <w:rFonts w:cs="v4.2.0"/>
                <w:b w:val="0"/>
                <w:bCs/>
                <w:lang w:eastAsia="ja-JP"/>
              </w:rPr>
              <w:t>in TS 36.521-1 [14]</w:t>
            </w:r>
            <w:r>
              <w:rPr>
                <w:rFonts w:hint="eastAsia" w:eastAsia="宋体" w:cs="v4.2.0"/>
                <w:b w:val="0"/>
                <w:bCs/>
                <w:lang w:val="en-US" w:eastAsia="zh-CN"/>
              </w:rPr>
              <w:t xml:space="preserve"> for FDD band with </w:t>
            </w:r>
            <w:r>
              <w:rPr>
                <w:rFonts w:eastAsia="宋体" w:cs="v4.2.0"/>
                <w:b w:val="0"/>
                <w:bCs/>
                <w:lang w:val="en-US" w:eastAsia="zh-CN"/>
              </w:rPr>
              <w:t>“</w:t>
            </w:r>
            <w:r>
              <w:rPr>
                <w:rFonts w:cs="v4.2.0"/>
                <w:b w:val="0"/>
                <w:bCs/>
                <w:lang w:eastAsia="ja-JP"/>
              </w:rPr>
              <w:t xml:space="preserve">f </w:t>
            </w:r>
            <w:r>
              <w:rPr>
                <w:rFonts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bl>
    <w:p>
      <w:pPr>
        <w:rPr>
          <w:lang w:eastAsia="ja-JP"/>
        </w:rPr>
      </w:pPr>
    </w:p>
    <w:p>
      <w:pPr>
        <w:pStyle w:val="4"/>
      </w:pPr>
      <w:bookmarkStart w:id="2353" w:name="_Toc16232"/>
      <w:bookmarkStart w:id="2354" w:name="_Toc32600"/>
      <w:bookmarkStart w:id="2355" w:name="_Toc232582178"/>
      <w:bookmarkStart w:id="2356" w:name="_Toc1870"/>
      <w:bookmarkStart w:id="2357" w:name="_Toc21980"/>
      <w:bookmarkStart w:id="2358" w:name="_Toc9554"/>
      <w:r>
        <w:t>F.1.3</w:t>
      </w:r>
      <w:r>
        <w:tab/>
      </w:r>
      <w:r>
        <w:rPr>
          <w:lang w:eastAsia="sv-SE"/>
        </w:rPr>
        <w:t xml:space="preserve">Measurement of </w:t>
      </w:r>
      <w:r>
        <w:t>receiver</w:t>
      </w:r>
      <w:bookmarkEnd w:id="2353"/>
      <w:bookmarkEnd w:id="2354"/>
      <w:bookmarkEnd w:id="2355"/>
      <w:bookmarkEnd w:id="2356"/>
      <w:bookmarkEnd w:id="2357"/>
      <w:bookmarkEnd w:id="2358"/>
    </w:p>
    <w:p>
      <w:pPr>
        <w:pStyle w:val="113"/>
      </w:pPr>
      <w:r>
        <w:t>Table F.1.3</w:t>
      </w:r>
      <w:r>
        <w:rPr>
          <w:lang w:eastAsia="ja-JP"/>
        </w:rPr>
        <w:t>-1</w:t>
      </w:r>
      <w:r>
        <w:t>: Maximum Test System Uncertainty for receiver tests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410"/>
        <w:gridCol w:w="4536"/>
        <w:gridCol w:w="25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rPr>
                <w:lang w:eastAsia="zh-CN"/>
              </w:rPr>
            </w:pPr>
            <w:r>
              <w:rPr>
                <w:lang w:eastAsia="zh-CN"/>
              </w:rPr>
              <w:t>Subclause</w:t>
            </w:r>
          </w:p>
        </w:tc>
        <w:tc>
          <w:tcPr>
            <w:tcW w:w="4536" w:type="dxa"/>
          </w:tcPr>
          <w:p>
            <w:pPr>
              <w:pStyle w:val="104"/>
              <w:rPr>
                <w:lang w:eastAsia="zh-CN"/>
              </w:rPr>
            </w:pPr>
            <w:r>
              <w:rPr>
                <w:lang w:eastAsia="zh-CN"/>
              </w:rPr>
              <w:t>Maximum Test System Uncertainty</w:t>
            </w:r>
            <w:r>
              <w:rPr>
                <w:vertAlign w:val="superscript"/>
                <w:lang w:eastAsia="zh-CN"/>
              </w:rPr>
              <w:t>1</w:t>
            </w:r>
          </w:p>
        </w:tc>
        <w:tc>
          <w:tcPr>
            <w:tcW w:w="2569" w:type="dxa"/>
          </w:tcPr>
          <w:p>
            <w:pPr>
              <w:pStyle w:val="104"/>
              <w:rPr>
                <w:lang w:eastAsia="zh-CN"/>
              </w:rPr>
            </w:pPr>
            <w:r>
              <w:rPr>
                <w:lang w:eastAsia="zh-CN"/>
              </w:rP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rPr>
            </w:pPr>
            <w:r>
              <w:rPr>
                <w:b w:val="0"/>
                <w:bCs/>
              </w:rPr>
              <w:t>7.3B</w:t>
            </w:r>
            <w:r>
              <w:rPr>
                <w:b w:val="0"/>
                <w:bCs/>
                <w:lang w:val="en-US" w:eastAsia="zh-CN"/>
              </w:rPr>
              <w:t xml:space="preserve"> </w:t>
            </w:r>
            <w:r>
              <w:rPr>
                <w:b w:val="0"/>
                <w:bCs/>
              </w:rPr>
              <w:t>Reference sensitivity power level for UE category NB1 and NB2</w:t>
            </w:r>
          </w:p>
        </w:tc>
        <w:tc>
          <w:tcPr>
            <w:tcW w:w="4536" w:type="dxa"/>
          </w:tcPr>
          <w:p>
            <w:pPr>
              <w:pStyle w:val="104"/>
              <w:jc w:val="left"/>
              <w:rPr>
                <w:rFonts w:cs="v4.2.0"/>
                <w:b w:val="0"/>
                <w:bCs/>
                <w:lang w:eastAsia="ja-JP"/>
              </w:rPr>
            </w:pPr>
            <w:r>
              <w:rPr>
                <w:rFonts w:cs="v4.2.0"/>
                <w:b w:val="0"/>
                <w:bCs/>
                <w:lang w:eastAsia="ja-JP"/>
              </w:rPr>
              <w:t>Same as clause</w:t>
            </w:r>
            <w:r>
              <w:rPr>
                <w:rFonts w:cs="v4.2.0"/>
                <w:b w:val="0"/>
                <w:bCs/>
                <w:lang w:val="en-US" w:eastAsia="zh-CN"/>
              </w:rPr>
              <w:t xml:space="preserve"> </w:t>
            </w:r>
            <w:r>
              <w:rPr>
                <w:b w:val="0"/>
                <w:bCs/>
              </w:rPr>
              <w:t>7.3F.1</w:t>
            </w:r>
            <w:r>
              <w:rPr>
                <w:rFonts w:cs="v4.2.0"/>
                <w:b w:val="0"/>
                <w:bCs/>
                <w:lang w:eastAsia="ja-JP"/>
              </w:rPr>
              <w:t xml:space="preserve"> in TS 36.521-1 [14]</w:t>
            </w:r>
          </w:p>
        </w:tc>
        <w:tc>
          <w:tcPr>
            <w:tcW w:w="2569" w:type="dxa"/>
          </w:tcPr>
          <w:p>
            <w:pPr>
              <w:pStyle w:val="103"/>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
            </w:pPr>
            <w:r>
              <w:rPr>
                <w:b w:val="0"/>
                <w:bCs/>
              </w:rPr>
              <w:t>7.4A Maximum input level for category M1</w:t>
            </w:r>
          </w:p>
        </w:tc>
        <w:tc>
          <w:tcPr>
            <w:tcW w:w="4536" w:type="dxa"/>
          </w:tcPr>
          <w:p>
            <w:pPr>
              <w:pStyle w:val="104"/>
              <w:jc w:val="left"/>
              <w:rPr>
                <w:b w:val="0"/>
                <w:bCs/>
                <w:lang w:eastAsia="zh-CN"/>
              </w:rPr>
            </w:pPr>
            <w:r>
              <w:rPr>
                <w:rFonts w:cs="v4.2.0"/>
                <w:b w:val="0"/>
                <w:bCs/>
                <w:lang w:eastAsia="ja-JP"/>
              </w:rPr>
              <w:t xml:space="preserve">Same as clause </w:t>
            </w:r>
            <w:r>
              <w:rPr>
                <w:rFonts w:cs="v4.2.0"/>
                <w:b w:val="0"/>
                <w:bCs/>
                <w:lang w:eastAsia="zh-TW"/>
              </w:rPr>
              <w:t>7.4EA</w:t>
            </w:r>
            <w:r>
              <w:rPr>
                <w:rFonts w:cs="v4.2.0"/>
                <w:b w:val="0"/>
                <w:bCs/>
                <w:lang w:eastAsia="ja-JP"/>
              </w:rPr>
              <w:t xml:space="preserve"> 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569" w:type="dxa"/>
          </w:tcPr>
          <w:p>
            <w:pPr>
              <w:pStyle w:val="103"/>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
            </w:pPr>
            <w:r>
              <w:rPr>
                <w:b w:val="0"/>
                <w:bCs/>
              </w:rPr>
              <w:t>7.4B Maximum input level for category NB1 and NB2</w:t>
            </w:r>
          </w:p>
        </w:tc>
        <w:tc>
          <w:tcPr>
            <w:tcW w:w="4536" w:type="dxa"/>
          </w:tcPr>
          <w:p>
            <w:pPr>
              <w:pStyle w:val="104"/>
              <w:jc w:val="left"/>
              <w:rPr>
                <w:b w:val="0"/>
                <w:bCs/>
                <w:lang w:eastAsia="zh-CN"/>
              </w:rPr>
            </w:pPr>
            <w:r>
              <w:rPr>
                <w:rFonts w:cs="v4.2.0"/>
                <w:b w:val="0"/>
                <w:bCs/>
                <w:lang w:eastAsia="ja-JP"/>
              </w:rPr>
              <w:t xml:space="preserve">Same as clause </w:t>
            </w:r>
            <w:r>
              <w:rPr>
                <w:b w:val="0"/>
                <w:bCs/>
                <w:lang w:eastAsia="zh-CN"/>
              </w:rPr>
              <w:t xml:space="preserve">7.4F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569" w:type="dxa"/>
          </w:tcPr>
          <w:p>
            <w:pPr>
              <w:pStyle w:val="103"/>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
            </w:pPr>
            <w:r>
              <w:rPr>
                <w:b w:val="0"/>
                <w:bCs/>
              </w:rPr>
              <w:t>7.5A Adjacent Channel Selectivity for category M1</w:t>
            </w:r>
          </w:p>
        </w:tc>
        <w:tc>
          <w:tcPr>
            <w:tcW w:w="4536" w:type="dxa"/>
          </w:tcPr>
          <w:p>
            <w:pPr>
              <w:pStyle w:val="104"/>
              <w:jc w:val="left"/>
              <w:rPr>
                <w:b w:val="0"/>
                <w:bCs/>
                <w:lang w:eastAsia="zh-CN"/>
              </w:rPr>
            </w:pPr>
            <w:r>
              <w:rPr>
                <w:rFonts w:cs="v4.2.0"/>
                <w:b w:val="0"/>
                <w:bCs/>
                <w:lang w:eastAsia="ja-JP"/>
              </w:rPr>
              <w:t xml:space="preserve">Same as clause </w:t>
            </w:r>
            <w:r>
              <w:rPr>
                <w:rFonts w:cs="v4.2.0"/>
                <w:b w:val="0"/>
                <w:bCs/>
                <w:lang w:eastAsia="zh-TW"/>
              </w:rPr>
              <w:t xml:space="preserve">7.5EA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569" w:type="dxa"/>
          </w:tcPr>
          <w:p>
            <w:pPr>
              <w:pStyle w:val="103"/>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
            </w:pPr>
            <w:r>
              <w:rPr>
                <w:b w:val="0"/>
                <w:bCs/>
              </w:rPr>
              <w:t>7.5B Adjacent Channel Selectivity for category NB1 and NB2</w:t>
            </w:r>
          </w:p>
        </w:tc>
        <w:tc>
          <w:tcPr>
            <w:tcW w:w="4536" w:type="dxa"/>
          </w:tcPr>
          <w:p>
            <w:pPr>
              <w:pStyle w:val="104"/>
              <w:jc w:val="left"/>
              <w:rPr>
                <w:b w:val="0"/>
                <w:bCs/>
                <w:lang w:eastAsia="zh-CN"/>
              </w:rPr>
            </w:pPr>
            <w:r>
              <w:rPr>
                <w:rFonts w:cs="v4.2.0"/>
                <w:b w:val="0"/>
                <w:bCs/>
                <w:lang w:eastAsia="ja-JP"/>
              </w:rPr>
              <w:t xml:space="preserve">Same as clause </w:t>
            </w:r>
            <w:r>
              <w:rPr>
                <w:rFonts w:cs="v4.2.0"/>
                <w:b w:val="0"/>
                <w:bCs/>
              </w:rPr>
              <w:t xml:space="preserve">7.5F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569" w:type="dxa"/>
          </w:tcPr>
          <w:p>
            <w:pPr>
              <w:pStyle w:val="103"/>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
            </w:pPr>
            <w:r>
              <w:rPr>
                <w:b w:val="0"/>
                <w:bCs/>
              </w:rPr>
              <w:t>7.6A.2 In-band blocking for category M1</w:t>
            </w:r>
          </w:p>
        </w:tc>
        <w:tc>
          <w:tcPr>
            <w:tcW w:w="4536" w:type="dxa"/>
          </w:tcPr>
          <w:p>
            <w:pPr>
              <w:pStyle w:val="104"/>
              <w:jc w:val="left"/>
              <w:rPr>
                <w:b w:val="0"/>
                <w:bCs/>
                <w:lang w:eastAsia="zh-CN"/>
              </w:rPr>
            </w:pPr>
            <w:r>
              <w:rPr>
                <w:rFonts w:cs="v4.2.0"/>
                <w:b w:val="0"/>
                <w:bCs/>
                <w:lang w:eastAsia="ja-JP"/>
              </w:rPr>
              <w:t>Same as clause 7.6.1E</w:t>
            </w:r>
            <w:r>
              <w:rPr>
                <w:rFonts w:cs="v4.2.0"/>
                <w:b w:val="0"/>
                <w:bCs/>
                <w:lang w:eastAsia="ko-KR"/>
              </w:rPr>
              <w:t>A</w:t>
            </w:r>
            <w:r>
              <w:rPr>
                <w:rFonts w:cs="v4.2.0"/>
                <w:b w:val="0"/>
                <w:bCs/>
                <w:lang w:eastAsia="ja-JP"/>
              </w:rPr>
              <w:t xml:space="preserve"> in TS 36.521-1 [14].</w:t>
            </w:r>
          </w:p>
        </w:tc>
        <w:tc>
          <w:tcPr>
            <w:tcW w:w="2569" w:type="dxa"/>
          </w:tcPr>
          <w:p>
            <w:pPr>
              <w:pStyle w:val="103"/>
              <w:rPr>
                <w:lang w:eastAsia="zh-CN"/>
              </w:rPr>
            </w:pPr>
            <w:r>
              <w:rPr>
                <w:b w:val="0"/>
                <w:lang w:eastAsia="zh-CN"/>
              </w:rPr>
              <w:t>Same as clause 7.6.1EA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rPr>
            </w:pPr>
            <w:r>
              <w:rPr>
                <w:b w:val="0"/>
                <w:bCs/>
              </w:rPr>
              <w:t>7.6A.3</w:t>
            </w:r>
            <w:r>
              <w:rPr>
                <w:b w:val="0"/>
                <w:bCs/>
              </w:rPr>
              <w:tab/>
            </w:r>
            <w:r>
              <w:rPr>
                <w:b w:val="0"/>
                <w:bCs/>
              </w:rPr>
              <w:t>Out-of-band blocking for category M1</w:t>
            </w:r>
          </w:p>
        </w:tc>
        <w:tc>
          <w:tcPr>
            <w:tcW w:w="4536" w:type="dxa"/>
          </w:tcPr>
          <w:p>
            <w:pPr>
              <w:pStyle w:val="104"/>
              <w:jc w:val="left"/>
              <w:rPr>
                <w:rFonts w:cs="v4.2.0"/>
                <w:b w:val="0"/>
                <w:bCs/>
                <w:lang w:eastAsia="ja-JP"/>
              </w:rPr>
            </w:pPr>
            <w:r>
              <w:rPr>
                <w:rFonts w:cs="v4.2.0"/>
                <w:b w:val="0"/>
                <w:bCs/>
                <w:lang w:eastAsia="ja-JP"/>
              </w:rPr>
              <w:t>Same as clause 7.6.2EA in TS 36.521-1 [14].</w:t>
            </w:r>
          </w:p>
        </w:tc>
        <w:tc>
          <w:tcPr>
            <w:tcW w:w="2569" w:type="dxa"/>
          </w:tcPr>
          <w:p>
            <w:pPr>
              <w:pStyle w:val="103"/>
              <w:rPr>
                <w:lang w:eastAsia="zh-CN"/>
              </w:rPr>
            </w:pPr>
            <w:r>
              <w:rPr>
                <w:lang w:eastAsia="ja-JP"/>
              </w:rPr>
              <w:t>Same as clause 7.6.2E</w:t>
            </w:r>
            <w:r>
              <w:rPr>
                <w:lang w:eastAsia="ko-KR"/>
              </w:rPr>
              <w:t>A</w:t>
            </w:r>
            <w:r>
              <w:rPr>
                <w:lang w:eastAsia="ja-JP"/>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rPr>
            </w:pPr>
            <w:r>
              <w:rPr>
                <w:b w:val="0"/>
                <w:bCs/>
              </w:rPr>
              <w:t>7.6A.4</w:t>
            </w:r>
            <w:r>
              <w:rPr>
                <w:b w:val="0"/>
                <w:bCs/>
              </w:rPr>
              <w:tab/>
            </w:r>
            <w:r>
              <w:rPr>
                <w:b w:val="0"/>
                <w:bCs/>
              </w:rPr>
              <w:t>Narrow band blocking for category M1</w:t>
            </w:r>
          </w:p>
        </w:tc>
        <w:tc>
          <w:tcPr>
            <w:tcW w:w="4536" w:type="dxa"/>
          </w:tcPr>
          <w:p>
            <w:pPr>
              <w:pStyle w:val="104"/>
              <w:jc w:val="left"/>
              <w:rPr>
                <w:rFonts w:cs="v4.2.0"/>
                <w:b w:val="0"/>
                <w:bCs/>
                <w:lang w:eastAsia="ja-JP"/>
              </w:rPr>
            </w:pPr>
            <w:r>
              <w:rPr>
                <w:rFonts w:cs="v4.2.0"/>
                <w:b w:val="0"/>
                <w:bCs/>
                <w:lang w:eastAsia="ja-JP"/>
              </w:rPr>
              <w:t>Same as clause 7.6.3EA in TS 36.521-1 [14].</w:t>
            </w:r>
          </w:p>
        </w:tc>
        <w:tc>
          <w:tcPr>
            <w:tcW w:w="2569" w:type="dxa"/>
          </w:tcPr>
          <w:p>
            <w:pPr>
              <w:pStyle w:val="103"/>
              <w:rPr>
                <w:b/>
                <w:bCs/>
                <w:lang w:eastAsia="zh-CN"/>
              </w:rPr>
            </w:pPr>
            <w:r>
              <w:rPr>
                <w:lang w:eastAsia="ja-JP"/>
              </w:rPr>
              <w:t>Same as clause 7.6.3E</w:t>
            </w:r>
            <w:r>
              <w:rPr>
                <w:lang w:eastAsia="ko-KR"/>
              </w:rPr>
              <w:t>A</w:t>
            </w:r>
            <w:r>
              <w:rPr>
                <w:lang w:eastAsia="ja-JP"/>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
            </w:pPr>
            <w:r>
              <w:rPr>
                <w:rFonts w:cs="v4.2.0"/>
                <w:b w:val="0"/>
                <w:bCs/>
              </w:rPr>
              <w:t>7.6B.2 In-band blocking for category NB1 and NB2</w:t>
            </w:r>
          </w:p>
        </w:tc>
        <w:tc>
          <w:tcPr>
            <w:tcW w:w="4536" w:type="dxa"/>
          </w:tcPr>
          <w:p>
            <w:pPr>
              <w:pStyle w:val="104"/>
              <w:jc w:val="left"/>
              <w:rPr>
                <w:b w:val="0"/>
                <w:bCs/>
                <w:lang w:eastAsia="zh-CN"/>
              </w:rPr>
            </w:pPr>
            <w:r>
              <w:rPr>
                <w:rFonts w:cs="v4.2.0"/>
                <w:b w:val="0"/>
                <w:bCs/>
                <w:lang w:eastAsia="ja-JP"/>
              </w:rPr>
              <w:t xml:space="preserve">Same as clause </w:t>
            </w:r>
            <w:r>
              <w:rPr>
                <w:rFonts w:cs="v4.2.0"/>
                <w:b w:val="0"/>
                <w:bCs/>
              </w:rPr>
              <w:t xml:space="preserve">7.6.1F </w:t>
            </w:r>
            <w:r>
              <w:rPr>
                <w:rFonts w:cs="v4.2.0"/>
                <w:b w:val="0"/>
                <w:bCs/>
                <w:lang w:eastAsia="ja-JP"/>
              </w:rPr>
              <w:t>in TS 36.521-1 [14].</w:t>
            </w:r>
          </w:p>
        </w:tc>
        <w:tc>
          <w:tcPr>
            <w:tcW w:w="2569" w:type="dxa"/>
          </w:tcPr>
          <w:p>
            <w:pPr>
              <w:pStyle w:val="103"/>
              <w:rPr>
                <w:lang w:eastAsia="zh-CN"/>
              </w:rPr>
            </w:pPr>
            <w:r>
              <w:rPr>
                <w:lang w:eastAsia="ja-JP"/>
              </w:rPr>
              <w:t xml:space="preserve">Same as clause </w:t>
            </w:r>
            <w:r>
              <w:t xml:space="preserve">7.6.1F </w:t>
            </w:r>
            <w:r>
              <w:rPr>
                <w:lang w:eastAsia="ja-JP"/>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rFonts w:cs="v4.2.0"/>
                <w:b w:val="0"/>
                <w:bCs/>
              </w:rPr>
            </w:pPr>
            <w:r>
              <w:rPr>
                <w:b w:val="0"/>
                <w:bCs/>
              </w:rPr>
              <w:t>7.6B.3</w:t>
            </w:r>
            <w:r>
              <w:rPr>
                <w:b w:val="0"/>
                <w:bCs/>
              </w:rPr>
              <w:tab/>
            </w:r>
            <w:r>
              <w:rPr>
                <w:b w:val="0"/>
                <w:bCs/>
              </w:rPr>
              <w:t>Out-of-band blocking for category NB1 and NB2</w:t>
            </w:r>
          </w:p>
        </w:tc>
        <w:tc>
          <w:tcPr>
            <w:tcW w:w="4536" w:type="dxa"/>
          </w:tcPr>
          <w:p>
            <w:pPr>
              <w:pStyle w:val="104"/>
              <w:jc w:val="left"/>
              <w:rPr>
                <w:rFonts w:cs="v4.2.0"/>
                <w:b w:val="0"/>
                <w:bCs/>
                <w:lang w:eastAsia="ja-JP"/>
              </w:rPr>
            </w:pPr>
            <w:r>
              <w:rPr>
                <w:rFonts w:cs="v4.2.0"/>
                <w:b w:val="0"/>
                <w:bCs/>
                <w:lang w:eastAsia="ja-JP"/>
              </w:rPr>
              <w:t xml:space="preserve">Same as clause </w:t>
            </w:r>
            <w:r>
              <w:rPr>
                <w:rFonts w:cs="v4.2.0"/>
                <w:b w:val="0"/>
                <w:bCs/>
              </w:rPr>
              <w:t xml:space="preserve">7.6.2F </w:t>
            </w:r>
            <w:r>
              <w:rPr>
                <w:rFonts w:cs="v4.2.0"/>
                <w:b w:val="0"/>
                <w:bCs/>
                <w:lang w:eastAsia="ja-JP"/>
              </w:rPr>
              <w:t>in TS 36.521-1 [14].</w:t>
            </w:r>
          </w:p>
        </w:tc>
        <w:tc>
          <w:tcPr>
            <w:tcW w:w="2569" w:type="dxa"/>
          </w:tcPr>
          <w:p>
            <w:pPr>
              <w:pStyle w:val="103"/>
              <w:rPr>
                <w:b/>
                <w:bCs/>
                <w:lang w:eastAsia="zh-CN"/>
              </w:rPr>
            </w:pPr>
            <w:r>
              <w:rPr>
                <w:lang w:eastAsia="ja-JP"/>
              </w:rPr>
              <w:t xml:space="preserve">Same as clause </w:t>
            </w:r>
            <w:r>
              <w:t xml:space="preserve">7.6.2F </w:t>
            </w:r>
            <w:r>
              <w:rPr>
                <w:lang w:eastAsia="ja-JP"/>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rFonts w:cs="v4.2.0"/>
                <w:b w:val="0"/>
                <w:bCs/>
              </w:rPr>
            </w:pPr>
            <w:r>
              <w:rPr>
                <w:b w:val="0"/>
                <w:bCs/>
              </w:rPr>
              <w:t>7.7A</w:t>
            </w:r>
            <w:r>
              <w:rPr>
                <w:b w:val="0"/>
                <w:bCs/>
              </w:rPr>
              <w:tab/>
            </w:r>
            <w:r>
              <w:rPr>
                <w:b w:val="0"/>
                <w:bCs/>
              </w:rPr>
              <w:t>Spurious response for category M1</w:t>
            </w:r>
          </w:p>
        </w:tc>
        <w:tc>
          <w:tcPr>
            <w:tcW w:w="4536" w:type="dxa"/>
          </w:tcPr>
          <w:p>
            <w:pPr>
              <w:pStyle w:val="104"/>
              <w:jc w:val="left"/>
              <w:rPr>
                <w:rFonts w:cs="v4.2.0"/>
                <w:b w:val="0"/>
                <w:bCs/>
                <w:lang w:eastAsia="ja-JP"/>
              </w:rPr>
            </w:pPr>
            <w:r>
              <w:rPr>
                <w:rFonts w:cs="v4.2.0"/>
                <w:b w:val="0"/>
                <w:bCs/>
                <w:lang w:eastAsia="ja-JP"/>
              </w:rPr>
              <w:t xml:space="preserve">Same as clause </w:t>
            </w:r>
            <w:r>
              <w:rPr>
                <w:b w:val="0"/>
                <w:bCs/>
              </w:rPr>
              <w:t>7.6A.3</w:t>
            </w:r>
            <w:r>
              <w:rPr>
                <w:rFonts w:cs="v4.2.0"/>
                <w:b w:val="0"/>
                <w:bCs/>
                <w:lang w:eastAsia="ja-JP"/>
              </w:rPr>
              <w:t>.</w:t>
            </w:r>
          </w:p>
        </w:tc>
        <w:tc>
          <w:tcPr>
            <w:tcW w:w="2569" w:type="dxa"/>
          </w:tcPr>
          <w:p>
            <w:pPr>
              <w:pStyle w:val="103"/>
              <w:rPr>
                <w:b/>
                <w:bCs/>
                <w:lang w:eastAsia="zh-CN"/>
              </w:rPr>
            </w:pPr>
            <w:r>
              <w:rPr>
                <w:lang w:eastAsia="ja-JP"/>
              </w:rPr>
              <w:t xml:space="preserve">Same as clause </w:t>
            </w:r>
            <w:r>
              <w:t>7.6A.3</w:t>
            </w:r>
            <w:r>
              <w:rPr>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rFonts w:cs="v4.2.0"/>
                <w:b w:val="0"/>
                <w:bCs/>
              </w:rPr>
            </w:pPr>
            <w:r>
              <w:rPr>
                <w:b w:val="0"/>
                <w:bCs/>
              </w:rPr>
              <w:t>7.7B</w:t>
            </w:r>
            <w:r>
              <w:rPr>
                <w:b w:val="0"/>
                <w:bCs/>
              </w:rPr>
              <w:tab/>
            </w:r>
            <w:r>
              <w:rPr>
                <w:b w:val="0"/>
                <w:bCs/>
              </w:rPr>
              <w:t>Spurious response for category NB1 and NB2</w:t>
            </w:r>
          </w:p>
        </w:tc>
        <w:tc>
          <w:tcPr>
            <w:tcW w:w="4536" w:type="dxa"/>
          </w:tcPr>
          <w:p>
            <w:pPr>
              <w:pStyle w:val="104"/>
              <w:jc w:val="left"/>
              <w:rPr>
                <w:rFonts w:cs="v4.2.0"/>
                <w:b w:val="0"/>
                <w:bCs/>
                <w:lang w:eastAsia="ja-JP"/>
              </w:rPr>
            </w:pPr>
            <w:r>
              <w:rPr>
                <w:rFonts w:cs="v4.2.0"/>
                <w:b w:val="0"/>
                <w:bCs/>
                <w:lang w:eastAsia="ja-JP"/>
              </w:rPr>
              <w:t xml:space="preserve">Same as clause </w:t>
            </w:r>
            <w:r>
              <w:rPr>
                <w:b w:val="0"/>
                <w:bCs/>
              </w:rPr>
              <w:t>7.6B.3</w:t>
            </w:r>
            <w:r>
              <w:rPr>
                <w:rFonts w:cs="v4.2.0"/>
                <w:b w:val="0"/>
                <w:bCs/>
                <w:lang w:eastAsia="ja-JP"/>
              </w:rPr>
              <w:t>.</w:t>
            </w:r>
          </w:p>
        </w:tc>
        <w:tc>
          <w:tcPr>
            <w:tcW w:w="2569" w:type="dxa"/>
          </w:tcPr>
          <w:p>
            <w:pPr>
              <w:pStyle w:val="103"/>
              <w:rPr>
                <w:b/>
                <w:bCs/>
                <w:lang w:eastAsia="zh-CN"/>
              </w:rPr>
            </w:pPr>
            <w:r>
              <w:rPr>
                <w:lang w:eastAsia="ja-JP"/>
              </w:rPr>
              <w:t xml:space="preserve">Same as clause </w:t>
            </w:r>
            <w:r>
              <w:t>7.6B.3</w:t>
            </w:r>
            <w:r>
              <w:rPr>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rFonts w:cs="v4.2.0"/>
                <w:b w:val="0"/>
                <w:bCs/>
              </w:rPr>
            </w:pPr>
            <w:r>
              <w:rPr>
                <w:b w:val="0"/>
                <w:bCs/>
              </w:rPr>
              <w:t>7.8A</w:t>
            </w:r>
            <w:r>
              <w:rPr>
                <w:b w:val="0"/>
                <w:bCs/>
              </w:rPr>
              <w:tab/>
            </w:r>
            <w:r>
              <w:rPr>
                <w:b w:val="0"/>
                <w:bCs/>
              </w:rPr>
              <w:t>Intermodulation characteristics for category M1</w:t>
            </w:r>
          </w:p>
        </w:tc>
        <w:tc>
          <w:tcPr>
            <w:tcW w:w="4536" w:type="dxa"/>
          </w:tcPr>
          <w:p>
            <w:pPr>
              <w:pStyle w:val="104"/>
              <w:jc w:val="left"/>
              <w:rPr>
                <w:rFonts w:cs="v4.2.0"/>
                <w:b w:val="0"/>
                <w:bCs/>
                <w:lang w:eastAsia="ja-JP"/>
              </w:rPr>
            </w:pPr>
            <w:r>
              <w:rPr>
                <w:rFonts w:cs="v4.2.0"/>
                <w:b w:val="0"/>
                <w:bCs/>
                <w:lang w:eastAsia="ja-JP"/>
              </w:rPr>
              <w:t>Same as clause 7.8.1E</w:t>
            </w:r>
            <w:r>
              <w:rPr>
                <w:rFonts w:cs="v4.2.0"/>
                <w:b w:val="0"/>
                <w:bCs/>
                <w:lang w:eastAsia="ko-KR"/>
              </w:rPr>
              <w:t>A</w:t>
            </w:r>
            <w:r>
              <w:rPr>
                <w:rFonts w:cs="v4.2.0"/>
                <w:b w:val="0"/>
                <w:bCs/>
                <w:lang w:eastAsia="ja-JP"/>
              </w:rPr>
              <w:t xml:space="preserve"> in TS 36.521-1 [14] </w:t>
            </w:r>
            <w:r>
              <w:rPr>
                <w:rFonts w:cs="v4.2.0"/>
                <w:b w:val="0"/>
                <w:bCs/>
                <w:lang w:val="en-US"/>
              </w:rPr>
              <w:t>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cs="v4.2.0"/>
                <w:b w:val="0"/>
                <w:bCs/>
                <w:lang w:val="en-US"/>
              </w:rPr>
              <w:t>”</w:t>
            </w:r>
            <w:r>
              <w:rPr>
                <w:rFonts w:cs="v4.2.0"/>
                <w:b w:val="0"/>
                <w:bCs/>
                <w:lang w:eastAsia="ja-JP"/>
              </w:rPr>
              <w:t>.</w:t>
            </w:r>
          </w:p>
        </w:tc>
        <w:tc>
          <w:tcPr>
            <w:tcW w:w="2569" w:type="dxa"/>
          </w:tcPr>
          <w:p>
            <w:pPr>
              <w:pStyle w:val="103"/>
              <w:rPr>
                <w:b/>
                <w:bCs/>
                <w:lang w:eastAsia="zh-CN"/>
              </w:rPr>
            </w:pPr>
            <w:r>
              <w:rPr>
                <w:lang w:eastAsia="ja-JP"/>
              </w:rPr>
              <w:t>Same as clause 7.8.1E</w:t>
            </w:r>
            <w:r>
              <w:rPr>
                <w:lang w:eastAsia="ko-KR"/>
              </w:rPr>
              <w:t>A</w:t>
            </w:r>
            <w:r>
              <w:rPr>
                <w:lang w:eastAsia="ja-JP"/>
              </w:rPr>
              <w:t xml:space="preserve"> in TS 36.521-1 [14] </w:t>
            </w:r>
            <w:r>
              <w:rPr>
                <w:lang w:val="en-US"/>
              </w:rPr>
              <w:t>for FDD band with “</w:t>
            </w:r>
            <w:r>
              <w:rPr>
                <w:lang w:eastAsia="ja-JP"/>
              </w:rPr>
              <w:t xml:space="preserve">f </w:t>
            </w:r>
            <w:r>
              <w:rPr>
                <w:rFonts w:hint="eastAsia"/>
                <w:lang w:eastAsia="ja-JP"/>
              </w:rPr>
              <w:t>≤</w:t>
            </w:r>
            <w:r>
              <w:rPr>
                <w:lang w:eastAsia="ja-JP"/>
              </w:rPr>
              <w:t xml:space="preserve"> 3.0GHz</w:t>
            </w:r>
            <w:r>
              <w:rPr>
                <w:lang w:val="en-US"/>
              </w:rPr>
              <w:t>”</w:t>
            </w:r>
            <w:r>
              <w:rPr>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rFonts w:cs="v4.2.0"/>
                <w:b w:val="0"/>
                <w:bCs/>
              </w:rPr>
            </w:pPr>
            <w:r>
              <w:rPr>
                <w:b w:val="0"/>
                <w:bCs/>
              </w:rPr>
              <w:t>7.8B</w:t>
            </w:r>
            <w:r>
              <w:rPr>
                <w:b w:val="0"/>
                <w:bCs/>
              </w:rPr>
              <w:tab/>
            </w:r>
            <w:r>
              <w:rPr>
                <w:b w:val="0"/>
                <w:bCs/>
              </w:rPr>
              <w:t>Intermodulation characteristics for category NB1 and NB2</w:t>
            </w:r>
          </w:p>
        </w:tc>
        <w:tc>
          <w:tcPr>
            <w:tcW w:w="4536" w:type="dxa"/>
          </w:tcPr>
          <w:p>
            <w:pPr>
              <w:pStyle w:val="104"/>
              <w:jc w:val="left"/>
              <w:rPr>
                <w:rFonts w:cs="v4.2.0"/>
                <w:b w:val="0"/>
                <w:bCs/>
                <w:lang w:eastAsia="ja-JP"/>
              </w:rPr>
            </w:pPr>
            <w:r>
              <w:rPr>
                <w:rFonts w:cs="v4.2.0"/>
                <w:b w:val="0"/>
                <w:bCs/>
                <w:lang w:eastAsia="ja-JP"/>
              </w:rPr>
              <w:t xml:space="preserve">Same as clause </w:t>
            </w:r>
            <w:r>
              <w:rPr>
                <w:rFonts w:cs="v4.2.0"/>
                <w:b w:val="0"/>
                <w:bCs/>
              </w:rPr>
              <w:t xml:space="preserve">7.8.1F </w:t>
            </w:r>
            <w:r>
              <w:rPr>
                <w:rFonts w:cs="v4.2.0"/>
                <w:b w:val="0"/>
                <w:bCs/>
                <w:lang w:eastAsia="ja-JP"/>
              </w:rPr>
              <w:t>in TS 36.521-1 [14].</w:t>
            </w:r>
          </w:p>
        </w:tc>
        <w:tc>
          <w:tcPr>
            <w:tcW w:w="2569" w:type="dxa"/>
          </w:tcPr>
          <w:p>
            <w:pPr>
              <w:pStyle w:val="103"/>
              <w:rPr>
                <w:b/>
                <w:bCs/>
                <w:lang w:eastAsia="zh-CN"/>
              </w:rPr>
            </w:pPr>
            <w:r>
              <w:rPr>
                <w:lang w:eastAsia="ja-JP"/>
              </w:rPr>
              <w:t xml:space="preserve">Same as clause </w:t>
            </w:r>
            <w:r>
              <w:t xml:space="preserve">7.8.1F </w:t>
            </w:r>
            <w:r>
              <w:rPr>
                <w:lang w:eastAsia="ja-JP"/>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rFonts w:cs="v4.2.0"/>
                <w:b w:val="0"/>
                <w:bCs/>
              </w:rPr>
            </w:pPr>
            <w:r>
              <w:rPr>
                <w:rFonts w:cs="v4.2.0"/>
                <w:b w:val="0"/>
                <w:bCs/>
              </w:rPr>
              <w:t>7.9A</w:t>
            </w:r>
            <w:r>
              <w:rPr>
                <w:rFonts w:cs="v4.2.0"/>
                <w:b w:val="0"/>
                <w:bCs/>
              </w:rPr>
              <w:tab/>
            </w:r>
            <w:r>
              <w:rPr>
                <w:rFonts w:cs="v4.2.0"/>
                <w:b w:val="0"/>
                <w:bCs/>
              </w:rPr>
              <w:t>Spurious emissions for category M1</w:t>
            </w:r>
          </w:p>
        </w:tc>
        <w:tc>
          <w:tcPr>
            <w:tcW w:w="4536" w:type="dxa"/>
          </w:tcPr>
          <w:p>
            <w:pPr>
              <w:pStyle w:val="104"/>
              <w:jc w:val="left"/>
              <w:rPr>
                <w:rFonts w:cs="v4.2.0"/>
                <w:b w:val="0"/>
                <w:bCs/>
                <w:lang w:eastAsia="ja-JP"/>
              </w:rPr>
            </w:pPr>
            <w:r>
              <w:rPr>
                <w:rFonts w:cs="v4.2.0"/>
                <w:b w:val="0"/>
                <w:bCs/>
                <w:lang w:eastAsia="ja-JP"/>
              </w:rPr>
              <w:t>Same as clause 7.9E</w:t>
            </w:r>
            <w:r>
              <w:rPr>
                <w:rFonts w:cs="v4.2.0"/>
                <w:b w:val="0"/>
                <w:bCs/>
                <w:lang w:eastAsia="ko-KR"/>
              </w:rPr>
              <w:t>A</w:t>
            </w:r>
            <w:r>
              <w:rPr>
                <w:rFonts w:cs="v4.2.0"/>
                <w:b w:val="0"/>
                <w:bCs/>
                <w:lang w:eastAsia="ja-JP"/>
              </w:rPr>
              <w:t xml:space="preserve"> in TS 36.521-1 [14] </w:t>
            </w:r>
            <w:r>
              <w:rPr>
                <w:b w:val="0"/>
                <w:bCs/>
              </w:rPr>
              <w:t>except for the spurious frequency range to be limited to up to 12.75GHz</w:t>
            </w:r>
            <w:r>
              <w:rPr>
                <w:rFonts w:cs="v4.2.0"/>
                <w:b w:val="0"/>
                <w:bCs/>
                <w:lang w:eastAsia="ja-JP"/>
              </w:rPr>
              <w:t>.</w:t>
            </w:r>
          </w:p>
        </w:tc>
        <w:tc>
          <w:tcPr>
            <w:tcW w:w="2569" w:type="dxa"/>
          </w:tcPr>
          <w:p>
            <w:pPr>
              <w:pStyle w:val="103"/>
              <w:rPr>
                <w:b/>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rFonts w:cs="v4.2.0"/>
                <w:b w:val="0"/>
                <w:bCs/>
              </w:rPr>
            </w:pPr>
            <w:r>
              <w:rPr>
                <w:rFonts w:cs="v4.2.0"/>
                <w:b w:val="0"/>
                <w:bCs/>
              </w:rPr>
              <w:t>7.9B</w:t>
            </w:r>
            <w:r>
              <w:rPr>
                <w:rFonts w:cs="v4.2.0"/>
                <w:b w:val="0"/>
                <w:bCs/>
              </w:rPr>
              <w:tab/>
            </w:r>
            <w:r>
              <w:rPr>
                <w:rFonts w:cs="v4.2.0"/>
                <w:b w:val="0"/>
                <w:bCs/>
              </w:rPr>
              <w:t>Spurious emissions for category NB1 and NB2</w:t>
            </w:r>
          </w:p>
        </w:tc>
        <w:tc>
          <w:tcPr>
            <w:tcW w:w="4536" w:type="dxa"/>
          </w:tcPr>
          <w:p>
            <w:pPr>
              <w:pStyle w:val="104"/>
              <w:jc w:val="left"/>
              <w:rPr>
                <w:rFonts w:cs="v4.2.0"/>
                <w:b w:val="0"/>
                <w:bCs/>
                <w:lang w:eastAsia="ja-JP"/>
              </w:rPr>
            </w:pPr>
            <w:r>
              <w:rPr>
                <w:rFonts w:cs="v4.2.0"/>
                <w:b w:val="0"/>
                <w:bCs/>
                <w:lang w:eastAsia="ja-JP"/>
              </w:rPr>
              <w:t xml:space="preserve">Same as clause </w:t>
            </w:r>
            <w:r>
              <w:rPr>
                <w:rFonts w:cs="v4.2.0"/>
                <w:b w:val="0"/>
                <w:bCs/>
              </w:rPr>
              <w:t xml:space="preserve">7.9F </w:t>
            </w:r>
            <w:r>
              <w:rPr>
                <w:rFonts w:cs="v4.2.0"/>
                <w:b w:val="0"/>
                <w:bCs/>
                <w:lang w:eastAsia="ja-JP"/>
              </w:rPr>
              <w:t>in TS 36.521-1 [14].</w:t>
            </w:r>
          </w:p>
        </w:tc>
        <w:tc>
          <w:tcPr>
            <w:tcW w:w="2569" w:type="dxa"/>
          </w:tcPr>
          <w:p>
            <w:pPr>
              <w:pStyle w:val="103"/>
              <w:rPr>
                <w:b/>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9515" w:type="dxa"/>
            <w:gridSpan w:val="3"/>
          </w:tcPr>
          <w:p>
            <w:pPr>
              <w:pStyle w:val="118"/>
              <w:jc w:val="left"/>
              <w:rPr>
                <w:lang w:eastAsia="zh-CN"/>
              </w:rPr>
            </w:pPr>
            <w:r>
              <w:t>Note 1:</w:t>
            </w:r>
            <w:r>
              <w:tab/>
            </w:r>
            <w:r>
              <w:t xml:space="preserve">Unless otherwise noted, only the Test System stimulus error is considered here. </w:t>
            </w:r>
            <w:r>
              <w:rPr>
                <w:lang w:eastAsia="sv-SE"/>
              </w:rPr>
              <w:t>The effect of errors in the throughput measurements due to finite test duration is not considered.</w:t>
            </w:r>
          </w:p>
        </w:tc>
      </w:tr>
    </w:tbl>
    <w:p/>
    <w:p>
      <w:pPr>
        <w:pStyle w:val="4"/>
      </w:pPr>
      <w:bookmarkStart w:id="2359" w:name="_Toc18747"/>
      <w:bookmarkStart w:id="2360" w:name="_Toc30359"/>
      <w:bookmarkStart w:id="2361" w:name="_Toc6827"/>
      <w:bookmarkStart w:id="2362" w:name="_Toc16871"/>
      <w:bookmarkStart w:id="2363" w:name="_Toc232582179"/>
      <w:bookmarkStart w:id="2364" w:name="_Toc24490"/>
      <w:r>
        <w:t>F.1.4</w:t>
      </w:r>
      <w:r>
        <w:tab/>
      </w:r>
      <w:r>
        <w:rPr>
          <w:lang w:eastAsia="sv-SE"/>
        </w:rPr>
        <w:t xml:space="preserve">Measurement of </w:t>
      </w:r>
      <w:r>
        <w:t>performance requirements</w:t>
      </w:r>
      <w:bookmarkEnd w:id="2359"/>
      <w:bookmarkEnd w:id="2360"/>
      <w:bookmarkEnd w:id="2361"/>
      <w:bookmarkEnd w:id="2362"/>
      <w:bookmarkEnd w:id="2363"/>
      <w:bookmarkEnd w:id="2364"/>
    </w:p>
    <w:p>
      <w:pPr>
        <w:pStyle w:val="113"/>
      </w:pPr>
      <w:r>
        <w:t>Table F.1</w:t>
      </w:r>
      <w:r>
        <w:rPr>
          <w:lang w:eastAsia="ja-JP"/>
        </w:rPr>
        <w:t>.4-1</w:t>
      </w:r>
      <w:r>
        <w:t>: Maximum Test System Uncertainty for Performance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3579"/>
        <w:gridCol w:w="1985"/>
        <w:gridCol w:w="38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3579" w:type="dxa"/>
          </w:tcPr>
          <w:p>
            <w:pPr>
              <w:pStyle w:val="104"/>
              <w:rPr>
                <w:lang w:eastAsia="zh-CN"/>
              </w:rPr>
            </w:pPr>
            <w:r>
              <w:rPr>
                <w:lang w:eastAsia="zh-CN"/>
              </w:rPr>
              <w:t>Subclause</w:t>
            </w:r>
          </w:p>
        </w:tc>
        <w:tc>
          <w:tcPr>
            <w:tcW w:w="1985" w:type="dxa"/>
          </w:tcPr>
          <w:p>
            <w:pPr>
              <w:pStyle w:val="104"/>
              <w:rPr>
                <w:lang w:eastAsia="zh-CN"/>
              </w:rPr>
            </w:pPr>
            <w:r>
              <w:rPr>
                <w:lang w:eastAsia="zh-CN"/>
              </w:rPr>
              <w:t>Maximum Test System Uncertainty</w:t>
            </w:r>
            <w:r>
              <w:rPr>
                <w:vertAlign w:val="superscript"/>
                <w:lang w:eastAsia="zh-CN"/>
              </w:rPr>
              <w:t>1</w:t>
            </w:r>
          </w:p>
        </w:tc>
        <w:tc>
          <w:tcPr>
            <w:tcW w:w="3863" w:type="dxa"/>
          </w:tcPr>
          <w:p>
            <w:pPr>
              <w:pStyle w:val="104"/>
              <w:rPr>
                <w:lang w:eastAsia="zh-CN"/>
              </w:rPr>
            </w:pPr>
            <w:r>
              <w:rPr>
                <w:lang w:eastAsia="zh-CN"/>
              </w:rP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3579" w:type="dxa"/>
          </w:tcPr>
          <w:p>
            <w:pPr>
              <w:pStyle w:val="103"/>
              <w:rPr>
                <w:lang w:eastAsia="zh-CN"/>
              </w:rPr>
            </w:pPr>
            <w:r>
              <w:rPr>
                <w:b w:val="0"/>
                <w:bCs w:val="0"/>
                <w:lang w:eastAsia="zh-CN"/>
              </w:rPr>
              <w:t>8.2.1.1.1</w:t>
            </w:r>
            <w:r>
              <w:rPr>
                <w:b w:val="0"/>
                <w:bCs w:val="0"/>
                <w:lang w:val="en-US" w:eastAsia="zh-CN"/>
              </w:rPr>
              <w:t xml:space="preserve"> </w:t>
            </w:r>
            <w:r>
              <w:rPr>
                <w:b w:val="0"/>
                <w:bCs w:val="0"/>
                <w:lang w:eastAsia="zh-CN"/>
              </w:rPr>
              <w:t xml:space="preserve">PDSCH in standalone mode </w:t>
            </w:r>
            <w:r>
              <w:rPr>
                <w:rFonts w:hint="eastAsia"/>
                <w:lang w:eastAsia="zh-CN"/>
              </w:rPr>
              <w:t>for UE category M1</w:t>
            </w:r>
            <w:r>
              <w:rPr>
                <w:rFonts w:hint="eastAsia"/>
                <w:lang w:val="en-US" w:eastAsia="zh-CN"/>
              </w:rPr>
              <w:t xml:space="preserve"> </w:t>
            </w:r>
            <w:r>
              <w:rPr>
                <w:b w:val="0"/>
                <w:bCs w:val="0"/>
                <w:lang w:eastAsia="zh-CN"/>
              </w:rPr>
              <w:t>under NTN fading conditions</w:t>
            </w:r>
          </w:p>
        </w:tc>
        <w:tc>
          <w:tcPr>
            <w:tcW w:w="1985" w:type="dxa"/>
          </w:tcPr>
          <w:p>
            <w:pPr>
              <w:pStyle w:val="103"/>
              <w:rPr>
                <w:rFonts w:eastAsia="宋体"/>
                <w:szCs w:val="18"/>
                <w:lang w:val="en-US" w:eastAsia="zh-CN"/>
              </w:rPr>
            </w:pPr>
            <w:r>
              <w:t>± 0.8 dB</w:t>
            </w:r>
          </w:p>
        </w:tc>
        <w:tc>
          <w:tcPr>
            <w:tcW w:w="3863" w:type="dxa"/>
          </w:tcPr>
          <w:p>
            <w:pPr>
              <w:pStyle w:val="103"/>
              <w:rPr>
                <w:lang w:eastAsia="sv-SE"/>
              </w:rPr>
            </w:pPr>
            <w:r>
              <w:rPr>
                <w:lang w:eastAsia="sv-SE"/>
              </w:rPr>
              <w:t>Overall system uncertainty for fading conditions comprises three quantities:</w:t>
            </w:r>
          </w:p>
          <w:p>
            <w:pPr>
              <w:pStyle w:val="103"/>
            </w:pPr>
            <w:r>
              <w:rPr>
                <w:lang w:eastAsia="sv-SE"/>
              </w:rPr>
              <w:t xml:space="preserve">1. </w:t>
            </w:r>
            <w:r>
              <w:t>Signal-to-noise ratio uncertainty</w:t>
            </w:r>
          </w:p>
          <w:p>
            <w:pPr>
              <w:pStyle w:val="103"/>
              <w:rPr>
                <w:lang w:eastAsia="sv-SE"/>
              </w:rPr>
            </w:pPr>
            <w:r>
              <w:t>2. Fading profile power uncertainty</w:t>
            </w:r>
          </w:p>
          <w:p>
            <w:pPr>
              <w:pStyle w:val="103"/>
              <w:rPr>
                <w:lang w:eastAsia="sv-SE"/>
              </w:rPr>
            </w:pPr>
            <w:r>
              <w:rPr>
                <w:lang w:eastAsia="sv-SE"/>
              </w:rPr>
              <w:t xml:space="preserve">3. </w:t>
            </w:r>
            <w:r>
              <w:t>Effect of AWGN flatness and signal flatness</w:t>
            </w:r>
          </w:p>
          <w:p>
            <w:pPr>
              <w:pStyle w:val="103"/>
              <w:rPr>
                <w:lang w:eastAsia="sv-SE"/>
              </w:rPr>
            </w:pPr>
          </w:p>
          <w:p>
            <w:pPr>
              <w:pStyle w:val="103"/>
              <w:rPr>
                <w:lang w:eastAsia="sv-SE"/>
              </w:rPr>
            </w:pPr>
            <w:r>
              <w:rPr>
                <w:lang w:eastAsia="sv-SE"/>
              </w:rPr>
              <w:t>Items 1, 2 and 3 are assumed to be uncorrelated so can be root sum squared</w:t>
            </w:r>
            <w:r>
              <w:t>:</w:t>
            </w:r>
          </w:p>
          <w:p>
            <w:pPr>
              <w:pStyle w:val="103"/>
              <w:rPr>
                <w:lang w:eastAsia="sv-SE"/>
              </w:rPr>
            </w:pPr>
            <w:r>
              <w:rPr>
                <w:rFonts w:cs="Arial"/>
                <w:lang w:eastAsia="sv-SE"/>
              </w:rPr>
              <w:t xml:space="preserve">AWGN flatness and signal flatness has x </w:t>
            </w:r>
            <w:r>
              <w:rPr>
                <w:lang w:eastAsia="sv-SE"/>
              </w:rPr>
              <w:t>0.25 effect</w:t>
            </w:r>
            <w:r>
              <w:rPr>
                <w:rFonts w:cs="Arial"/>
                <w:lang w:eastAsia="sv-SE"/>
              </w:rPr>
              <w:t xml:space="preserve"> on the required </w:t>
            </w:r>
            <w:r>
              <w:rPr>
                <w:lang w:eastAsia="sv-SE"/>
              </w:rPr>
              <w:t>SNR, so use sensitivity factor of x 0.25 for the uncertainty contribution.</w:t>
            </w:r>
          </w:p>
          <w:p>
            <w:pPr>
              <w:pStyle w:val="103"/>
              <w:rPr>
                <w:lang w:eastAsia="sv-SE"/>
              </w:rPr>
            </w:pPr>
            <w:r>
              <w:rPr>
                <w:lang w:eastAsia="sv-SE"/>
              </w:rPr>
              <w:t>Test System uncertainty = SQRT (</w:t>
            </w:r>
            <w:r>
              <w:t>Signal-to-noise ratio uncertainty</w:t>
            </w:r>
            <w:r>
              <w:rPr>
                <w:vertAlign w:val="superscript"/>
                <w:lang w:eastAsia="sv-SE"/>
              </w:rPr>
              <w:t xml:space="preserve"> 2</w:t>
            </w:r>
            <w:r>
              <w:rPr>
                <w:lang w:eastAsia="sv-SE"/>
              </w:rPr>
              <w:t xml:space="preserve"> + </w:t>
            </w:r>
            <w:r>
              <w:t>Fading profile power uncertainty</w:t>
            </w:r>
            <w:r>
              <w:rPr>
                <w:vertAlign w:val="superscript"/>
                <w:lang w:eastAsia="sv-SE"/>
              </w:rPr>
              <w:t xml:space="preserve"> 2</w:t>
            </w:r>
            <w:r>
              <w:rPr>
                <w:lang w:eastAsia="sv-SE"/>
              </w:rPr>
              <w:t xml:space="preserve"> + (0.25 x </w:t>
            </w:r>
            <w:r>
              <w:t>AWGN flatness and signal flatness)</w:t>
            </w:r>
            <w:r>
              <w:rPr>
                <w:vertAlign w:val="superscript"/>
                <w:lang w:eastAsia="sv-SE"/>
              </w:rPr>
              <w:t xml:space="preserve"> 2</w:t>
            </w:r>
            <w:r>
              <w:rPr>
                <w:lang w:eastAsia="sv-SE"/>
              </w:rPr>
              <w:t>)</w:t>
            </w:r>
          </w:p>
          <w:p>
            <w:pPr>
              <w:pStyle w:val="103"/>
              <w:rPr>
                <w:lang w:eastAsia="sv-SE"/>
              </w:rPr>
            </w:pPr>
            <w:r>
              <w:t>Signal-to-noise ratio uncertainty</w:t>
            </w:r>
            <w:r>
              <w:rPr>
                <w:lang w:eastAsia="sv-SE"/>
              </w:rPr>
              <w:t xml:space="preserve"> </w:t>
            </w:r>
            <w:r>
              <w:rPr>
                <w:rFonts w:cs="Arial"/>
                <w:lang w:eastAsia="sv-SE"/>
              </w:rPr>
              <w:t>±</w:t>
            </w:r>
            <w:r>
              <w:rPr>
                <w:lang w:eastAsia="sv-SE"/>
              </w:rPr>
              <w:t>0.3 dB</w:t>
            </w:r>
          </w:p>
          <w:p>
            <w:pPr>
              <w:pStyle w:val="103"/>
              <w:rPr>
                <w:lang w:eastAsia="sv-SE"/>
              </w:rPr>
            </w:pPr>
            <w:r>
              <w:rPr>
                <w:lang w:eastAsia="sv-SE"/>
              </w:rPr>
              <w:t>Fading profile power uncertainty ±0.5 dB for single Tx</w:t>
            </w:r>
          </w:p>
          <w:p>
            <w:pPr>
              <w:pStyle w:val="103"/>
            </w:pPr>
            <w:r>
              <w:t>AWGN flatness and signal flatness</w:t>
            </w:r>
            <w:r>
              <w:rPr>
                <w:lang w:eastAsia="sv-SE"/>
              </w:rPr>
              <w:t xml:space="preserve"> </w:t>
            </w:r>
            <w:r>
              <w:rPr>
                <w:rFonts w:cs="Arial"/>
                <w:lang w:eastAsia="sv-SE"/>
              </w:rPr>
              <w:t>±</w:t>
            </w:r>
            <w:r>
              <w:rPr>
                <w:lang w:eastAsia="sv-SE"/>
              </w:rPr>
              <w:t>2.0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3579" w:type="dxa"/>
          </w:tcPr>
          <w:p>
            <w:pPr>
              <w:pStyle w:val="103"/>
              <w:rPr>
                <w:lang w:eastAsia="zh-CN"/>
              </w:rPr>
            </w:pPr>
            <w:r>
              <w:rPr>
                <w:b w:val="0"/>
                <w:bCs w:val="0"/>
                <w:lang w:eastAsia="zh-CN"/>
              </w:rPr>
              <w:t>8.3.1.1.1</w:t>
            </w:r>
            <w:r>
              <w:rPr>
                <w:b w:val="0"/>
                <w:bCs w:val="0"/>
                <w:lang w:val="en-US" w:eastAsia="zh-CN"/>
              </w:rPr>
              <w:t xml:space="preserve"> </w:t>
            </w:r>
            <w:r>
              <w:rPr>
                <w:b w:val="0"/>
                <w:bCs w:val="0"/>
                <w:lang w:eastAsia="zh-CN"/>
              </w:rPr>
              <w:t>Demodulation of NPDSCH (Cell-Specific Reference Symbols) in standalone mode for category NB1 and NB2 under NTN fading conditions</w:t>
            </w:r>
          </w:p>
        </w:tc>
        <w:tc>
          <w:tcPr>
            <w:tcW w:w="1985" w:type="dxa"/>
          </w:tcPr>
          <w:p>
            <w:pPr>
              <w:pStyle w:val="103"/>
              <w:rPr>
                <w:rFonts w:eastAsia="Osaka"/>
                <w:szCs w:val="18"/>
                <w:lang w:val="en-US" w:eastAsia="zh-CN"/>
              </w:rPr>
            </w:pPr>
            <w:r>
              <w:rPr>
                <w:rFonts w:cs="v4.2.0"/>
                <w:bCs/>
                <w:lang w:eastAsia="ja-JP"/>
              </w:rPr>
              <w:t xml:space="preserve">Same as clause </w:t>
            </w:r>
            <w:r>
              <w:rPr>
                <w:rFonts w:cs="v4.2.0"/>
                <w:bCs/>
              </w:rPr>
              <w:t xml:space="preserve">8.12.1.1.2 </w:t>
            </w:r>
            <w:r>
              <w:rPr>
                <w:rFonts w:cs="v4.2.0"/>
                <w:bCs/>
                <w:lang w:eastAsia="ja-JP"/>
              </w:rPr>
              <w:t>in TS 36.521-1 [14].</w:t>
            </w:r>
          </w:p>
        </w:tc>
        <w:tc>
          <w:tcPr>
            <w:tcW w:w="3863"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3579" w:type="dxa"/>
          </w:tcPr>
          <w:p>
            <w:pPr>
              <w:pStyle w:val="103"/>
              <w:rPr>
                <w:lang w:eastAsia="zh-CN"/>
              </w:rPr>
            </w:pPr>
            <w:r>
              <w:rPr>
                <w:b w:val="0"/>
                <w:bCs w:val="0"/>
                <w:lang w:eastAsia="zh-CN"/>
              </w:rPr>
              <w:t>8.3.1.1.2</w:t>
            </w:r>
            <w:r>
              <w:rPr>
                <w:b w:val="0"/>
                <w:bCs w:val="0"/>
                <w:lang w:val="en-US" w:eastAsia="zh-CN"/>
              </w:rPr>
              <w:t xml:space="preserve"> </w:t>
            </w:r>
            <w:r>
              <w:rPr>
                <w:b w:val="0"/>
                <w:bCs w:val="0"/>
                <w:lang w:eastAsia="zh-CN"/>
              </w:rPr>
              <w:t>Demodulation of NPDSCH (Cell-Specific Reference Symbols) in standalone mode for category NB1 and NB2</w:t>
            </w:r>
          </w:p>
        </w:tc>
        <w:tc>
          <w:tcPr>
            <w:tcW w:w="1985" w:type="dxa"/>
          </w:tcPr>
          <w:p>
            <w:pPr>
              <w:pStyle w:val="103"/>
              <w:rPr>
                <w:rFonts w:eastAsiaTheme="minorEastAsia"/>
                <w:szCs w:val="18"/>
                <w:lang w:val="en-US" w:eastAsia="zh-CN"/>
              </w:rPr>
            </w:pPr>
            <w:r>
              <w:rPr>
                <w:rFonts w:cs="v4.2.0"/>
                <w:b w:val="0"/>
                <w:bCs w:val="0"/>
                <w:lang w:eastAsia="ja-JP"/>
              </w:rPr>
              <w:t xml:space="preserve">Same as clause </w:t>
            </w:r>
            <w:r>
              <w:rPr>
                <w:b w:val="0"/>
                <w:bCs w:val="0"/>
                <w:lang w:eastAsia="zh-CN"/>
              </w:rPr>
              <w:t>8.12.1.1.2</w:t>
            </w:r>
            <w:r>
              <w:rPr>
                <w:rFonts w:cs="v4.2.0"/>
                <w:b w:val="0"/>
                <w:bCs w:val="0"/>
              </w:rPr>
              <w:t xml:space="preserve"> </w:t>
            </w:r>
            <w:r>
              <w:rPr>
                <w:rFonts w:cs="v4.2.0"/>
                <w:b w:val="0"/>
                <w:bCs w:val="0"/>
                <w:lang w:eastAsia="ja-JP"/>
              </w:rPr>
              <w:t>in TS 36.521-1 [14]</w:t>
            </w:r>
            <w:r>
              <w:rPr>
                <w:rFonts w:cs="v4.2.0"/>
                <w:b w:val="0"/>
                <w:bCs w:val="0"/>
                <w:lang w:val="en-US" w:eastAsia="zh-CN"/>
              </w:rPr>
              <w:t>.</w:t>
            </w:r>
          </w:p>
        </w:tc>
        <w:tc>
          <w:tcPr>
            <w:tcW w:w="3863"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3579" w:type="dxa"/>
          </w:tcPr>
          <w:p>
            <w:pPr>
              <w:pStyle w:val="103"/>
              <w:rPr>
                <w:lang w:eastAsia="zh-CN"/>
              </w:rPr>
            </w:pPr>
            <w:r>
              <w:rPr>
                <w:b w:val="0"/>
                <w:bCs w:val="0"/>
                <w:lang w:eastAsia="zh-CN"/>
              </w:rPr>
              <w:t>8.3.1.1.3</w:t>
            </w:r>
            <w:r>
              <w:rPr>
                <w:b w:val="0"/>
                <w:bCs w:val="0"/>
                <w:lang w:val="en-US" w:eastAsia="zh-CN"/>
              </w:rPr>
              <w:t xml:space="preserve"> </w:t>
            </w:r>
            <w:r>
              <w:rPr>
                <w:b w:val="0"/>
                <w:bCs w:val="0"/>
                <w:lang w:eastAsia="zh-CN"/>
              </w:rPr>
              <w:t>Demodulation of NPDSCH (Cell-Specific Reference Symbols) in standalone for NB2</w:t>
            </w:r>
          </w:p>
        </w:tc>
        <w:tc>
          <w:tcPr>
            <w:tcW w:w="1985" w:type="dxa"/>
          </w:tcPr>
          <w:p>
            <w:pPr>
              <w:pStyle w:val="103"/>
              <w:rPr>
                <w:rFonts w:eastAsiaTheme="minorEastAsia"/>
                <w:szCs w:val="18"/>
                <w:lang w:val="en-US" w:eastAsia="zh-CN"/>
              </w:rPr>
            </w:pPr>
            <w:r>
              <w:rPr>
                <w:rFonts w:cs="v4.2.0"/>
                <w:b w:val="0"/>
                <w:bCs w:val="0"/>
                <w:lang w:eastAsia="ja-JP"/>
              </w:rPr>
              <w:t xml:space="preserve">Same as clause </w:t>
            </w:r>
            <w:r>
              <w:rPr>
                <w:b w:val="0"/>
                <w:bCs w:val="0"/>
                <w:lang w:eastAsia="zh-CN"/>
              </w:rPr>
              <w:t>8.12.1.1.</w:t>
            </w:r>
            <w:r>
              <w:rPr>
                <w:b w:val="0"/>
                <w:bCs w:val="0"/>
                <w:lang w:val="en-US" w:eastAsia="zh-CN"/>
              </w:rPr>
              <w:t>3</w:t>
            </w:r>
            <w:r>
              <w:rPr>
                <w:rFonts w:cs="v4.2.0"/>
                <w:b w:val="0"/>
                <w:bCs w:val="0"/>
              </w:rPr>
              <w:t xml:space="preserve"> </w:t>
            </w:r>
            <w:r>
              <w:rPr>
                <w:rFonts w:cs="v4.2.0"/>
                <w:b w:val="0"/>
                <w:bCs w:val="0"/>
                <w:lang w:eastAsia="ja-JP"/>
              </w:rPr>
              <w:t>in TS 36.521-1 [14]</w:t>
            </w:r>
            <w:r>
              <w:rPr>
                <w:rFonts w:cs="v4.2.0"/>
                <w:b w:val="0"/>
                <w:bCs w:val="0"/>
                <w:lang w:val="en-US" w:eastAsia="zh-CN"/>
              </w:rPr>
              <w:t>.</w:t>
            </w:r>
          </w:p>
        </w:tc>
        <w:tc>
          <w:tcPr>
            <w:tcW w:w="3863"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3579" w:type="dxa"/>
          </w:tcPr>
          <w:p>
            <w:pPr>
              <w:pStyle w:val="103"/>
              <w:rPr>
                <w:lang w:eastAsia="zh-CN"/>
              </w:rPr>
            </w:pPr>
            <w:r>
              <w:rPr>
                <w:b w:val="0"/>
                <w:bCs w:val="0"/>
                <w:lang w:eastAsia="zh-CN"/>
              </w:rPr>
              <w:t>8.3.1.2.1</w:t>
            </w:r>
            <w:r>
              <w:rPr>
                <w:b w:val="0"/>
                <w:bCs w:val="0"/>
                <w:lang w:val="en-US" w:eastAsia="zh-CN"/>
              </w:rPr>
              <w:t xml:space="preserve"> </w:t>
            </w:r>
            <w:r>
              <w:rPr>
                <w:b w:val="0"/>
                <w:bCs w:val="0"/>
                <w:lang w:eastAsia="zh-CN"/>
              </w:rPr>
              <w:t>Demodulation of NPDCCH single-antenna performance for category NB1 and NB2</w:t>
            </w:r>
          </w:p>
        </w:tc>
        <w:tc>
          <w:tcPr>
            <w:tcW w:w="1985" w:type="dxa"/>
          </w:tcPr>
          <w:p>
            <w:pPr>
              <w:pStyle w:val="103"/>
              <w:rPr>
                <w:rFonts w:eastAsiaTheme="minorEastAsia"/>
                <w:szCs w:val="18"/>
                <w:lang w:val="en-US" w:eastAsia="zh-CN"/>
              </w:rPr>
            </w:pPr>
            <w:r>
              <w:rPr>
                <w:rFonts w:cs="v4.2.0"/>
                <w:b w:val="0"/>
                <w:bCs w:val="0"/>
                <w:lang w:eastAsia="ja-JP"/>
              </w:rPr>
              <w:t xml:space="preserve">Same as clause </w:t>
            </w:r>
            <w:r>
              <w:rPr>
                <w:b w:val="0"/>
                <w:bCs w:val="0"/>
                <w:lang w:eastAsia="zh-CN"/>
              </w:rPr>
              <w:t>8.12.2.1.1</w:t>
            </w:r>
            <w:r>
              <w:rPr>
                <w:rFonts w:cs="v4.2.0"/>
                <w:b w:val="0"/>
                <w:bCs w:val="0"/>
              </w:rPr>
              <w:t xml:space="preserve"> </w:t>
            </w:r>
            <w:r>
              <w:rPr>
                <w:rFonts w:cs="v4.2.0"/>
                <w:b w:val="0"/>
                <w:bCs w:val="0"/>
                <w:lang w:eastAsia="ja-JP"/>
              </w:rPr>
              <w:t>in TS 36.521-1 [14]</w:t>
            </w:r>
            <w:r>
              <w:rPr>
                <w:rFonts w:cs="v4.2.0"/>
                <w:b w:val="0"/>
                <w:bCs w:val="0"/>
                <w:lang w:val="en-US" w:eastAsia="zh-CN"/>
              </w:rPr>
              <w:t>.</w:t>
            </w:r>
          </w:p>
        </w:tc>
        <w:tc>
          <w:tcPr>
            <w:tcW w:w="3863"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9427" w:type="dxa"/>
            <w:gridSpan w:val="3"/>
          </w:tcPr>
          <w:p>
            <w:pPr>
              <w:pStyle w:val="118"/>
            </w:pPr>
            <w:r>
              <w:t>Note 1:</w:t>
            </w:r>
            <w:r>
              <w:tab/>
            </w:r>
            <w:r>
              <w:t xml:space="preserve">Unless otherwise noted, only the Test System stimulus error is considered here. </w:t>
            </w:r>
            <w:r>
              <w:rPr>
                <w:lang w:eastAsia="sv-SE"/>
              </w:rPr>
              <w:t>The effect of errors in the throughput measurements due to finite test duration is not considered.</w:t>
            </w:r>
          </w:p>
        </w:tc>
      </w:tr>
    </w:tbl>
    <w:p/>
    <w:p>
      <w:pPr>
        <w:pStyle w:val="3"/>
      </w:pPr>
      <w:bookmarkStart w:id="2365" w:name="_Toc2781"/>
      <w:bookmarkStart w:id="2366" w:name="_Toc28411"/>
      <w:bookmarkStart w:id="2367" w:name="_Toc15159"/>
      <w:bookmarkStart w:id="2368" w:name="_Toc232582180"/>
      <w:bookmarkStart w:id="2369" w:name="_Toc24791"/>
      <w:bookmarkStart w:id="2370" w:name="_Toc24471"/>
      <w:r>
        <w:t>F.2</w:t>
      </w:r>
      <w:r>
        <w:tab/>
      </w:r>
      <w:r>
        <w:t>Interpretation of measurement results (normative)</w:t>
      </w:r>
      <w:bookmarkEnd w:id="2365"/>
      <w:bookmarkEnd w:id="2366"/>
      <w:bookmarkEnd w:id="2367"/>
      <w:bookmarkEnd w:id="2368"/>
      <w:bookmarkEnd w:id="2369"/>
      <w:bookmarkEnd w:id="2370"/>
    </w:p>
    <w:p>
      <w:pPr>
        <w:rPr>
          <w:snapToGrid w:val="0"/>
        </w:rPr>
      </w:pPr>
      <w:r>
        <w:t xml:space="preserve">The Test Requirements in the present document have been calculated by relaxing the Minimum Requirements of the core specification using the Test Tolerances (TT) defined in F.3. </w:t>
      </w:r>
      <w:r>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r>
        <w:rPr>
          <w:snapToGrid w:val="0"/>
        </w:rPr>
        <w:t>The “Never fail a good DUT” and the “Shared Risk” principles are defined in ETR 273-1-2 clause 6.5.</w:t>
      </w:r>
    </w:p>
    <w:p>
      <w:r>
        <w:t>The actual measurement uncertainty of the Test System for the measurement of each parameter shall be included in the test report.</w:t>
      </w:r>
    </w:p>
    <w:p>
      <w:r>
        <w:t>The recorded value for the Test System uncertainty shall be, for each measurement, equal to or lower than the appropriate figure in clause F.1 of the present document.</w:t>
      </w:r>
    </w:p>
    <w:p>
      <w:r>
        <w:t>If the Test System for a test is known to have a measurement uncertainty greater than that specified in clause F.1, it is still permitted to use this apparatus provided that an adjustment is made value as follows:</w:t>
      </w:r>
    </w:p>
    <w:p>
      <w: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pPr>
        <w:pStyle w:val="3"/>
      </w:pPr>
      <w:bookmarkStart w:id="2371" w:name="_Toc808"/>
      <w:bookmarkStart w:id="2372" w:name="_Toc30267"/>
      <w:bookmarkStart w:id="2373" w:name="_Toc232582181"/>
      <w:bookmarkStart w:id="2374" w:name="_Toc13086"/>
      <w:bookmarkStart w:id="2375" w:name="_Toc16656"/>
      <w:bookmarkStart w:id="2376" w:name="_Toc4858"/>
      <w:r>
        <w:t>F.3</w:t>
      </w:r>
      <w:r>
        <w:tab/>
      </w:r>
      <w:r>
        <w:t>Test Tolerance and Derivation of Test Requirements (informative)</w:t>
      </w:r>
      <w:bookmarkEnd w:id="2371"/>
      <w:bookmarkEnd w:id="2372"/>
      <w:bookmarkEnd w:id="2373"/>
      <w:bookmarkEnd w:id="2374"/>
      <w:bookmarkEnd w:id="2375"/>
      <w:bookmarkEnd w:id="2376"/>
    </w:p>
    <w:p>
      <w:r>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pPr>
        <w:keepNext w:val="0"/>
        <w:rPr>
          <w:snapToGrid/>
        </w:rPr>
      </w:pPr>
      <w:r>
        <w:rPr>
          <w:snapToGrid/>
        </w:rPr>
        <w:t>The Test Tolerances are derived from Test System uncertainties, regulatory requirements and criticality to system performance. As a result, the Test Tolerances may sometimes be set to zero.</w:t>
      </w:r>
    </w:p>
    <w:p>
      <w:pPr>
        <w:keepNext w:val="0"/>
      </w:pPr>
      <w:r>
        <w:t>The test tolerances should not be modified for any reason e.g. to take account of commonly known test system errors (such as mismatch, cable loss, etc.).</w:t>
      </w:r>
    </w:p>
    <w:p>
      <w:bookmarkStart w:id="2377" w:name="_Toc232582182"/>
      <w:r>
        <w:rPr>
          <w:rFonts w:eastAsia="Times New Roman"/>
          <w:lang w:eastAsia="en-US"/>
        </w:rPr>
        <w:t>T</w:t>
      </w:r>
      <w:r>
        <w:t>he downlink Test Tolerances apply at each receiver antenna connector.</w:t>
      </w:r>
    </w:p>
    <w:p>
      <w:pPr>
        <w:pStyle w:val="4"/>
      </w:pPr>
      <w:bookmarkStart w:id="2378" w:name="_Toc7706"/>
      <w:bookmarkStart w:id="2379" w:name="_Toc2935"/>
      <w:bookmarkStart w:id="2380" w:name="_Toc21575"/>
      <w:bookmarkStart w:id="2381" w:name="_Toc12033"/>
      <w:bookmarkStart w:id="2382" w:name="_Toc30074"/>
      <w:r>
        <w:t>F.3.1</w:t>
      </w:r>
      <w:r>
        <w:tab/>
      </w:r>
      <w:r>
        <w:rPr>
          <w:lang w:eastAsia="sv-SE"/>
        </w:rPr>
        <w:t>Measurement of test environments</w:t>
      </w:r>
      <w:bookmarkEnd w:id="2377"/>
      <w:bookmarkEnd w:id="2378"/>
      <w:bookmarkEnd w:id="2379"/>
      <w:bookmarkEnd w:id="2380"/>
      <w:bookmarkEnd w:id="2381"/>
      <w:bookmarkEnd w:id="2382"/>
    </w:p>
    <w:p>
      <w:pPr>
        <w:rPr>
          <w:lang w:eastAsia="ja-JP"/>
        </w:rPr>
      </w:pPr>
      <w:r>
        <w:rPr>
          <w:lang w:eastAsia="ja-JP"/>
        </w:rPr>
        <w:t>The UE test environments are set to the values</w:t>
      </w:r>
      <w:r>
        <w:rPr>
          <w:lang w:eastAsia="sv-SE"/>
        </w:rPr>
        <w:t xml:space="preserve"> defined in </w:t>
      </w:r>
      <w:r>
        <w:rPr>
          <w:lang w:eastAsia="ja-JP"/>
        </w:rPr>
        <w:t>TS 36.508 subclause 4.1, without any relaxation. The applied Test Tolerance is therefore zero.</w:t>
      </w:r>
    </w:p>
    <w:p>
      <w:pPr>
        <w:pStyle w:val="4"/>
      </w:pPr>
      <w:bookmarkStart w:id="2383" w:name="_Toc31395"/>
      <w:bookmarkStart w:id="2384" w:name="_Toc11583"/>
      <w:bookmarkStart w:id="2385" w:name="_Toc18986"/>
      <w:bookmarkStart w:id="2386" w:name="_Toc7218"/>
      <w:bookmarkStart w:id="2387" w:name="_Toc28179"/>
      <w:bookmarkStart w:id="2388" w:name="_Toc232582183"/>
      <w:r>
        <w:t>F.3.2</w:t>
      </w:r>
      <w:r>
        <w:tab/>
      </w:r>
      <w:r>
        <w:rPr>
          <w:lang w:eastAsia="sv-SE"/>
        </w:rPr>
        <w:t xml:space="preserve">Measurement of </w:t>
      </w:r>
      <w:r>
        <w:t>transmitter</w:t>
      </w:r>
      <w:bookmarkEnd w:id="2383"/>
      <w:bookmarkEnd w:id="2384"/>
      <w:bookmarkEnd w:id="2385"/>
      <w:bookmarkEnd w:id="2386"/>
      <w:bookmarkEnd w:id="2387"/>
      <w:bookmarkEnd w:id="2388"/>
    </w:p>
    <w:p>
      <w:pPr>
        <w:pStyle w:val="113"/>
      </w:pPr>
      <w:r>
        <w:t>Table F.3.2-1: Derivation of Test Requirements (Transmitter tests)</w:t>
      </w:r>
    </w:p>
    <w:tbl>
      <w:tblPr>
        <w:tblStyle w:val="89"/>
        <w:tblW w:w="99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1"/>
        <w:gridCol w:w="3206"/>
        <w:gridCol w:w="2349"/>
        <w:gridCol w:w="24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4"/>
              <w:rPr>
                <w:lang w:eastAsia="zh-CN"/>
              </w:rPr>
            </w:pPr>
            <w:r>
              <w:rPr>
                <w:lang w:eastAsia="zh-CN"/>
              </w:rPr>
              <w:t>Test</w:t>
            </w:r>
          </w:p>
        </w:tc>
        <w:tc>
          <w:tcPr>
            <w:tcW w:w="3206" w:type="dxa"/>
          </w:tcPr>
          <w:p>
            <w:pPr>
              <w:pStyle w:val="104"/>
              <w:rPr>
                <w:lang w:eastAsia="zh-CN"/>
              </w:rPr>
            </w:pPr>
            <w:r>
              <w:rPr>
                <w:lang w:eastAsia="zh-CN"/>
              </w:rPr>
              <w:t>Minimum Requirement in TS 36.10</w:t>
            </w:r>
            <w:r>
              <w:rPr>
                <w:rFonts w:hint="eastAsia"/>
                <w:lang w:val="en-US" w:eastAsia="zh-CN"/>
              </w:rPr>
              <w:t>2</w:t>
            </w:r>
          </w:p>
        </w:tc>
        <w:tc>
          <w:tcPr>
            <w:tcW w:w="2349" w:type="dxa"/>
          </w:tcPr>
          <w:p>
            <w:pPr>
              <w:pStyle w:val="104"/>
              <w:rPr>
                <w:lang w:eastAsia="zh-CN"/>
              </w:rPr>
            </w:pPr>
            <w:r>
              <w:rPr>
                <w:lang w:eastAsia="zh-CN"/>
              </w:rPr>
              <w:t>Test Tolerance</w:t>
            </w:r>
            <w:r>
              <w:rPr>
                <w:lang w:eastAsia="zh-CN"/>
              </w:rPr>
              <w:br w:type="textWrapping"/>
            </w:r>
            <w:r>
              <w:rPr>
                <w:lang w:eastAsia="zh-CN"/>
              </w:rPr>
              <w:t>(TT)</w:t>
            </w:r>
          </w:p>
        </w:tc>
        <w:tc>
          <w:tcPr>
            <w:tcW w:w="2492" w:type="dxa"/>
          </w:tcPr>
          <w:p>
            <w:pPr>
              <w:pStyle w:val="104"/>
              <w:rPr>
                <w:lang w:eastAsia="zh-CN"/>
              </w:rPr>
            </w:pPr>
            <w:r>
              <w:rPr>
                <w:lang w:eastAsia="zh-CN"/>
              </w:rPr>
              <w:t>Test Requirement in TS 36.521-1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6.2A.1</w:t>
            </w:r>
            <w:r>
              <w:rPr>
                <w:rFonts w:hint="eastAsia"/>
                <w:bCs/>
              </w:rPr>
              <w:tab/>
            </w:r>
            <w:r>
              <w:rPr>
                <w:rFonts w:hint="eastAsia"/>
                <w:bCs/>
              </w:rPr>
              <w:t>UE maximum output power for category M1</w:t>
            </w:r>
          </w:p>
        </w:tc>
        <w:tc>
          <w:tcPr>
            <w:tcW w:w="3206" w:type="dxa"/>
          </w:tcPr>
          <w:p>
            <w:pPr>
              <w:pStyle w:val="103"/>
              <w:rPr>
                <w:bCs/>
              </w:rPr>
            </w:pPr>
            <w:r>
              <w:rPr>
                <w:rFonts w:hint="eastAsia"/>
                <w:bCs/>
              </w:rPr>
              <w:t>Same as clause 6.2.2EA in TS 36.521-1 [14] for FDD band with “f ≤ 3.0GHz</w:t>
            </w:r>
            <w:r>
              <w:rPr>
                <w:rFonts w:hint="eastAsia"/>
                <w:bCs/>
                <w:lang w:val="en-US" w:eastAsia="zh-CN"/>
              </w:rPr>
              <w:t xml:space="preserve">, </w:t>
            </w:r>
            <w:r>
              <w:rPr>
                <w:bCs/>
              </w:rPr>
              <w:t>Power class 3</w:t>
            </w:r>
            <w:r>
              <w:rPr>
                <w:rFonts w:hint="eastAsia"/>
                <w:bCs/>
              </w:rPr>
              <w:t>”</w:t>
            </w:r>
            <w:r>
              <w:rPr>
                <w:rFonts w:hint="eastAsia"/>
                <w:bCs/>
                <w:lang w:val="en-US" w:eastAsia="zh-CN"/>
              </w:rPr>
              <w:t xml:space="preserve"> and </w:t>
            </w:r>
            <w:r>
              <w:rPr>
                <w:rFonts w:hint="eastAsia"/>
                <w:bCs/>
              </w:rPr>
              <w:t>“f ≤ 3.0GHz</w:t>
            </w:r>
            <w:r>
              <w:rPr>
                <w:rFonts w:hint="eastAsia"/>
                <w:bCs/>
                <w:lang w:val="en-US" w:eastAsia="zh-CN"/>
              </w:rPr>
              <w:t xml:space="preserve">, </w:t>
            </w:r>
            <w:r>
              <w:rPr>
                <w:bCs/>
              </w:rPr>
              <w:t xml:space="preserve">Power class </w:t>
            </w:r>
            <w:r>
              <w:rPr>
                <w:rFonts w:hint="eastAsia"/>
                <w:bCs/>
                <w:lang w:val="en-US" w:eastAsia="zh-CN"/>
              </w:rPr>
              <w:t>5</w:t>
            </w:r>
            <w:r>
              <w:rPr>
                <w:rFonts w:hint="eastAsia"/>
                <w:bCs/>
              </w:rPr>
              <w:t>”.</w:t>
            </w:r>
          </w:p>
        </w:tc>
        <w:tc>
          <w:tcPr>
            <w:tcW w:w="2349" w:type="dxa"/>
          </w:tcPr>
          <w:p>
            <w:pPr>
              <w:pStyle w:val="103"/>
              <w:rPr>
                <w:bCs/>
              </w:rPr>
            </w:pPr>
            <w:r>
              <w:rPr>
                <w:rFonts w:hint="eastAsia"/>
                <w:bCs/>
              </w:rPr>
              <w:t>Same as clause 6.2.2EA in TS 36.521-1 [14] for FDD band with “f ≤ 3.0GHz</w:t>
            </w:r>
            <w:r>
              <w:rPr>
                <w:rFonts w:hint="eastAsia"/>
                <w:bCs/>
                <w:lang w:val="en-US" w:eastAsia="zh-CN"/>
              </w:rPr>
              <w:t xml:space="preserve">, </w:t>
            </w:r>
            <w:r>
              <w:rPr>
                <w:bCs/>
              </w:rPr>
              <w:t>Power class 3</w:t>
            </w:r>
            <w:r>
              <w:rPr>
                <w:rFonts w:hint="eastAsia"/>
                <w:bCs/>
              </w:rPr>
              <w:t>”</w:t>
            </w:r>
            <w:r>
              <w:rPr>
                <w:rFonts w:hint="eastAsia"/>
                <w:bCs/>
                <w:lang w:val="en-US" w:eastAsia="zh-CN"/>
              </w:rPr>
              <w:t xml:space="preserve"> and </w:t>
            </w:r>
            <w:r>
              <w:rPr>
                <w:rFonts w:hint="eastAsia"/>
                <w:bCs/>
              </w:rPr>
              <w:t>“f ≤ 3.0GHz</w:t>
            </w:r>
            <w:r>
              <w:rPr>
                <w:rFonts w:hint="eastAsia"/>
                <w:bCs/>
                <w:lang w:val="en-US" w:eastAsia="zh-CN"/>
              </w:rPr>
              <w:t xml:space="preserve">, </w:t>
            </w:r>
            <w:r>
              <w:rPr>
                <w:bCs/>
              </w:rPr>
              <w:t xml:space="preserve">Power class </w:t>
            </w:r>
            <w:r>
              <w:rPr>
                <w:rFonts w:hint="eastAsia"/>
                <w:bCs/>
                <w:lang w:val="en-US" w:eastAsia="zh-CN"/>
              </w:rPr>
              <w:t>5</w:t>
            </w:r>
            <w:r>
              <w:rPr>
                <w:rFonts w:hint="eastAsia"/>
                <w:bCs/>
              </w:rPr>
              <w:t>”.</w:t>
            </w:r>
          </w:p>
        </w:tc>
        <w:tc>
          <w:tcPr>
            <w:tcW w:w="2492" w:type="dxa"/>
          </w:tcPr>
          <w:p>
            <w:pPr>
              <w:pStyle w:val="103"/>
              <w:rPr>
                <w:bCs/>
              </w:rPr>
            </w:pPr>
            <w:r>
              <w:rPr>
                <w:rFonts w:hint="eastAsia"/>
                <w:bCs/>
              </w:rPr>
              <w:t>Same as clause 6.2.2EA in TS 36.521-1 [14] for FDD band with “f ≤ 3.0GHz</w:t>
            </w:r>
            <w:r>
              <w:rPr>
                <w:rFonts w:hint="eastAsia"/>
                <w:bCs/>
                <w:lang w:val="en-US" w:eastAsia="zh-CN"/>
              </w:rPr>
              <w:t xml:space="preserve">, </w:t>
            </w:r>
            <w:r>
              <w:rPr>
                <w:bCs/>
              </w:rPr>
              <w:t>Power class 3</w:t>
            </w:r>
            <w:r>
              <w:rPr>
                <w:rFonts w:hint="eastAsia"/>
                <w:bCs/>
              </w:rPr>
              <w:t>”</w:t>
            </w:r>
            <w:r>
              <w:rPr>
                <w:rFonts w:hint="eastAsia"/>
                <w:bCs/>
                <w:lang w:val="en-US" w:eastAsia="zh-CN"/>
              </w:rPr>
              <w:t xml:space="preserve"> and </w:t>
            </w:r>
            <w:r>
              <w:rPr>
                <w:rFonts w:hint="eastAsia"/>
                <w:bCs/>
              </w:rPr>
              <w:t>“f ≤ 3.0GHz</w:t>
            </w:r>
            <w:r>
              <w:rPr>
                <w:rFonts w:hint="eastAsia"/>
                <w:bCs/>
                <w:lang w:val="en-US" w:eastAsia="zh-CN"/>
              </w:rPr>
              <w:t xml:space="preserve">, </w:t>
            </w:r>
            <w:r>
              <w:rPr>
                <w:bCs/>
              </w:rPr>
              <w:t xml:space="preserve">Power class </w:t>
            </w:r>
            <w:r>
              <w:rPr>
                <w:rFonts w:hint="eastAsia"/>
                <w:bCs/>
                <w:lang w:val="en-US" w:eastAsia="zh-CN"/>
              </w:rPr>
              <w:t>5</w:t>
            </w:r>
            <w:r>
              <w:rPr>
                <w:rFonts w:hint="eastAsia"/>
                <w:bC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bookmarkStart w:id="2389" w:name="_Toc232582184"/>
            <w:r>
              <w:rPr>
                <w:bCs/>
              </w:rPr>
              <w:t>6.2A.2</w:t>
            </w:r>
            <w:r>
              <w:rPr>
                <w:bCs/>
                <w:lang w:eastAsia="zh-CN"/>
              </w:rPr>
              <w:tab/>
            </w:r>
            <w:r>
              <w:rPr>
                <w:bCs/>
              </w:rPr>
              <w:t>UE m</w:t>
            </w:r>
            <w:r>
              <w:rPr>
                <w:bCs/>
                <w:lang w:eastAsia="zh-CN"/>
              </w:rPr>
              <w:t xml:space="preserve">aximum output power reduction </w:t>
            </w:r>
            <w:r>
              <w:rPr>
                <w:bCs/>
              </w:rPr>
              <w:t xml:space="preserve">for </w:t>
            </w:r>
            <w:r>
              <w:rPr>
                <w:bCs/>
                <w:lang w:eastAsia="zh-CN"/>
              </w:rPr>
              <w:t>category M1</w:t>
            </w:r>
          </w:p>
        </w:tc>
        <w:tc>
          <w:tcPr>
            <w:tcW w:w="3206" w:type="dxa"/>
          </w:tcPr>
          <w:p>
            <w:pPr>
              <w:pStyle w:val="103"/>
              <w:rPr>
                <w:bCs/>
              </w:rPr>
            </w:pPr>
            <w:r>
              <w:rPr>
                <w:rFonts w:hint="eastAsia"/>
                <w:bCs/>
              </w:rPr>
              <w:t>Same as clause 6.2.3EA in TS 36.521-1 [14] for FDD band with “Power class 3</w:t>
            </w:r>
            <w:r>
              <w:rPr>
                <w:rFonts w:hint="eastAsia"/>
                <w:bCs/>
                <w:lang w:val="en-US" w:eastAsia="zh-CN"/>
              </w:rPr>
              <w:t xml:space="preserve">, </w:t>
            </w:r>
            <w:r>
              <w:rPr>
                <w:rFonts w:hint="eastAsia"/>
                <w:bCs/>
              </w:rPr>
              <w:t>f ≤ 3.0GHz”</w:t>
            </w:r>
            <w:r>
              <w:rPr>
                <w:rFonts w:hint="eastAsia"/>
                <w:bCs/>
                <w:lang w:val="en-US" w:eastAsia="zh-CN"/>
              </w:rPr>
              <w:t xml:space="preserve"> and </w:t>
            </w:r>
            <w:r>
              <w:rPr>
                <w:rFonts w:hint="eastAsia"/>
                <w:bCs/>
              </w:rPr>
              <w:t xml:space="preserve">“Power class </w:t>
            </w:r>
            <w:r>
              <w:rPr>
                <w:rFonts w:hint="eastAsia"/>
                <w:bCs/>
                <w:lang w:val="en-US" w:eastAsia="zh-CN"/>
              </w:rPr>
              <w:t xml:space="preserve">5, </w:t>
            </w:r>
            <w:r>
              <w:rPr>
                <w:rFonts w:hint="eastAsia"/>
                <w:bCs/>
              </w:rPr>
              <w:t>f ≤ 3.0GHz”.</w:t>
            </w:r>
          </w:p>
        </w:tc>
        <w:tc>
          <w:tcPr>
            <w:tcW w:w="2349" w:type="dxa"/>
          </w:tcPr>
          <w:p>
            <w:pPr>
              <w:pStyle w:val="103"/>
              <w:rPr>
                <w:bCs/>
              </w:rPr>
            </w:pPr>
            <w:r>
              <w:rPr>
                <w:rFonts w:hint="eastAsia"/>
                <w:bCs/>
              </w:rPr>
              <w:t>Same as clause 6.2.3EA in TS 36.521-1 [14] for FDD band with “Power class 3</w:t>
            </w:r>
            <w:r>
              <w:rPr>
                <w:rFonts w:hint="eastAsia"/>
                <w:bCs/>
                <w:lang w:val="en-US" w:eastAsia="zh-CN"/>
              </w:rPr>
              <w:t xml:space="preserve">, </w:t>
            </w:r>
            <w:r>
              <w:rPr>
                <w:rFonts w:hint="eastAsia"/>
                <w:bCs/>
              </w:rPr>
              <w:t>f ≤ 3.0GHz”</w:t>
            </w:r>
            <w:r>
              <w:rPr>
                <w:rFonts w:hint="eastAsia"/>
                <w:bCs/>
                <w:lang w:val="en-US" w:eastAsia="zh-CN"/>
              </w:rPr>
              <w:t xml:space="preserve"> and </w:t>
            </w:r>
            <w:r>
              <w:rPr>
                <w:rFonts w:hint="eastAsia"/>
                <w:bCs/>
              </w:rPr>
              <w:t xml:space="preserve">“Power class </w:t>
            </w:r>
            <w:r>
              <w:rPr>
                <w:rFonts w:hint="eastAsia"/>
                <w:bCs/>
                <w:lang w:val="en-US" w:eastAsia="zh-CN"/>
              </w:rPr>
              <w:t xml:space="preserve">5, </w:t>
            </w:r>
            <w:r>
              <w:rPr>
                <w:rFonts w:hint="eastAsia"/>
                <w:bCs/>
              </w:rPr>
              <w:t>f ≤ 3.0GHz”.</w:t>
            </w:r>
          </w:p>
        </w:tc>
        <w:tc>
          <w:tcPr>
            <w:tcW w:w="2492" w:type="dxa"/>
          </w:tcPr>
          <w:p>
            <w:pPr>
              <w:pStyle w:val="103"/>
              <w:rPr>
                <w:bCs/>
              </w:rPr>
            </w:pPr>
            <w:r>
              <w:rPr>
                <w:rFonts w:hint="eastAsia"/>
                <w:bCs/>
              </w:rPr>
              <w:t>Same as clause 6.2.3EA in TS 36.521-1 [14] for FDD band with “Power class 3</w:t>
            </w:r>
            <w:r>
              <w:rPr>
                <w:rFonts w:hint="eastAsia"/>
                <w:bCs/>
                <w:lang w:val="en-US" w:eastAsia="zh-CN"/>
              </w:rPr>
              <w:t xml:space="preserve">, </w:t>
            </w:r>
            <w:r>
              <w:rPr>
                <w:rFonts w:hint="eastAsia"/>
                <w:bCs/>
              </w:rPr>
              <w:t>f ≤ 3.0GHz”</w:t>
            </w:r>
            <w:r>
              <w:rPr>
                <w:rFonts w:hint="eastAsia"/>
                <w:bCs/>
                <w:lang w:val="en-US" w:eastAsia="zh-CN"/>
              </w:rPr>
              <w:t xml:space="preserve"> and </w:t>
            </w:r>
            <w:r>
              <w:rPr>
                <w:rFonts w:hint="eastAsia"/>
                <w:bCs/>
              </w:rPr>
              <w:t xml:space="preserve">“Power class </w:t>
            </w:r>
            <w:r>
              <w:rPr>
                <w:rFonts w:hint="eastAsia"/>
                <w:bCs/>
                <w:lang w:val="en-US" w:eastAsia="zh-CN"/>
              </w:rPr>
              <w:t xml:space="preserve">5, </w:t>
            </w:r>
            <w:r>
              <w:rPr>
                <w:rFonts w:hint="eastAsia"/>
                <w:bCs/>
              </w:rPr>
              <w:t>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6.2A.3 UE additional maximum output power reduction for category M1 UE</w:t>
            </w:r>
          </w:p>
        </w:tc>
        <w:tc>
          <w:tcPr>
            <w:tcW w:w="3206" w:type="dxa"/>
          </w:tcPr>
          <w:p>
            <w:pPr>
              <w:pStyle w:val="103"/>
              <w:rPr>
                <w:bCs/>
              </w:rPr>
            </w:pPr>
            <w:r>
              <w:rPr>
                <w:rFonts w:hint="eastAsia"/>
                <w:bCs/>
              </w:rPr>
              <w:t>Same as clause 6.2.4EA in TS 36.521-1 [14]</w:t>
            </w:r>
          </w:p>
        </w:tc>
        <w:tc>
          <w:tcPr>
            <w:tcW w:w="2349" w:type="dxa"/>
          </w:tcPr>
          <w:p>
            <w:pPr>
              <w:pStyle w:val="103"/>
              <w:rPr>
                <w:bCs/>
              </w:rPr>
            </w:pPr>
            <w:r>
              <w:rPr>
                <w:rFonts w:hint="eastAsia"/>
                <w:bCs/>
              </w:rPr>
              <w:t>Same as clause 6.2.4EA in TS 36.521-1 [14]] for FDD band with “f ≤ 3.0GHz”.</w:t>
            </w:r>
          </w:p>
        </w:tc>
        <w:tc>
          <w:tcPr>
            <w:tcW w:w="2492" w:type="dxa"/>
          </w:tcPr>
          <w:p>
            <w:pPr>
              <w:pStyle w:val="103"/>
              <w:rPr>
                <w:bCs/>
              </w:rPr>
            </w:pPr>
            <w:r>
              <w:rPr>
                <w:rFonts w:hint="eastAsia"/>
                <w:bCs/>
              </w:rPr>
              <w:t>Same as clause 6.2.4EA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6.2A.4 Configured transmitted Power for category M1</w:t>
            </w:r>
          </w:p>
        </w:tc>
        <w:tc>
          <w:tcPr>
            <w:tcW w:w="3206" w:type="dxa"/>
          </w:tcPr>
          <w:p>
            <w:pPr>
              <w:pStyle w:val="103"/>
              <w:rPr>
                <w:bCs/>
              </w:rPr>
            </w:pPr>
            <w:r>
              <w:rPr>
                <w:rFonts w:hint="eastAsia"/>
                <w:bCs/>
              </w:rPr>
              <w:t>Same as clause 6.2.5EA in TS 36.521-1 [14] for FDD band with “f ≤ 3.0GHz”.</w:t>
            </w:r>
          </w:p>
        </w:tc>
        <w:tc>
          <w:tcPr>
            <w:tcW w:w="2349" w:type="dxa"/>
          </w:tcPr>
          <w:p>
            <w:pPr>
              <w:pStyle w:val="103"/>
              <w:rPr>
                <w:bCs/>
              </w:rPr>
            </w:pPr>
            <w:r>
              <w:rPr>
                <w:rFonts w:hint="eastAsia"/>
                <w:bCs/>
              </w:rPr>
              <w:t>Same as clause 6.2.5EA in TS 36.521-1 [14] for FDD band with “f ≤ 3.0GHz”.</w:t>
            </w:r>
          </w:p>
        </w:tc>
        <w:tc>
          <w:tcPr>
            <w:tcW w:w="2492" w:type="dxa"/>
          </w:tcPr>
          <w:p>
            <w:pPr>
              <w:pStyle w:val="103"/>
              <w:rPr>
                <w:bCs/>
              </w:rPr>
            </w:pPr>
            <w:r>
              <w:rPr>
                <w:rFonts w:hint="eastAsia"/>
                <w:bCs/>
              </w:rPr>
              <w:t>Same as clause 6.2.5EA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6.2B.1</w:t>
            </w:r>
            <w:r>
              <w:rPr>
                <w:bCs/>
              </w:rPr>
              <w:tab/>
            </w:r>
            <w:r>
              <w:rPr>
                <w:bCs/>
                <w:lang w:eastAsia="zh-CN"/>
              </w:rPr>
              <w:t xml:space="preserve">UE </w:t>
            </w:r>
            <w:r>
              <w:rPr>
                <w:bCs/>
              </w:rPr>
              <w:t>maximum output power for category NB1 and NB2</w:t>
            </w:r>
          </w:p>
        </w:tc>
        <w:tc>
          <w:tcPr>
            <w:tcW w:w="3206" w:type="dxa"/>
          </w:tcPr>
          <w:p>
            <w:pPr>
              <w:pStyle w:val="103"/>
              <w:rPr>
                <w:bCs/>
              </w:rPr>
            </w:pPr>
            <w:r>
              <w:rPr>
                <w:rFonts w:hint="eastAsia"/>
                <w:bCs/>
              </w:rPr>
              <w:t>Same as clause 6.2.2F in TS 36.521-1 [14] for FDD band with “f ≤ 3.0GHz</w:t>
            </w:r>
            <w:r>
              <w:rPr>
                <w:rFonts w:hint="eastAsia"/>
                <w:bCs/>
                <w:lang w:val="en-US" w:eastAsia="zh-CN"/>
              </w:rPr>
              <w:t xml:space="preserve">, </w:t>
            </w:r>
            <w:r>
              <w:rPr>
                <w:bCs/>
              </w:rPr>
              <w:t>Power class 3</w:t>
            </w:r>
            <w:r>
              <w:rPr>
                <w:rFonts w:hint="eastAsia"/>
                <w:bCs/>
              </w:rPr>
              <w:t>”</w:t>
            </w:r>
            <w:r>
              <w:rPr>
                <w:rFonts w:hint="eastAsia"/>
                <w:bCs/>
                <w:lang w:val="en-US" w:eastAsia="zh-CN"/>
              </w:rPr>
              <w:t xml:space="preserve"> and </w:t>
            </w:r>
            <w:r>
              <w:rPr>
                <w:rFonts w:hint="eastAsia"/>
                <w:bCs/>
              </w:rPr>
              <w:t>“f ≤ 3.0GHz</w:t>
            </w:r>
            <w:r>
              <w:rPr>
                <w:rFonts w:hint="eastAsia"/>
                <w:bCs/>
                <w:lang w:val="en-US" w:eastAsia="zh-CN"/>
              </w:rPr>
              <w:t xml:space="preserve">, </w:t>
            </w:r>
            <w:r>
              <w:rPr>
                <w:bCs/>
              </w:rPr>
              <w:t xml:space="preserve">Power class </w:t>
            </w:r>
            <w:r>
              <w:rPr>
                <w:rFonts w:hint="eastAsia"/>
                <w:bCs/>
                <w:lang w:val="en-US" w:eastAsia="zh-CN"/>
              </w:rPr>
              <w:t>5</w:t>
            </w:r>
            <w:r>
              <w:rPr>
                <w:rFonts w:hint="eastAsia"/>
                <w:bCs/>
              </w:rPr>
              <w:t>”</w:t>
            </w:r>
          </w:p>
        </w:tc>
        <w:tc>
          <w:tcPr>
            <w:tcW w:w="2349" w:type="dxa"/>
          </w:tcPr>
          <w:p>
            <w:pPr>
              <w:pStyle w:val="103"/>
              <w:rPr>
                <w:bCs/>
              </w:rPr>
            </w:pPr>
            <w:r>
              <w:rPr>
                <w:rFonts w:hint="eastAsia"/>
                <w:bCs/>
              </w:rPr>
              <w:t>Same as clause 6.2.2F in TS 36.521-1 [14] for FDD band with “f ≤ 3.0GHz”.</w:t>
            </w:r>
          </w:p>
        </w:tc>
        <w:tc>
          <w:tcPr>
            <w:tcW w:w="2492" w:type="dxa"/>
          </w:tcPr>
          <w:p>
            <w:pPr>
              <w:pStyle w:val="103"/>
              <w:rPr>
                <w:bCs/>
              </w:rPr>
            </w:pPr>
            <w:r>
              <w:rPr>
                <w:rFonts w:hint="eastAsia"/>
                <w:bCs/>
              </w:rPr>
              <w:t>Same as clause 6.2.2F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6.2B.2</w:t>
            </w:r>
            <w:r>
              <w:rPr>
                <w:bCs/>
                <w:lang w:eastAsia="zh-CN"/>
              </w:rPr>
              <w:tab/>
            </w:r>
            <w:r>
              <w:rPr>
                <w:bCs/>
              </w:rPr>
              <w:t>UE m</w:t>
            </w:r>
            <w:r>
              <w:rPr>
                <w:bCs/>
                <w:lang w:eastAsia="zh-CN"/>
              </w:rPr>
              <w:t xml:space="preserve">aximum output power reduction </w:t>
            </w:r>
            <w:r>
              <w:rPr>
                <w:bCs/>
              </w:rPr>
              <w:t xml:space="preserve">for </w:t>
            </w:r>
            <w:r>
              <w:rPr>
                <w:bCs/>
                <w:lang w:eastAsia="zh-CN"/>
              </w:rPr>
              <w:t>category NB1 and NB2</w:t>
            </w:r>
          </w:p>
        </w:tc>
        <w:tc>
          <w:tcPr>
            <w:tcW w:w="3206" w:type="dxa"/>
          </w:tcPr>
          <w:p>
            <w:pPr>
              <w:pStyle w:val="103"/>
              <w:rPr>
                <w:bCs/>
              </w:rPr>
            </w:pPr>
            <w:r>
              <w:rPr>
                <w:rFonts w:hint="eastAsia"/>
                <w:bCs/>
              </w:rPr>
              <w:t>Same as clause 6.2.3F in TS 36.521-1 [14] for FDD band with “Power class 3</w:t>
            </w:r>
            <w:r>
              <w:rPr>
                <w:rFonts w:hint="eastAsia"/>
                <w:bCs/>
                <w:lang w:val="en-US" w:eastAsia="zh-CN"/>
              </w:rPr>
              <w:t xml:space="preserve">, </w:t>
            </w:r>
            <w:r>
              <w:rPr>
                <w:rFonts w:hint="eastAsia"/>
                <w:bCs/>
              </w:rPr>
              <w:t>f ≤ 3.0GHz”</w:t>
            </w:r>
            <w:r>
              <w:rPr>
                <w:rFonts w:hint="eastAsia"/>
                <w:bCs/>
                <w:lang w:val="en-US" w:eastAsia="zh-CN"/>
              </w:rPr>
              <w:t xml:space="preserve"> and </w:t>
            </w:r>
            <w:r>
              <w:rPr>
                <w:rFonts w:hint="eastAsia"/>
                <w:bCs/>
              </w:rPr>
              <w:t xml:space="preserve">“Power class </w:t>
            </w:r>
            <w:r>
              <w:rPr>
                <w:rFonts w:hint="eastAsia"/>
                <w:bCs/>
                <w:lang w:val="en-US" w:eastAsia="zh-CN"/>
              </w:rPr>
              <w:t xml:space="preserve">5, </w:t>
            </w:r>
            <w:r>
              <w:rPr>
                <w:rFonts w:hint="eastAsia"/>
                <w:bCs/>
              </w:rPr>
              <w:t>f ≤ 3.0GHz”.</w:t>
            </w:r>
          </w:p>
        </w:tc>
        <w:tc>
          <w:tcPr>
            <w:tcW w:w="2349" w:type="dxa"/>
          </w:tcPr>
          <w:p>
            <w:pPr>
              <w:pStyle w:val="103"/>
              <w:rPr>
                <w:bCs/>
              </w:rPr>
            </w:pPr>
            <w:r>
              <w:rPr>
                <w:rFonts w:hint="eastAsia"/>
                <w:bCs/>
              </w:rPr>
              <w:t>Same as clause 6.2.3F in TS 36.521-1 [14] for FDD band with “Power class 3</w:t>
            </w:r>
            <w:r>
              <w:rPr>
                <w:rFonts w:hint="eastAsia"/>
                <w:bCs/>
                <w:lang w:val="en-US" w:eastAsia="zh-CN"/>
              </w:rPr>
              <w:t xml:space="preserve">, </w:t>
            </w:r>
            <w:r>
              <w:rPr>
                <w:rFonts w:hint="eastAsia"/>
                <w:bCs/>
              </w:rPr>
              <w:t>f ≤ 3.0GHz”</w:t>
            </w:r>
            <w:r>
              <w:rPr>
                <w:rFonts w:hint="eastAsia"/>
                <w:bCs/>
                <w:lang w:val="en-US" w:eastAsia="zh-CN"/>
              </w:rPr>
              <w:t xml:space="preserve"> and </w:t>
            </w:r>
            <w:r>
              <w:rPr>
                <w:rFonts w:hint="eastAsia"/>
                <w:bCs/>
              </w:rPr>
              <w:t xml:space="preserve">“Power class </w:t>
            </w:r>
            <w:r>
              <w:rPr>
                <w:rFonts w:hint="eastAsia"/>
                <w:bCs/>
                <w:lang w:val="en-US" w:eastAsia="zh-CN"/>
              </w:rPr>
              <w:t xml:space="preserve">5, </w:t>
            </w:r>
            <w:r>
              <w:rPr>
                <w:rFonts w:hint="eastAsia"/>
                <w:bCs/>
              </w:rPr>
              <w:t>f ≤ 3.0GHz”.</w:t>
            </w:r>
          </w:p>
        </w:tc>
        <w:tc>
          <w:tcPr>
            <w:tcW w:w="2492" w:type="dxa"/>
          </w:tcPr>
          <w:p>
            <w:pPr>
              <w:pStyle w:val="103"/>
              <w:rPr>
                <w:bCs/>
              </w:rPr>
            </w:pPr>
            <w:r>
              <w:rPr>
                <w:rFonts w:hint="eastAsia"/>
                <w:bCs/>
              </w:rPr>
              <w:t>Same as clause 6.2.3F in TS 36.521-1 [14] for FDD band with “Power class 3</w:t>
            </w:r>
            <w:r>
              <w:rPr>
                <w:rFonts w:hint="eastAsia"/>
                <w:bCs/>
                <w:lang w:val="en-US" w:eastAsia="zh-CN"/>
              </w:rPr>
              <w:t xml:space="preserve">, </w:t>
            </w:r>
            <w:r>
              <w:rPr>
                <w:rFonts w:hint="eastAsia"/>
                <w:bCs/>
              </w:rPr>
              <w:t>f ≤ 3.0GHz”</w:t>
            </w:r>
            <w:r>
              <w:rPr>
                <w:rFonts w:hint="eastAsia"/>
                <w:bCs/>
                <w:lang w:val="en-US" w:eastAsia="zh-CN"/>
              </w:rPr>
              <w:t xml:space="preserve"> and </w:t>
            </w:r>
            <w:r>
              <w:rPr>
                <w:rFonts w:hint="eastAsia"/>
                <w:bCs/>
              </w:rPr>
              <w:t xml:space="preserve">“Power class </w:t>
            </w:r>
            <w:r>
              <w:rPr>
                <w:rFonts w:hint="eastAsia"/>
                <w:bCs/>
                <w:lang w:val="en-US" w:eastAsia="zh-CN"/>
              </w:rPr>
              <w:t xml:space="preserve">5, </w:t>
            </w:r>
            <w:r>
              <w:rPr>
                <w:rFonts w:hint="eastAsia"/>
                <w:bCs/>
              </w:rPr>
              <w:t>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6.2B.3</w:t>
            </w:r>
            <w:r>
              <w:rPr>
                <w:bCs/>
              </w:rPr>
              <w:tab/>
            </w:r>
            <w:r>
              <w:rPr>
                <w:bCs/>
              </w:rPr>
              <w:t>UE additional maximum output power reduction for category NB1 and NB2 UE</w:t>
            </w:r>
          </w:p>
        </w:tc>
        <w:tc>
          <w:tcPr>
            <w:tcW w:w="3206" w:type="dxa"/>
          </w:tcPr>
          <w:p>
            <w:pPr>
              <w:pStyle w:val="103"/>
              <w:rPr>
                <w:bCs/>
              </w:rPr>
            </w:pPr>
            <w:r>
              <w:rPr>
                <w:rFonts w:cs="v4.2.0"/>
                <w:lang w:eastAsia="ja-JP"/>
              </w:rPr>
              <w:t>Same as clause 6.2.3F in TS 36.521-1[14]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p>
        </w:tc>
        <w:tc>
          <w:tcPr>
            <w:tcW w:w="2349" w:type="dxa"/>
          </w:tcPr>
          <w:p>
            <w:pPr>
              <w:pStyle w:val="103"/>
              <w:rPr>
                <w:bCs/>
              </w:rPr>
            </w:pPr>
            <w:r>
              <w:rPr>
                <w:rFonts w:cs="v4.2.0"/>
                <w:lang w:eastAsia="ja-JP"/>
              </w:rPr>
              <w:t>Same as clause 6.2.3F in TS 36.521-1[14]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p>
        </w:tc>
        <w:tc>
          <w:tcPr>
            <w:tcW w:w="2492" w:type="dxa"/>
          </w:tcPr>
          <w:p>
            <w:pPr>
              <w:pStyle w:val="103"/>
              <w:rPr>
                <w:bCs/>
              </w:rPr>
            </w:pPr>
            <w:r>
              <w:rPr>
                <w:rFonts w:cs="v4.2.0"/>
                <w:lang w:eastAsia="ja-JP"/>
              </w:rPr>
              <w:t>Same as clause 6.2.3F in TS 36.521-1[14]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6.2B.4</w:t>
            </w:r>
            <w:r>
              <w:rPr>
                <w:bCs/>
              </w:rPr>
              <w:tab/>
            </w:r>
            <w:r>
              <w:rPr>
                <w:bCs/>
              </w:rPr>
              <w:t>Configured transmitted Power for category NB1 and NB2</w:t>
            </w:r>
          </w:p>
        </w:tc>
        <w:tc>
          <w:tcPr>
            <w:tcW w:w="3206" w:type="dxa"/>
          </w:tcPr>
          <w:p>
            <w:pPr>
              <w:pStyle w:val="103"/>
              <w:rPr>
                <w:bCs/>
              </w:rPr>
            </w:pPr>
            <w:r>
              <w:rPr>
                <w:rFonts w:hint="eastAsia"/>
                <w:bCs/>
              </w:rPr>
              <w:t>Same as clause 6.2.5F in TS 36.521-1 [14]</w:t>
            </w:r>
          </w:p>
        </w:tc>
        <w:tc>
          <w:tcPr>
            <w:tcW w:w="2349" w:type="dxa"/>
          </w:tcPr>
          <w:p>
            <w:pPr>
              <w:pStyle w:val="103"/>
              <w:rPr>
                <w:bCs/>
              </w:rPr>
            </w:pPr>
            <w:r>
              <w:rPr>
                <w:rFonts w:hint="eastAsia"/>
                <w:bCs/>
              </w:rPr>
              <w:t>Same as clause 6.2.5F in TS 36.521-1 [14]</w:t>
            </w:r>
          </w:p>
        </w:tc>
        <w:tc>
          <w:tcPr>
            <w:tcW w:w="2492" w:type="dxa"/>
          </w:tcPr>
          <w:p>
            <w:pPr>
              <w:pStyle w:val="103"/>
              <w:rPr>
                <w:bCs/>
              </w:rPr>
            </w:pPr>
            <w:r>
              <w:rPr>
                <w:rFonts w:hint="eastAsia"/>
                <w:bCs/>
              </w:rPr>
              <w:t>Same as clause 6.2.5F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6.3A.1</w:t>
            </w:r>
            <w:r>
              <w:rPr>
                <w:bCs/>
              </w:rPr>
              <w:tab/>
            </w:r>
            <w:r>
              <w:rPr>
                <w:bCs/>
              </w:rPr>
              <w:t>UE Minimum output power for category M1</w:t>
            </w:r>
          </w:p>
        </w:tc>
        <w:tc>
          <w:tcPr>
            <w:tcW w:w="3206" w:type="dxa"/>
          </w:tcPr>
          <w:p>
            <w:pPr>
              <w:pStyle w:val="103"/>
              <w:rPr>
                <w:bCs/>
              </w:rPr>
            </w:pPr>
            <w:r>
              <w:rPr>
                <w:rFonts w:hint="eastAsia"/>
                <w:bCs/>
              </w:rPr>
              <w:t>Same as clause 6.3.2EA in TS 36.521-1 [14] for FDD band with “f ≤ 3.0GHz”.</w:t>
            </w:r>
          </w:p>
        </w:tc>
        <w:tc>
          <w:tcPr>
            <w:tcW w:w="2349" w:type="dxa"/>
          </w:tcPr>
          <w:p>
            <w:pPr>
              <w:pStyle w:val="103"/>
              <w:rPr>
                <w:bCs/>
              </w:rPr>
            </w:pPr>
            <w:r>
              <w:rPr>
                <w:rFonts w:hint="eastAsia"/>
                <w:bCs/>
              </w:rPr>
              <w:t>Same as clause 6.3.2EA in TS 36.521-1 [14] for FDD band with “f ≤ 3.0GHz”.</w:t>
            </w:r>
          </w:p>
        </w:tc>
        <w:tc>
          <w:tcPr>
            <w:tcW w:w="2492" w:type="dxa"/>
          </w:tcPr>
          <w:p>
            <w:pPr>
              <w:pStyle w:val="103"/>
              <w:rPr>
                <w:bCs/>
              </w:rPr>
            </w:pPr>
            <w:r>
              <w:rPr>
                <w:rFonts w:hint="eastAsia"/>
                <w:bCs/>
              </w:rPr>
              <w:t>Same as clause 6.3.2EA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6.3A.2</w:t>
            </w:r>
            <w:r>
              <w:rPr>
                <w:bCs/>
              </w:rPr>
              <w:tab/>
            </w:r>
            <w:r>
              <w:rPr>
                <w:bCs/>
              </w:rPr>
              <w:t>Transmit OFF power for category M1</w:t>
            </w:r>
          </w:p>
        </w:tc>
        <w:tc>
          <w:tcPr>
            <w:tcW w:w="3206" w:type="dxa"/>
          </w:tcPr>
          <w:p>
            <w:pPr>
              <w:pStyle w:val="103"/>
              <w:rPr>
                <w:bCs/>
              </w:rPr>
            </w:pPr>
            <w:r>
              <w:rPr>
                <w:rFonts w:hint="eastAsia"/>
                <w:bCs/>
              </w:rPr>
              <w:t>Same as clause 6.3.3EA in TS 36.521-1 [14] for FDD band with “f ≤ 3.0GHz”.</w:t>
            </w:r>
          </w:p>
        </w:tc>
        <w:tc>
          <w:tcPr>
            <w:tcW w:w="2349" w:type="dxa"/>
          </w:tcPr>
          <w:p>
            <w:pPr>
              <w:pStyle w:val="103"/>
              <w:rPr>
                <w:bCs/>
              </w:rPr>
            </w:pPr>
            <w:r>
              <w:rPr>
                <w:rFonts w:hint="eastAsia"/>
                <w:bCs/>
              </w:rPr>
              <w:t>Same as clause 6.3.3EA in TS 36.521-1 [14] for FDD band with “f ≤ 3.0GHz”.</w:t>
            </w:r>
          </w:p>
        </w:tc>
        <w:tc>
          <w:tcPr>
            <w:tcW w:w="2492" w:type="dxa"/>
          </w:tcPr>
          <w:p>
            <w:pPr>
              <w:pStyle w:val="103"/>
              <w:rPr>
                <w:bCs/>
              </w:rPr>
            </w:pPr>
            <w:r>
              <w:rPr>
                <w:rFonts w:hint="eastAsia"/>
                <w:bCs/>
              </w:rPr>
              <w:t>Same as clause 6.3.3EA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6.3A.3.1</w:t>
            </w:r>
            <w:r>
              <w:rPr>
                <w:rFonts w:hint="eastAsia"/>
                <w:bCs/>
                <w:lang w:val="en-US" w:eastAsia="zh-CN"/>
              </w:rPr>
              <w:t xml:space="preserve"> </w:t>
            </w:r>
            <w:r>
              <w:rPr>
                <w:bCs/>
              </w:rPr>
              <w:t>General ON/OFF time mask for category M1</w:t>
            </w:r>
          </w:p>
        </w:tc>
        <w:tc>
          <w:tcPr>
            <w:tcW w:w="3206" w:type="dxa"/>
          </w:tcPr>
          <w:p>
            <w:pPr>
              <w:pStyle w:val="103"/>
              <w:rPr>
                <w:bCs/>
              </w:rPr>
            </w:pPr>
            <w:r>
              <w:rPr>
                <w:rFonts w:hint="eastAsia"/>
                <w:bCs/>
              </w:rPr>
              <w:t>Same as clause 6.3.4EA.1 in TS 36.521-1 [14] for FDD band with “f ≤ 3.0GHz”.</w:t>
            </w:r>
          </w:p>
        </w:tc>
        <w:tc>
          <w:tcPr>
            <w:tcW w:w="2349" w:type="dxa"/>
          </w:tcPr>
          <w:p>
            <w:pPr>
              <w:pStyle w:val="103"/>
              <w:rPr>
                <w:bCs/>
              </w:rPr>
            </w:pPr>
            <w:r>
              <w:rPr>
                <w:rFonts w:hint="eastAsia"/>
                <w:bCs/>
              </w:rPr>
              <w:t>Same as clause 6.3.4EA.1 in TS 36.521-1 [14] for FDD band with “f ≤ 3.0GHz”.</w:t>
            </w:r>
          </w:p>
        </w:tc>
        <w:tc>
          <w:tcPr>
            <w:tcW w:w="2492" w:type="dxa"/>
          </w:tcPr>
          <w:p>
            <w:pPr>
              <w:pStyle w:val="103"/>
              <w:rPr>
                <w:bCs/>
              </w:rPr>
            </w:pPr>
            <w:r>
              <w:rPr>
                <w:rFonts w:hint="eastAsia"/>
                <w:bCs/>
              </w:rPr>
              <w:t>Same as clause 6.3.4EA.1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6.3A.3.2.1</w:t>
            </w:r>
            <w:r>
              <w:rPr>
                <w:bCs/>
              </w:rPr>
              <w:tab/>
            </w:r>
            <w:r>
              <w:rPr>
                <w:bCs/>
              </w:rPr>
              <w:t>PRACH time mask for UE category M1</w:t>
            </w:r>
          </w:p>
        </w:tc>
        <w:tc>
          <w:tcPr>
            <w:tcW w:w="3206" w:type="dxa"/>
          </w:tcPr>
          <w:p>
            <w:pPr>
              <w:pStyle w:val="103"/>
              <w:rPr>
                <w:bCs/>
              </w:rPr>
            </w:pPr>
            <w:r>
              <w:rPr>
                <w:rFonts w:hint="eastAsia"/>
                <w:bCs/>
              </w:rPr>
              <w:t>Same as clause 6.3.4EA.</w:t>
            </w:r>
            <w:r>
              <w:rPr>
                <w:rFonts w:hint="eastAsia"/>
                <w:bCs/>
                <w:lang w:val="en-US" w:eastAsia="zh-CN"/>
              </w:rPr>
              <w:t>2</w:t>
            </w:r>
            <w:r>
              <w:rPr>
                <w:rFonts w:hint="eastAsia"/>
                <w:bCs/>
              </w:rPr>
              <w:t xml:space="preserve"> in TS 36.521-1 [14] for FDD band with “f ≤ 3.0GHz”.</w:t>
            </w:r>
          </w:p>
        </w:tc>
        <w:tc>
          <w:tcPr>
            <w:tcW w:w="2349" w:type="dxa"/>
          </w:tcPr>
          <w:p>
            <w:pPr>
              <w:pStyle w:val="103"/>
              <w:rPr>
                <w:bCs/>
              </w:rPr>
            </w:pPr>
            <w:r>
              <w:rPr>
                <w:rFonts w:hint="eastAsia"/>
                <w:bCs/>
              </w:rPr>
              <w:t>Same as clause 6.3.4EA.</w:t>
            </w:r>
            <w:r>
              <w:rPr>
                <w:rFonts w:hint="eastAsia"/>
                <w:bCs/>
                <w:lang w:val="en-US" w:eastAsia="zh-CN"/>
              </w:rPr>
              <w:t>2</w:t>
            </w:r>
            <w:r>
              <w:rPr>
                <w:rFonts w:hint="eastAsia"/>
                <w:bCs/>
              </w:rPr>
              <w:t xml:space="preserve"> in TS 36.521-1 [14] for FDD band with “f ≤ 3.0GHz”.</w:t>
            </w:r>
          </w:p>
        </w:tc>
        <w:tc>
          <w:tcPr>
            <w:tcW w:w="2492" w:type="dxa"/>
          </w:tcPr>
          <w:p>
            <w:pPr>
              <w:pStyle w:val="103"/>
              <w:rPr>
                <w:bCs/>
              </w:rPr>
            </w:pPr>
            <w:r>
              <w:rPr>
                <w:rFonts w:hint="eastAsia"/>
                <w:bCs/>
              </w:rPr>
              <w:t>Same as clause 6.3.4EA.</w:t>
            </w:r>
            <w:r>
              <w:rPr>
                <w:rFonts w:hint="eastAsia"/>
                <w:bCs/>
                <w:lang w:val="en-US" w:eastAsia="zh-CN"/>
              </w:rPr>
              <w:t>2</w:t>
            </w:r>
            <w:r>
              <w:rPr>
                <w:rFonts w:hint="eastAsia"/>
                <w:bCs/>
              </w:rPr>
              <w:t xml:space="preserve">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6.3A.3.2.2</w:t>
            </w:r>
            <w:r>
              <w:rPr>
                <w:bCs/>
              </w:rPr>
              <w:tab/>
            </w:r>
            <w:r>
              <w:rPr>
                <w:bCs/>
              </w:rPr>
              <w:t>SRS time mask for UE category M1</w:t>
            </w:r>
          </w:p>
        </w:tc>
        <w:tc>
          <w:tcPr>
            <w:tcW w:w="3206" w:type="dxa"/>
          </w:tcPr>
          <w:p>
            <w:pPr>
              <w:pStyle w:val="103"/>
              <w:rPr>
                <w:bCs/>
              </w:rPr>
            </w:pPr>
            <w:r>
              <w:rPr>
                <w:rFonts w:hint="eastAsia"/>
                <w:bCs/>
              </w:rPr>
              <w:t>Same as clause 6.3.4EA.</w:t>
            </w:r>
            <w:r>
              <w:rPr>
                <w:rFonts w:hint="eastAsia"/>
                <w:bCs/>
                <w:lang w:val="en-US" w:eastAsia="zh-CN"/>
              </w:rPr>
              <w:t>2</w:t>
            </w:r>
            <w:r>
              <w:rPr>
                <w:rFonts w:hint="eastAsia"/>
                <w:bCs/>
              </w:rPr>
              <w:t xml:space="preserve"> in TS 36.521-1 [14] for FDD band with “f ≤ 3.0GHz”.</w:t>
            </w:r>
          </w:p>
        </w:tc>
        <w:tc>
          <w:tcPr>
            <w:tcW w:w="2349" w:type="dxa"/>
          </w:tcPr>
          <w:p>
            <w:pPr>
              <w:pStyle w:val="103"/>
              <w:rPr>
                <w:bCs/>
              </w:rPr>
            </w:pPr>
            <w:r>
              <w:rPr>
                <w:rFonts w:hint="eastAsia"/>
                <w:bCs/>
              </w:rPr>
              <w:t>Same as clause 6.3.4EA.</w:t>
            </w:r>
            <w:r>
              <w:rPr>
                <w:rFonts w:hint="eastAsia"/>
                <w:bCs/>
                <w:lang w:val="en-US" w:eastAsia="zh-CN"/>
              </w:rPr>
              <w:t>2</w:t>
            </w:r>
            <w:r>
              <w:rPr>
                <w:rFonts w:hint="eastAsia"/>
                <w:bCs/>
              </w:rPr>
              <w:t xml:space="preserve"> in TS 36.521-1 [14] for FDD band with “f ≤ 3.0GHz”.</w:t>
            </w:r>
          </w:p>
        </w:tc>
        <w:tc>
          <w:tcPr>
            <w:tcW w:w="2492" w:type="dxa"/>
          </w:tcPr>
          <w:p>
            <w:pPr>
              <w:pStyle w:val="103"/>
              <w:rPr>
                <w:bCs/>
              </w:rPr>
            </w:pPr>
            <w:r>
              <w:rPr>
                <w:rFonts w:hint="eastAsia"/>
                <w:bCs/>
              </w:rPr>
              <w:t>Same as clause 6.3.4EA.</w:t>
            </w:r>
            <w:r>
              <w:rPr>
                <w:rFonts w:hint="eastAsia"/>
                <w:bCs/>
                <w:lang w:val="en-US" w:eastAsia="zh-CN"/>
              </w:rPr>
              <w:t>2</w:t>
            </w:r>
            <w:r>
              <w:rPr>
                <w:rFonts w:hint="eastAsia"/>
                <w:bCs/>
              </w:rPr>
              <w:t xml:space="preserve">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6.3A.</w:t>
            </w:r>
            <w:r>
              <w:rPr>
                <w:rFonts w:hint="eastAsia"/>
                <w:bCs/>
              </w:rPr>
              <w:t>4</w:t>
            </w:r>
            <w:r>
              <w:rPr>
                <w:bCs/>
              </w:rPr>
              <w:t>.</w:t>
            </w:r>
            <w:r>
              <w:rPr>
                <w:rFonts w:hint="eastAsia"/>
                <w:bCs/>
              </w:rPr>
              <w:t>1</w:t>
            </w:r>
            <w:r>
              <w:rPr>
                <w:rFonts w:hint="eastAsia"/>
                <w:bCs/>
                <w:lang w:val="en-US" w:eastAsia="zh-CN"/>
              </w:rPr>
              <w:t xml:space="preserve"> </w:t>
            </w:r>
            <w:r>
              <w:rPr>
                <w:bCs/>
              </w:rPr>
              <w:t>Power Control Absolute power tolerance for UE category M1</w:t>
            </w:r>
          </w:p>
        </w:tc>
        <w:tc>
          <w:tcPr>
            <w:tcW w:w="3206" w:type="dxa"/>
          </w:tcPr>
          <w:p>
            <w:pPr>
              <w:pStyle w:val="103"/>
              <w:rPr>
                <w:bCs/>
              </w:rPr>
            </w:pPr>
            <w:r>
              <w:rPr>
                <w:rFonts w:hint="eastAsia"/>
                <w:bCs/>
              </w:rPr>
              <w:t>Same as clause 6.3.5EA.1 in TS 36.521-1 [14] for FDD band with “f ≤ 3.0GHz”.</w:t>
            </w:r>
          </w:p>
        </w:tc>
        <w:tc>
          <w:tcPr>
            <w:tcW w:w="2349" w:type="dxa"/>
          </w:tcPr>
          <w:p>
            <w:pPr>
              <w:pStyle w:val="103"/>
              <w:rPr>
                <w:bCs/>
              </w:rPr>
            </w:pPr>
            <w:r>
              <w:rPr>
                <w:rFonts w:hint="eastAsia"/>
                <w:bCs/>
              </w:rPr>
              <w:t>Same as clause 6.3.5EA.1 in TS 36.521-1 [14] for FDD band with “f ≤ 3.0GHz”.</w:t>
            </w:r>
          </w:p>
        </w:tc>
        <w:tc>
          <w:tcPr>
            <w:tcW w:w="2492" w:type="dxa"/>
          </w:tcPr>
          <w:p>
            <w:pPr>
              <w:pStyle w:val="103"/>
              <w:rPr>
                <w:bCs/>
              </w:rPr>
            </w:pPr>
            <w:r>
              <w:rPr>
                <w:rFonts w:hint="eastAsia"/>
                <w:bCs/>
              </w:rPr>
              <w:t>Same as clause 6.3.5EA.1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6.3A.</w:t>
            </w:r>
            <w:r>
              <w:rPr>
                <w:rFonts w:hint="eastAsia"/>
                <w:bCs/>
              </w:rPr>
              <w:t>4</w:t>
            </w:r>
            <w:r>
              <w:rPr>
                <w:bCs/>
              </w:rPr>
              <w:t>.2</w:t>
            </w:r>
            <w:r>
              <w:rPr>
                <w:rFonts w:hint="eastAsia"/>
                <w:bCs/>
                <w:lang w:val="en-US" w:eastAsia="zh-CN"/>
              </w:rPr>
              <w:t xml:space="preserve"> </w:t>
            </w:r>
            <w:r>
              <w:rPr>
                <w:bCs/>
              </w:rPr>
              <w:t>Power Control Relative power tolerance for UE category M1</w:t>
            </w:r>
          </w:p>
        </w:tc>
        <w:tc>
          <w:tcPr>
            <w:tcW w:w="3206" w:type="dxa"/>
          </w:tcPr>
          <w:p>
            <w:pPr>
              <w:pStyle w:val="103"/>
              <w:rPr>
                <w:rFonts w:eastAsiaTheme="minorEastAsia"/>
                <w:bCs/>
                <w:lang w:val="en-US" w:eastAsia="zh-CN"/>
              </w:rPr>
            </w:pPr>
            <w:r>
              <w:rPr>
                <w:rFonts w:hint="eastAsia"/>
                <w:bCs/>
              </w:rPr>
              <w:t>Same as clause 6.3.5EA.</w:t>
            </w:r>
            <w:r>
              <w:rPr>
                <w:rFonts w:hint="eastAsia"/>
                <w:bCs/>
                <w:lang w:val="en-US" w:eastAsia="zh-CN"/>
              </w:rPr>
              <w:t>2</w:t>
            </w:r>
            <w:r>
              <w:rPr>
                <w:rFonts w:hint="eastAsia"/>
                <w:bCs/>
              </w:rPr>
              <w:t xml:space="preserve"> in TS 36.521-1 [14]</w:t>
            </w:r>
            <w:r>
              <w:rPr>
                <w:rFonts w:hint="eastAsia"/>
                <w:bCs/>
                <w:lang w:val="en-US" w:eastAsia="zh-CN"/>
              </w:rPr>
              <w:t>.</w:t>
            </w:r>
          </w:p>
        </w:tc>
        <w:tc>
          <w:tcPr>
            <w:tcW w:w="2349" w:type="dxa"/>
          </w:tcPr>
          <w:p>
            <w:pPr>
              <w:pStyle w:val="103"/>
              <w:rPr>
                <w:bCs/>
              </w:rPr>
            </w:pPr>
            <w:r>
              <w:rPr>
                <w:rFonts w:hint="eastAsia"/>
                <w:bCs/>
              </w:rPr>
              <w:t>Same as clause 6.3.5EA.</w:t>
            </w:r>
            <w:r>
              <w:rPr>
                <w:rFonts w:hint="eastAsia"/>
                <w:bCs/>
                <w:lang w:val="en-US" w:eastAsia="zh-CN"/>
              </w:rPr>
              <w:t>2</w:t>
            </w:r>
            <w:r>
              <w:rPr>
                <w:rFonts w:hint="eastAsia"/>
                <w:bCs/>
              </w:rPr>
              <w:t xml:space="preserve"> in TS 36.521-1 [14]</w:t>
            </w:r>
            <w:r>
              <w:rPr>
                <w:rFonts w:hint="eastAsia"/>
                <w:bCs/>
                <w:lang w:val="en-US" w:eastAsia="zh-CN"/>
              </w:rPr>
              <w:t>.</w:t>
            </w:r>
          </w:p>
        </w:tc>
        <w:tc>
          <w:tcPr>
            <w:tcW w:w="2492" w:type="dxa"/>
          </w:tcPr>
          <w:p>
            <w:pPr>
              <w:pStyle w:val="103"/>
              <w:rPr>
                <w:bCs/>
              </w:rPr>
            </w:pPr>
            <w:r>
              <w:rPr>
                <w:rFonts w:hint="eastAsia"/>
                <w:bCs/>
              </w:rPr>
              <w:t>Same as clause 6.3.5EA.</w:t>
            </w:r>
            <w:r>
              <w:rPr>
                <w:rFonts w:hint="eastAsia"/>
                <w:bCs/>
                <w:lang w:val="en-US" w:eastAsia="zh-CN"/>
              </w:rPr>
              <w:t>2</w:t>
            </w:r>
            <w:r>
              <w:rPr>
                <w:rFonts w:hint="eastAsia"/>
                <w:bCs/>
              </w:rPr>
              <w:t xml:space="preserve"> in TS 36.521-1 [14]</w:t>
            </w:r>
            <w:r>
              <w:rPr>
                <w:rFonts w:hint="eastAsia"/>
                <w:bCs/>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6.3A.</w:t>
            </w:r>
            <w:r>
              <w:rPr>
                <w:rFonts w:hint="eastAsia"/>
                <w:bCs/>
              </w:rPr>
              <w:t>4</w:t>
            </w:r>
            <w:r>
              <w:rPr>
                <w:bCs/>
              </w:rPr>
              <w:t>.3</w:t>
            </w:r>
            <w:r>
              <w:rPr>
                <w:rFonts w:hint="eastAsia"/>
                <w:bCs/>
                <w:lang w:val="en-US" w:eastAsia="zh-CN"/>
              </w:rPr>
              <w:t xml:space="preserve"> </w:t>
            </w:r>
            <w:r>
              <w:rPr>
                <w:bCs/>
              </w:rPr>
              <w:t xml:space="preserve">Aggregate power control tolerance for UE category </w:t>
            </w:r>
            <w:r>
              <w:rPr>
                <w:bCs/>
                <w:lang w:eastAsia="zh-TW"/>
              </w:rPr>
              <w:t>M1</w:t>
            </w:r>
          </w:p>
        </w:tc>
        <w:tc>
          <w:tcPr>
            <w:tcW w:w="3206" w:type="dxa"/>
          </w:tcPr>
          <w:p>
            <w:pPr>
              <w:pStyle w:val="103"/>
              <w:rPr>
                <w:bCs/>
              </w:rPr>
            </w:pPr>
            <w:r>
              <w:rPr>
                <w:rFonts w:hint="eastAsia"/>
                <w:bCs/>
              </w:rPr>
              <w:t>Same as clause 6.3.5EA.3 in TS 36.521-1 [14]</w:t>
            </w:r>
            <w:r>
              <w:rPr>
                <w:rFonts w:hint="eastAsia"/>
                <w:bCs/>
                <w:lang w:val="en-US" w:eastAsia="zh-CN"/>
              </w:rPr>
              <w:t>.</w:t>
            </w:r>
          </w:p>
        </w:tc>
        <w:tc>
          <w:tcPr>
            <w:tcW w:w="2349" w:type="dxa"/>
          </w:tcPr>
          <w:p>
            <w:pPr>
              <w:pStyle w:val="103"/>
              <w:rPr>
                <w:bCs/>
              </w:rPr>
            </w:pPr>
            <w:r>
              <w:rPr>
                <w:rFonts w:hint="eastAsia"/>
                <w:bCs/>
              </w:rPr>
              <w:t>Same as clause 6.3.5EA.3 in TS 36.521-1 [14]</w:t>
            </w:r>
            <w:r>
              <w:rPr>
                <w:rFonts w:hint="eastAsia"/>
                <w:bCs/>
                <w:lang w:val="en-US" w:eastAsia="zh-CN"/>
              </w:rPr>
              <w:t>.</w:t>
            </w:r>
          </w:p>
        </w:tc>
        <w:tc>
          <w:tcPr>
            <w:tcW w:w="2492" w:type="dxa"/>
          </w:tcPr>
          <w:p>
            <w:pPr>
              <w:pStyle w:val="103"/>
              <w:rPr>
                <w:bCs/>
              </w:rPr>
            </w:pPr>
            <w:r>
              <w:rPr>
                <w:rFonts w:hint="eastAsia"/>
                <w:bCs/>
              </w:rPr>
              <w:t>Same as clause 6.3.5EA.3 in TS 36.521-1 [14]</w:t>
            </w:r>
            <w:r>
              <w:rPr>
                <w:rFonts w:hint="eastAsia"/>
                <w:bCs/>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6.3B.1</w:t>
            </w:r>
            <w:r>
              <w:rPr>
                <w:bCs/>
              </w:rPr>
              <w:tab/>
            </w:r>
            <w:r>
              <w:rPr>
                <w:bCs/>
              </w:rPr>
              <w:t>UE Minimum output power for category NB1 and NB2</w:t>
            </w:r>
          </w:p>
        </w:tc>
        <w:tc>
          <w:tcPr>
            <w:tcW w:w="3206" w:type="dxa"/>
          </w:tcPr>
          <w:p>
            <w:pPr>
              <w:pStyle w:val="103"/>
              <w:rPr>
                <w:bCs/>
              </w:rPr>
            </w:pPr>
            <w:r>
              <w:rPr>
                <w:rFonts w:hint="eastAsia"/>
                <w:bCs/>
              </w:rPr>
              <w:t>Same as clause 6.3.2F in TS 36.521-1 [14]</w:t>
            </w:r>
          </w:p>
        </w:tc>
        <w:tc>
          <w:tcPr>
            <w:tcW w:w="2349" w:type="dxa"/>
          </w:tcPr>
          <w:p>
            <w:pPr>
              <w:pStyle w:val="103"/>
              <w:rPr>
                <w:bCs/>
              </w:rPr>
            </w:pPr>
            <w:r>
              <w:rPr>
                <w:rFonts w:hint="eastAsia"/>
                <w:bCs/>
              </w:rPr>
              <w:t>Same as clause 6.3.2F in TS 36.521-1 [14]</w:t>
            </w:r>
          </w:p>
        </w:tc>
        <w:tc>
          <w:tcPr>
            <w:tcW w:w="2492" w:type="dxa"/>
          </w:tcPr>
          <w:p>
            <w:pPr>
              <w:pStyle w:val="103"/>
              <w:rPr>
                <w:bCs/>
              </w:rPr>
            </w:pPr>
            <w:r>
              <w:rPr>
                <w:rFonts w:hint="eastAsia"/>
                <w:bCs/>
              </w:rPr>
              <w:t>Same as clause 6.3.2F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6.3B.2</w:t>
            </w:r>
            <w:r>
              <w:rPr>
                <w:bCs/>
              </w:rPr>
              <w:tab/>
            </w:r>
            <w:r>
              <w:rPr>
                <w:bCs/>
              </w:rPr>
              <w:t>Transmit OFF power for category NB1 and NB2</w:t>
            </w:r>
          </w:p>
        </w:tc>
        <w:tc>
          <w:tcPr>
            <w:tcW w:w="3206" w:type="dxa"/>
          </w:tcPr>
          <w:p>
            <w:pPr>
              <w:pStyle w:val="103"/>
              <w:rPr>
                <w:bCs/>
              </w:rPr>
            </w:pPr>
            <w:r>
              <w:rPr>
                <w:rFonts w:hint="eastAsia"/>
                <w:bCs/>
              </w:rPr>
              <w:t>Same as clause 6.3.3</w:t>
            </w:r>
            <w:r>
              <w:rPr>
                <w:rFonts w:hint="eastAsia"/>
                <w:bCs/>
                <w:lang w:val="en-US" w:eastAsia="zh-CN"/>
              </w:rPr>
              <w:t>F</w:t>
            </w:r>
            <w:r>
              <w:rPr>
                <w:rFonts w:hint="eastAsia"/>
                <w:bCs/>
              </w:rPr>
              <w:t xml:space="preserve"> in TS 36.521-1 [14] for FDD band with “f ≤ 3.0GHz”.</w:t>
            </w:r>
          </w:p>
        </w:tc>
        <w:tc>
          <w:tcPr>
            <w:tcW w:w="2349" w:type="dxa"/>
          </w:tcPr>
          <w:p>
            <w:pPr>
              <w:pStyle w:val="103"/>
              <w:rPr>
                <w:bCs/>
              </w:rPr>
            </w:pPr>
            <w:r>
              <w:rPr>
                <w:rFonts w:hint="eastAsia"/>
                <w:bCs/>
              </w:rPr>
              <w:t>Same as clause 6.3.3</w:t>
            </w:r>
            <w:r>
              <w:rPr>
                <w:rFonts w:hint="eastAsia"/>
                <w:bCs/>
                <w:lang w:val="en-US" w:eastAsia="zh-CN"/>
              </w:rPr>
              <w:t>F</w:t>
            </w:r>
            <w:r>
              <w:rPr>
                <w:rFonts w:hint="eastAsia"/>
                <w:bCs/>
              </w:rPr>
              <w:t xml:space="preserve"> in TS 36.521-1 [14] for FDD band with “f ≤ 3.0GHz”.</w:t>
            </w:r>
          </w:p>
        </w:tc>
        <w:tc>
          <w:tcPr>
            <w:tcW w:w="2492" w:type="dxa"/>
          </w:tcPr>
          <w:p>
            <w:pPr>
              <w:pStyle w:val="103"/>
              <w:rPr>
                <w:bCs/>
              </w:rPr>
            </w:pPr>
            <w:r>
              <w:rPr>
                <w:rFonts w:hint="eastAsia"/>
                <w:bCs/>
              </w:rPr>
              <w:t>Same as clause 6.3.3</w:t>
            </w:r>
            <w:r>
              <w:rPr>
                <w:rFonts w:hint="eastAsia"/>
                <w:bCs/>
                <w:lang w:val="en-US" w:eastAsia="zh-CN"/>
              </w:rPr>
              <w:t>F</w:t>
            </w:r>
            <w:r>
              <w:rPr>
                <w:rFonts w:hint="eastAsia"/>
                <w:bCs/>
              </w:rPr>
              <w:t xml:space="preserve">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6.3B.3.1</w:t>
            </w:r>
            <w:r>
              <w:rPr>
                <w:rFonts w:hint="eastAsia"/>
                <w:bCs/>
                <w:lang w:val="en-US" w:eastAsia="zh-CN"/>
              </w:rPr>
              <w:t xml:space="preserve"> </w:t>
            </w:r>
            <w:r>
              <w:rPr>
                <w:bCs/>
                <w:lang w:eastAsia="zh-TW"/>
              </w:rPr>
              <w:t>General ON/OFF time mask for category NB1 and NB2</w:t>
            </w:r>
          </w:p>
        </w:tc>
        <w:tc>
          <w:tcPr>
            <w:tcW w:w="3206" w:type="dxa"/>
          </w:tcPr>
          <w:p>
            <w:pPr>
              <w:pStyle w:val="103"/>
              <w:rPr>
                <w:bCs/>
              </w:rPr>
            </w:pPr>
            <w:r>
              <w:rPr>
                <w:rFonts w:hint="eastAsia"/>
                <w:bCs/>
              </w:rPr>
              <w:t>Same as clause 6.3.4</w:t>
            </w:r>
            <w:r>
              <w:rPr>
                <w:rFonts w:hint="eastAsia"/>
                <w:bCs/>
                <w:lang w:val="en-US" w:eastAsia="zh-CN"/>
              </w:rPr>
              <w:t>F</w:t>
            </w:r>
            <w:r>
              <w:rPr>
                <w:rFonts w:hint="eastAsia"/>
                <w:bCs/>
              </w:rPr>
              <w:t>.1 in TS 36.521-1 [14] for FDD band with “f ≤ 3.0GHz”.</w:t>
            </w:r>
          </w:p>
        </w:tc>
        <w:tc>
          <w:tcPr>
            <w:tcW w:w="2349" w:type="dxa"/>
          </w:tcPr>
          <w:p>
            <w:pPr>
              <w:pStyle w:val="103"/>
              <w:rPr>
                <w:bCs/>
              </w:rPr>
            </w:pPr>
            <w:r>
              <w:rPr>
                <w:rFonts w:hint="eastAsia"/>
                <w:bCs/>
              </w:rPr>
              <w:t>Same as clause 6.3.4</w:t>
            </w:r>
            <w:r>
              <w:rPr>
                <w:rFonts w:hint="eastAsia"/>
                <w:bCs/>
                <w:lang w:val="en-US" w:eastAsia="zh-CN"/>
              </w:rPr>
              <w:t>F</w:t>
            </w:r>
            <w:r>
              <w:rPr>
                <w:rFonts w:hint="eastAsia"/>
                <w:bCs/>
              </w:rPr>
              <w:t>.1 in TS 36.521-1 [14] for FDD band with “f ≤ 3.0GHz”.</w:t>
            </w:r>
          </w:p>
        </w:tc>
        <w:tc>
          <w:tcPr>
            <w:tcW w:w="2492" w:type="dxa"/>
          </w:tcPr>
          <w:p>
            <w:pPr>
              <w:pStyle w:val="103"/>
              <w:rPr>
                <w:bCs/>
              </w:rPr>
            </w:pPr>
            <w:r>
              <w:rPr>
                <w:rFonts w:hint="eastAsia"/>
                <w:bCs/>
              </w:rPr>
              <w:t>Same as clause 6.3.4</w:t>
            </w:r>
            <w:r>
              <w:rPr>
                <w:rFonts w:hint="eastAsia"/>
                <w:bCs/>
                <w:lang w:val="en-US" w:eastAsia="zh-CN"/>
              </w:rPr>
              <w:t>F</w:t>
            </w:r>
            <w:r>
              <w:rPr>
                <w:rFonts w:hint="eastAsia"/>
                <w:bCs/>
              </w:rPr>
              <w:t>.1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6.3B.3.2</w:t>
            </w:r>
            <w:r>
              <w:rPr>
                <w:rFonts w:hint="eastAsia"/>
                <w:bCs/>
                <w:lang w:val="en-US" w:eastAsia="zh-CN"/>
              </w:rPr>
              <w:t xml:space="preserve"> </w:t>
            </w:r>
            <w:r>
              <w:rPr>
                <w:bCs/>
                <w:lang w:eastAsia="zh-TW"/>
              </w:rPr>
              <w:t>NPRACH time mask for category NB1 and NB2</w:t>
            </w:r>
          </w:p>
        </w:tc>
        <w:tc>
          <w:tcPr>
            <w:tcW w:w="3206" w:type="dxa"/>
          </w:tcPr>
          <w:p>
            <w:pPr>
              <w:pStyle w:val="103"/>
              <w:rPr>
                <w:bCs/>
              </w:rPr>
            </w:pPr>
            <w:r>
              <w:rPr>
                <w:rFonts w:hint="eastAsia"/>
                <w:bCs/>
              </w:rPr>
              <w:t>Same as clause 6.3.4</w:t>
            </w:r>
            <w:r>
              <w:rPr>
                <w:rFonts w:hint="eastAsia"/>
                <w:bCs/>
                <w:lang w:val="en-US" w:eastAsia="zh-CN"/>
              </w:rPr>
              <w:t>F</w:t>
            </w:r>
            <w:r>
              <w:rPr>
                <w:rFonts w:hint="eastAsia"/>
                <w:bCs/>
              </w:rPr>
              <w:t>.</w:t>
            </w:r>
            <w:r>
              <w:rPr>
                <w:rFonts w:hint="eastAsia"/>
                <w:bCs/>
                <w:lang w:val="en-US" w:eastAsia="zh-CN"/>
              </w:rPr>
              <w:t>2</w:t>
            </w:r>
            <w:r>
              <w:rPr>
                <w:rFonts w:hint="eastAsia"/>
                <w:bCs/>
              </w:rPr>
              <w:t xml:space="preserve"> in TS 36.521-1 [14] for FDD band with “f ≤ 3.0GHz”.</w:t>
            </w:r>
          </w:p>
        </w:tc>
        <w:tc>
          <w:tcPr>
            <w:tcW w:w="2349" w:type="dxa"/>
          </w:tcPr>
          <w:p>
            <w:pPr>
              <w:pStyle w:val="103"/>
              <w:rPr>
                <w:bCs/>
              </w:rPr>
            </w:pPr>
            <w:r>
              <w:rPr>
                <w:rFonts w:hint="eastAsia"/>
                <w:bCs/>
              </w:rPr>
              <w:t>Same as clause 6.3.4</w:t>
            </w:r>
            <w:r>
              <w:rPr>
                <w:rFonts w:hint="eastAsia"/>
                <w:bCs/>
                <w:lang w:val="en-US" w:eastAsia="zh-CN"/>
              </w:rPr>
              <w:t>F</w:t>
            </w:r>
            <w:r>
              <w:rPr>
                <w:rFonts w:hint="eastAsia"/>
                <w:bCs/>
              </w:rPr>
              <w:t>.</w:t>
            </w:r>
            <w:r>
              <w:rPr>
                <w:rFonts w:hint="eastAsia"/>
                <w:bCs/>
                <w:lang w:val="en-US" w:eastAsia="zh-CN"/>
              </w:rPr>
              <w:t>2</w:t>
            </w:r>
            <w:r>
              <w:rPr>
                <w:rFonts w:hint="eastAsia"/>
                <w:bCs/>
              </w:rPr>
              <w:t xml:space="preserve"> in TS 36.521-1 [14] for FDD band with “f ≤ 3.0GHz”.</w:t>
            </w:r>
          </w:p>
        </w:tc>
        <w:tc>
          <w:tcPr>
            <w:tcW w:w="2492" w:type="dxa"/>
          </w:tcPr>
          <w:p>
            <w:pPr>
              <w:pStyle w:val="103"/>
              <w:rPr>
                <w:bCs/>
              </w:rPr>
            </w:pPr>
            <w:r>
              <w:rPr>
                <w:rFonts w:hint="eastAsia"/>
                <w:bCs/>
              </w:rPr>
              <w:t>Same as clause 6.3.4</w:t>
            </w:r>
            <w:r>
              <w:rPr>
                <w:rFonts w:hint="eastAsia"/>
                <w:bCs/>
                <w:lang w:val="en-US" w:eastAsia="zh-CN"/>
              </w:rPr>
              <w:t>F</w:t>
            </w:r>
            <w:r>
              <w:rPr>
                <w:rFonts w:hint="eastAsia"/>
                <w:bCs/>
              </w:rPr>
              <w:t>.</w:t>
            </w:r>
            <w:r>
              <w:rPr>
                <w:rFonts w:hint="eastAsia"/>
                <w:bCs/>
                <w:lang w:val="en-US" w:eastAsia="zh-CN"/>
              </w:rPr>
              <w:t>2</w:t>
            </w:r>
            <w:r>
              <w:rPr>
                <w:rFonts w:hint="eastAsia"/>
                <w:bCs/>
              </w:rPr>
              <w:t xml:space="preserve">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6.3B.4.1</w:t>
            </w:r>
            <w:r>
              <w:rPr>
                <w:bCs/>
              </w:rPr>
              <w:tab/>
            </w:r>
            <w:r>
              <w:rPr>
                <w:bCs/>
              </w:rPr>
              <w:t>Power Control Absolute power tolerance for category NB1 and NB2</w:t>
            </w:r>
          </w:p>
        </w:tc>
        <w:tc>
          <w:tcPr>
            <w:tcW w:w="3206" w:type="dxa"/>
          </w:tcPr>
          <w:p>
            <w:pPr>
              <w:pStyle w:val="103"/>
              <w:rPr>
                <w:bCs/>
              </w:rPr>
            </w:pPr>
            <w:r>
              <w:rPr>
                <w:rFonts w:hint="eastAsia"/>
                <w:bCs/>
              </w:rPr>
              <w:t>Same as clause 6.3.5F.1 in TS 36.521-1 [14] for FDD band with “f ≤ 3.0GHz”.</w:t>
            </w:r>
          </w:p>
        </w:tc>
        <w:tc>
          <w:tcPr>
            <w:tcW w:w="2349" w:type="dxa"/>
          </w:tcPr>
          <w:p>
            <w:pPr>
              <w:pStyle w:val="103"/>
              <w:rPr>
                <w:bCs/>
              </w:rPr>
            </w:pPr>
            <w:r>
              <w:rPr>
                <w:rFonts w:hint="eastAsia"/>
                <w:bCs/>
              </w:rPr>
              <w:t>Same as clause 6.3.5F.1 in TS 36.521-1 [14] for FDD band with “f ≤ 3.0GHz”.</w:t>
            </w:r>
          </w:p>
        </w:tc>
        <w:tc>
          <w:tcPr>
            <w:tcW w:w="2492" w:type="dxa"/>
          </w:tcPr>
          <w:p>
            <w:pPr>
              <w:pStyle w:val="103"/>
              <w:rPr>
                <w:bCs/>
              </w:rPr>
            </w:pPr>
            <w:r>
              <w:rPr>
                <w:rFonts w:hint="eastAsia"/>
                <w:bCs/>
              </w:rPr>
              <w:t>Same as clause 6.3.5F.1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6.3B.4.2 Power Control Relative power tolerance for category NB1 and NB2</w:t>
            </w:r>
          </w:p>
        </w:tc>
        <w:tc>
          <w:tcPr>
            <w:tcW w:w="3206" w:type="dxa"/>
          </w:tcPr>
          <w:p>
            <w:pPr>
              <w:pStyle w:val="103"/>
              <w:rPr>
                <w:bCs/>
              </w:rPr>
            </w:pPr>
            <w:r>
              <w:rPr>
                <w:rFonts w:hint="eastAsia"/>
                <w:bCs/>
              </w:rPr>
              <w:t>Same as clause 6.3.5F.2 in TS 36.521-1 [14]</w:t>
            </w:r>
          </w:p>
        </w:tc>
        <w:tc>
          <w:tcPr>
            <w:tcW w:w="2349" w:type="dxa"/>
          </w:tcPr>
          <w:p>
            <w:pPr>
              <w:pStyle w:val="103"/>
              <w:rPr>
                <w:bCs/>
              </w:rPr>
            </w:pPr>
            <w:r>
              <w:rPr>
                <w:rFonts w:hint="eastAsia"/>
                <w:bCs/>
              </w:rPr>
              <w:t>Same as clause 6.3.5F.2 in TS 36.521-1 [14]</w:t>
            </w:r>
          </w:p>
        </w:tc>
        <w:tc>
          <w:tcPr>
            <w:tcW w:w="2492" w:type="dxa"/>
          </w:tcPr>
          <w:p>
            <w:pPr>
              <w:pStyle w:val="103"/>
              <w:rPr>
                <w:bCs/>
              </w:rPr>
            </w:pPr>
            <w:r>
              <w:rPr>
                <w:rFonts w:hint="eastAsia"/>
                <w:bCs/>
              </w:rPr>
              <w:t>Same as clause 6.3.5F.2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6.3B.4.3 Aggregate power control tolerance for category NB1 and NB2</w:t>
            </w:r>
          </w:p>
        </w:tc>
        <w:tc>
          <w:tcPr>
            <w:tcW w:w="3206" w:type="dxa"/>
          </w:tcPr>
          <w:p>
            <w:pPr>
              <w:pStyle w:val="103"/>
              <w:rPr>
                <w:bCs/>
              </w:rPr>
            </w:pPr>
            <w:r>
              <w:rPr>
                <w:rFonts w:hint="eastAsia"/>
                <w:bCs/>
              </w:rPr>
              <w:t>Same as clause 6.3.5F.</w:t>
            </w:r>
            <w:r>
              <w:rPr>
                <w:rFonts w:hint="eastAsia"/>
                <w:bCs/>
                <w:lang w:val="en-US" w:eastAsia="zh-CN"/>
              </w:rPr>
              <w:t>3</w:t>
            </w:r>
            <w:r>
              <w:rPr>
                <w:rFonts w:hint="eastAsia"/>
                <w:bCs/>
              </w:rPr>
              <w:t xml:space="preserve"> in TS 36.521-1 [14]</w:t>
            </w:r>
          </w:p>
        </w:tc>
        <w:tc>
          <w:tcPr>
            <w:tcW w:w="2349" w:type="dxa"/>
          </w:tcPr>
          <w:p>
            <w:pPr>
              <w:pStyle w:val="103"/>
              <w:rPr>
                <w:bCs/>
              </w:rPr>
            </w:pPr>
            <w:r>
              <w:rPr>
                <w:rFonts w:hint="eastAsia"/>
                <w:bCs/>
              </w:rPr>
              <w:t>Same as clause 6.3.5F.</w:t>
            </w:r>
            <w:r>
              <w:rPr>
                <w:rFonts w:hint="eastAsia"/>
                <w:bCs/>
                <w:lang w:val="en-US" w:eastAsia="zh-CN"/>
              </w:rPr>
              <w:t>3</w:t>
            </w:r>
            <w:r>
              <w:rPr>
                <w:rFonts w:hint="eastAsia"/>
                <w:bCs/>
              </w:rPr>
              <w:t xml:space="preserve"> in TS 36.521-1 [14]</w:t>
            </w:r>
          </w:p>
        </w:tc>
        <w:tc>
          <w:tcPr>
            <w:tcW w:w="2492" w:type="dxa"/>
          </w:tcPr>
          <w:p>
            <w:pPr>
              <w:pStyle w:val="103"/>
              <w:rPr>
                <w:bCs/>
              </w:rPr>
            </w:pPr>
            <w:r>
              <w:rPr>
                <w:rFonts w:hint="eastAsia"/>
                <w:bCs/>
              </w:rPr>
              <w:t>Same as clause 6.3.5F.</w:t>
            </w:r>
            <w:r>
              <w:rPr>
                <w:rFonts w:hint="eastAsia"/>
                <w:bCs/>
                <w:lang w:val="en-US" w:eastAsia="zh-CN"/>
              </w:rPr>
              <w:t>3</w:t>
            </w:r>
            <w:r>
              <w:rPr>
                <w:rFonts w:hint="eastAsia"/>
                <w:bCs/>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6.4A.2.1</w:t>
            </w:r>
            <w:r>
              <w:rPr>
                <w:rFonts w:hint="eastAsia"/>
                <w:bCs/>
                <w:lang w:val="en-US" w:eastAsia="zh-CN"/>
              </w:rPr>
              <w:t xml:space="preserve"> </w:t>
            </w:r>
            <w:r>
              <w:rPr>
                <w:rFonts w:hint="eastAsia"/>
                <w:bCs/>
              </w:rPr>
              <w:t>Error Vector Magnitude (EVM) for category M1</w:t>
            </w:r>
          </w:p>
        </w:tc>
        <w:tc>
          <w:tcPr>
            <w:tcW w:w="3206" w:type="dxa"/>
          </w:tcPr>
          <w:p>
            <w:pPr>
              <w:pStyle w:val="103"/>
              <w:rPr>
                <w:bCs/>
              </w:rPr>
            </w:pPr>
            <w:r>
              <w:rPr>
                <w:rFonts w:hint="eastAsia"/>
                <w:bCs/>
              </w:rPr>
              <w:t>Same as clause 6.5.2.1EA.1 in TS 36.521-1 [14]</w:t>
            </w:r>
          </w:p>
        </w:tc>
        <w:tc>
          <w:tcPr>
            <w:tcW w:w="2349" w:type="dxa"/>
          </w:tcPr>
          <w:p>
            <w:pPr>
              <w:pStyle w:val="103"/>
              <w:rPr>
                <w:bCs/>
              </w:rPr>
            </w:pPr>
            <w:r>
              <w:rPr>
                <w:rFonts w:hint="eastAsia"/>
                <w:bCs/>
              </w:rPr>
              <w:t>Same as clause 6.5.2.1EA.1 in TS 36.521-1 [14]</w:t>
            </w:r>
          </w:p>
        </w:tc>
        <w:tc>
          <w:tcPr>
            <w:tcW w:w="2492" w:type="dxa"/>
          </w:tcPr>
          <w:p>
            <w:pPr>
              <w:pStyle w:val="103"/>
              <w:rPr>
                <w:bCs/>
              </w:rPr>
            </w:pPr>
            <w:r>
              <w:rPr>
                <w:rFonts w:hint="eastAsia"/>
                <w:bCs/>
              </w:rPr>
              <w:t>Same as clause 6.5.2.1EA.1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6.4A.2.2</w:t>
            </w:r>
            <w:r>
              <w:rPr>
                <w:rFonts w:hint="eastAsia"/>
                <w:bCs/>
                <w:lang w:val="en-US" w:eastAsia="zh-CN"/>
              </w:rPr>
              <w:t xml:space="preserve"> </w:t>
            </w:r>
            <w:r>
              <w:rPr>
                <w:rFonts w:hint="eastAsia"/>
                <w:bCs/>
              </w:rPr>
              <w:t>Carrier leakage for category M1</w:t>
            </w:r>
          </w:p>
        </w:tc>
        <w:tc>
          <w:tcPr>
            <w:tcW w:w="3206" w:type="dxa"/>
          </w:tcPr>
          <w:p>
            <w:pPr>
              <w:pStyle w:val="103"/>
              <w:rPr>
                <w:rFonts w:eastAsiaTheme="minorEastAsia"/>
                <w:bCs/>
                <w:lang w:val="en-US" w:eastAsia="zh-CN"/>
              </w:rPr>
            </w:pPr>
            <w:r>
              <w:rPr>
                <w:rFonts w:hint="eastAsia"/>
                <w:bCs/>
              </w:rPr>
              <w:t>Same as clause 6.5.2.2EA in TS 36.521-1 [14]</w:t>
            </w:r>
          </w:p>
        </w:tc>
        <w:tc>
          <w:tcPr>
            <w:tcW w:w="2349" w:type="dxa"/>
          </w:tcPr>
          <w:p>
            <w:pPr>
              <w:pStyle w:val="103"/>
              <w:rPr>
                <w:rFonts w:eastAsiaTheme="minorEastAsia"/>
                <w:bCs/>
                <w:lang w:val="en-US" w:eastAsia="zh-CN"/>
              </w:rPr>
            </w:pPr>
            <w:r>
              <w:rPr>
                <w:rFonts w:hint="eastAsia"/>
                <w:bCs/>
              </w:rPr>
              <w:t>Same as clause 6.5.2.2EA in TS 36.521-1 [14]</w:t>
            </w:r>
          </w:p>
        </w:tc>
        <w:tc>
          <w:tcPr>
            <w:tcW w:w="2492" w:type="dxa"/>
          </w:tcPr>
          <w:p>
            <w:pPr>
              <w:pStyle w:val="103"/>
              <w:rPr>
                <w:rFonts w:eastAsiaTheme="minorEastAsia"/>
                <w:bCs/>
                <w:lang w:val="en-US" w:eastAsia="zh-CN"/>
              </w:rPr>
            </w:pPr>
            <w:r>
              <w:rPr>
                <w:rFonts w:hint="eastAsia"/>
                <w:bCs/>
              </w:rPr>
              <w:t>Same as clause 6.5.2.2EA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6.4A.2.3</w:t>
            </w:r>
            <w:r>
              <w:rPr>
                <w:rFonts w:hint="eastAsia"/>
                <w:bCs/>
                <w:lang w:val="en-US" w:eastAsia="zh-CN"/>
              </w:rPr>
              <w:t xml:space="preserve"> </w:t>
            </w:r>
            <w:r>
              <w:rPr>
                <w:rFonts w:hint="eastAsia"/>
                <w:bCs/>
              </w:rPr>
              <w:t>In-band emissions for non allocated RB for category M1</w:t>
            </w:r>
          </w:p>
        </w:tc>
        <w:tc>
          <w:tcPr>
            <w:tcW w:w="3206" w:type="dxa"/>
          </w:tcPr>
          <w:p>
            <w:pPr>
              <w:pStyle w:val="103"/>
              <w:rPr>
                <w:bCs/>
              </w:rPr>
            </w:pPr>
            <w:r>
              <w:rPr>
                <w:rFonts w:hint="eastAsia"/>
                <w:bCs/>
              </w:rPr>
              <w:t>Same as clause 6.5.2.3EA in TS 36.521-1 [14]</w:t>
            </w:r>
          </w:p>
        </w:tc>
        <w:tc>
          <w:tcPr>
            <w:tcW w:w="2349" w:type="dxa"/>
          </w:tcPr>
          <w:p>
            <w:pPr>
              <w:pStyle w:val="103"/>
              <w:rPr>
                <w:bCs/>
              </w:rPr>
            </w:pPr>
            <w:r>
              <w:rPr>
                <w:rFonts w:hint="eastAsia"/>
                <w:bCs/>
              </w:rPr>
              <w:t>Same as clause 6.5.2.3EA in TS 36.521-1 [14]</w:t>
            </w:r>
          </w:p>
        </w:tc>
        <w:tc>
          <w:tcPr>
            <w:tcW w:w="2492" w:type="dxa"/>
          </w:tcPr>
          <w:p>
            <w:pPr>
              <w:pStyle w:val="103"/>
              <w:rPr>
                <w:bCs/>
              </w:rPr>
            </w:pPr>
            <w:r>
              <w:rPr>
                <w:rFonts w:hint="eastAsia"/>
                <w:bCs/>
              </w:rPr>
              <w:t>Same as clause 6.5.2.3EA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6.4A.2.4</w:t>
            </w:r>
            <w:r>
              <w:rPr>
                <w:rFonts w:hint="eastAsia"/>
                <w:bCs/>
                <w:lang w:val="en-US" w:eastAsia="zh-CN"/>
              </w:rPr>
              <w:t xml:space="preserve"> </w:t>
            </w:r>
            <w:r>
              <w:rPr>
                <w:rFonts w:hint="eastAsia"/>
                <w:bCs/>
              </w:rPr>
              <w:t>EVM equalizer spectrum flatness for category M1</w:t>
            </w:r>
          </w:p>
        </w:tc>
        <w:tc>
          <w:tcPr>
            <w:tcW w:w="3206" w:type="dxa"/>
          </w:tcPr>
          <w:p>
            <w:pPr>
              <w:pStyle w:val="103"/>
              <w:rPr>
                <w:bCs/>
              </w:rPr>
            </w:pPr>
            <w:r>
              <w:rPr>
                <w:rFonts w:hint="eastAsia"/>
                <w:bCs/>
              </w:rPr>
              <w:t>Same as clause 6.5.2.4EA in TS 36.521-1 [14]</w:t>
            </w:r>
          </w:p>
        </w:tc>
        <w:tc>
          <w:tcPr>
            <w:tcW w:w="2349" w:type="dxa"/>
          </w:tcPr>
          <w:p>
            <w:pPr>
              <w:pStyle w:val="103"/>
              <w:rPr>
                <w:bCs/>
              </w:rPr>
            </w:pPr>
            <w:r>
              <w:rPr>
                <w:rFonts w:hint="eastAsia"/>
                <w:bCs/>
              </w:rPr>
              <w:t>Same as clause 6.5.2.4EA in TS 36.521-1 [14]</w:t>
            </w:r>
          </w:p>
        </w:tc>
        <w:tc>
          <w:tcPr>
            <w:tcW w:w="2492" w:type="dxa"/>
          </w:tcPr>
          <w:p>
            <w:pPr>
              <w:pStyle w:val="103"/>
              <w:rPr>
                <w:bCs/>
              </w:rPr>
            </w:pPr>
            <w:r>
              <w:rPr>
                <w:rFonts w:hint="eastAsia"/>
                <w:bCs/>
              </w:rPr>
              <w:t>Same as clause 6.5.2.4EA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6.4B.2.1</w:t>
            </w:r>
            <w:r>
              <w:rPr>
                <w:rFonts w:hint="eastAsia"/>
                <w:bCs/>
                <w:lang w:val="en-US" w:eastAsia="zh-CN"/>
              </w:rPr>
              <w:t xml:space="preserve"> </w:t>
            </w:r>
            <w:r>
              <w:rPr>
                <w:rFonts w:hint="eastAsia"/>
                <w:bCs/>
              </w:rPr>
              <w:t>Error Vector Magnitude (EVM) for Category NB1 and NB2</w:t>
            </w:r>
          </w:p>
        </w:tc>
        <w:tc>
          <w:tcPr>
            <w:tcW w:w="3206" w:type="dxa"/>
          </w:tcPr>
          <w:p>
            <w:pPr>
              <w:pStyle w:val="103"/>
              <w:rPr>
                <w:bCs/>
              </w:rPr>
            </w:pPr>
            <w:r>
              <w:rPr>
                <w:rFonts w:hint="eastAsia"/>
                <w:bCs/>
              </w:rPr>
              <w:t>Same as clause 6.5.2.1F.1 in TS 36.521-1 [14]</w:t>
            </w:r>
          </w:p>
        </w:tc>
        <w:tc>
          <w:tcPr>
            <w:tcW w:w="2349" w:type="dxa"/>
          </w:tcPr>
          <w:p>
            <w:pPr>
              <w:pStyle w:val="103"/>
              <w:rPr>
                <w:bCs/>
              </w:rPr>
            </w:pPr>
            <w:r>
              <w:rPr>
                <w:rFonts w:hint="eastAsia"/>
                <w:bCs/>
              </w:rPr>
              <w:t>Same as clause 6.5.2.1F.1 in TS 36.521-1 [14]</w:t>
            </w:r>
          </w:p>
        </w:tc>
        <w:tc>
          <w:tcPr>
            <w:tcW w:w="2492" w:type="dxa"/>
          </w:tcPr>
          <w:p>
            <w:pPr>
              <w:pStyle w:val="103"/>
              <w:rPr>
                <w:bCs/>
              </w:rPr>
            </w:pPr>
            <w:r>
              <w:rPr>
                <w:rFonts w:hint="eastAsia"/>
                <w:bCs/>
              </w:rPr>
              <w:t>Same as clause 6.5.2.1F.1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6.4B.2.2</w:t>
            </w:r>
            <w:r>
              <w:rPr>
                <w:rFonts w:hint="eastAsia"/>
                <w:bCs/>
                <w:lang w:val="en-US" w:eastAsia="zh-CN"/>
              </w:rPr>
              <w:t xml:space="preserve"> </w:t>
            </w:r>
            <w:r>
              <w:rPr>
                <w:rFonts w:hint="eastAsia"/>
                <w:bCs/>
              </w:rPr>
              <w:t>Carrier leakage for Category NB1 and NB2</w:t>
            </w:r>
          </w:p>
        </w:tc>
        <w:tc>
          <w:tcPr>
            <w:tcW w:w="3206" w:type="dxa"/>
          </w:tcPr>
          <w:p>
            <w:pPr>
              <w:pStyle w:val="103"/>
              <w:rPr>
                <w:bCs/>
              </w:rPr>
            </w:pPr>
            <w:r>
              <w:rPr>
                <w:rFonts w:hint="eastAsia"/>
                <w:bCs/>
              </w:rPr>
              <w:t>Same as clause 6.5.2.2F in TS 36.521-1 [14]</w:t>
            </w:r>
          </w:p>
        </w:tc>
        <w:tc>
          <w:tcPr>
            <w:tcW w:w="2349" w:type="dxa"/>
          </w:tcPr>
          <w:p>
            <w:pPr>
              <w:pStyle w:val="103"/>
              <w:rPr>
                <w:bCs/>
              </w:rPr>
            </w:pPr>
            <w:r>
              <w:rPr>
                <w:rFonts w:hint="eastAsia"/>
                <w:bCs/>
              </w:rPr>
              <w:t>Same as clause 6.5.2.2F in TS 36.521-1 [14]</w:t>
            </w:r>
          </w:p>
        </w:tc>
        <w:tc>
          <w:tcPr>
            <w:tcW w:w="2492" w:type="dxa"/>
          </w:tcPr>
          <w:p>
            <w:pPr>
              <w:pStyle w:val="103"/>
              <w:rPr>
                <w:bCs/>
              </w:rPr>
            </w:pPr>
            <w:r>
              <w:rPr>
                <w:rFonts w:hint="eastAsia"/>
                <w:bCs/>
              </w:rPr>
              <w:t>Same as clause 6.5.2.2F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6.4B.2.3</w:t>
            </w:r>
            <w:r>
              <w:rPr>
                <w:rFonts w:hint="eastAsia"/>
                <w:bCs/>
                <w:lang w:val="en-US" w:eastAsia="zh-CN"/>
              </w:rPr>
              <w:t xml:space="preserve"> </w:t>
            </w:r>
            <w:r>
              <w:rPr>
                <w:rFonts w:hint="eastAsia"/>
                <w:bCs/>
              </w:rPr>
              <w:t>In-band emissions for Category NB1 and NB2</w:t>
            </w:r>
          </w:p>
        </w:tc>
        <w:tc>
          <w:tcPr>
            <w:tcW w:w="3206" w:type="dxa"/>
          </w:tcPr>
          <w:p>
            <w:pPr>
              <w:pStyle w:val="103"/>
              <w:rPr>
                <w:bCs/>
              </w:rPr>
            </w:pPr>
            <w:r>
              <w:rPr>
                <w:rFonts w:hint="eastAsia"/>
                <w:bCs/>
              </w:rPr>
              <w:t>Same as clause 6.5.2.3F in TS 36.521-1 [14]</w:t>
            </w:r>
          </w:p>
        </w:tc>
        <w:tc>
          <w:tcPr>
            <w:tcW w:w="2349" w:type="dxa"/>
          </w:tcPr>
          <w:p>
            <w:pPr>
              <w:pStyle w:val="103"/>
              <w:rPr>
                <w:bCs/>
              </w:rPr>
            </w:pPr>
            <w:r>
              <w:rPr>
                <w:rFonts w:hint="eastAsia"/>
                <w:bCs/>
              </w:rPr>
              <w:t>Same as clause 6.5.2.3F in TS 36.521-1 [14]</w:t>
            </w:r>
          </w:p>
        </w:tc>
        <w:tc>
          <w:tcPr>
            <w:tcW w:w="2492" w:type="dxa"/>
          </w:tcPr>
          <w:p>
            <w:pPr>
              <w:pStyle w:val="103"/>
              <w:rPr>
                <w:bCs/>
              </w:rPr>
            </w:pPr>
            <w:r>
              <w:rPr>
                <w:rFonts w:hint="eastAsia"/>
                <w:bCs/>
              </w:rPr>
              <w:t>Same as clause 6.5.2.3F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6.5A.2</w:t>
            </w:r>
            <w:r>
              <w:rPr>
                <w:rFonts w:hint="eastAsia"/>
                <w:bCs/>
                <w:lang w:val="en-US" w:eastAsia="zh-CN"/>
              </w:rPr>
              <w:t xml:space="preserve"> </w:t>
            </w:r>
            <w:r>
              <w:rPr>
                <w:rFonts w:hint="eastAsia"/>
                <w:bCs/>
              </w:rPr>
              <w:t>Occupied bandwidth for category M1</w:t>
            </w:r>
          </w:p>
        </w:tc>
        <w:tc>
          <w:tcPr>
            <w:tcW w:w="3206" w:type="dxa"/>
          </w:tcPr>
          <w:p>
            <w:pPr>
              <w:pStyle w:val="103"/>
              <w:rPr>
                <w:bCs/>
              </w:rPr>
            </w:pPr>
            <w:r>
              <w:rPr>
                <w:rFonts w:hint="eastAsia"/>
                <w:bCs/>
              </w:rPr>
              <w:t>Same as clause 6.6.1EA in TS 36.521-1 [14] for FDD band with “</w:t>
            </w:r>
            <w:r>
              <w:rPr>
                <w:bCs/>
              </w:rPr>
              <w:t>channel bandwidth</w:t>
            </w:r>
            <w:r>
              <w:rPr>
                <w:rFonts w:hint="eastAsia"/>
                <w:bCs/>
              </w:rPr>
              <w:t xml:space="preserve"> = 1.4MHz”.</w:t>
            </w:r>
          </w:p>
        </w:tc>
        <w:tc>
          <w:tcPr>
            <w:tcW w:w="2349" w:type="dxa"/>
          </w:tcPr>
          <w:p>
            <w:pPr>
              <w:pStyle w:val="103"/>
              <w:rPr>
                <w:bCs/>
              </w:rPr>
            </w:pPr>
            <w:r>
              <w:rPr>
                <w:rFonts w:hint="eastAsia"/>
                <w:bCs/>
              </w:rPr>
              <w:t>Same as clause 6.6.1EA in TS 36.521-1 [14]</w:t>
            </w:r>
          </w:p>
        </w:tc>
        <w:tc>
          <w:tcPr>
            <w:tcW w:w="2492" w:type="dxa"/>
          </w:tcPr>
          <w:p>
            <w:pPr>
              <w:pStyle w:val="103"/>
              <w:rPr>
                <w:bCs/>
              </w:rPr>
            </w:pPr>
            <w:r>
              <w:rPr>
                <w:rFonts w:hint="eastAsia"/>
                <w:bCs/>
              </w:rPr>
              <w:t>Same as clause 6.6.1EA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6.5A.3.2</w:t>
            </w:r>
            <w:r>
              <w:rPr>
                <w:rFonts w:hint="eastAsia"/>
                <w:bCs/>
                <w:lang w:val="en-US" w:eastAsia="zh-CN"/>
              </w:rPr>
              <w:t xml:space="preserve"> </w:t>
            </w:r>
            <w:r>
              <w:rPr>
                <w:rFonts w:hint="eastAsia"/>
                <w:bCs/>
              </w:rPr>
              <w:t>Spectrum emission mask</w:t>
            </w:r>
            <w:r>
              <w:rPr>
                <w:bCs/>
              </w:rPr>
              <w:t xml:space="preserve"> for category M1</w:t>
            </w:r>
          </w:p>
        </w:tc>
        <w:tc>
          <w:tcPr>
            <w:tcW w:w="3206" w:type="dxa"/>
          </w:tcPr>
          <w:p>
            <w:pPr>
              <w:pStyle w:val="103"/>
              <w:rPr>
                <w:bCs/>
              </w:rPr>
            </w:pPr>
            <w:r>
              <w:rPr>
                <w:rFonts w:hint="eastAsia"/>
                <w:bCs/>
              </w:rPr>
              <w:t>Same as clause 6.6.2.1EA in TS 36.521-1 [14] for FDD band with “</w:t>
            </w:r>
            <w:r>
              <w:rPr>
                <w:bCs/>
                <w:highlight w:val="none"/>
              </w:rPr>
              <w:t>channel bandwidth</w:t>
            </w:r>
            <w:r>
              <w:rPr>
                <w:rFonts w:hint="eastAsia"/>
                <w:bCs/>
              </w:rPr>
              <w:t xml:space="preserve"> = 1.4MHz”.</w:t>
            </w:r>
          </w:p>
        </w:tc>
        <w:tc>
          <w:tcPr>
            <w:tcW w:w="2349" w:type="dxa"/>
          </w:tcPr>
          <w:p>
            <w:pPr>
              <w:pStyle w:val="103"/>
              <w:rPr>
                <w:bCs/>
              </w:rPr>
            </w:pPr>
            <w:r>
              <w:rPr>
                <w:rFonts w:hint="eastAsia"/>
                <w:bCs/>
              </w:rPr>
              <w:t>Same as clause 6.6.2.1EA in TS 36.521-1 [14] for FDD band with “f ≤ 3.0GHz”.</w:t>
            </w:r>
          </w:p>
        </w:tc>
        <w:tc>
          <w:tcPr>
            <w:tcW w:w="2492" w:type="dxa"/>
          </w:tcPr>
          <w:p>
            <w:pPr>
              <w:pStyle w:val="103"/>
              <w:rPr>
                <w:bCs/>
              </w:rPr>
            </w:pPr>
            <w:r>
              <w:rPr>
                <w:rFonts w:hint="eastAsia"/>
                <w:bCs/>
              </w:rPr>
              <w:t>Same as clause 6.6.2.1EA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6.5A.3.4</w:t>
            </w:r>
            <w:r>
              <w:rPr>
                <w:rFonts w:hint="eastAsia"/>
                <w:bCs/>
                <w:lang w:val="en-US" w:eastAsia="zh-CN"/>
              </w:rPr>
              <w:t xml:space="preserve"> </w:t>
            </w:r>
            <w:r>
              <w:rPr>
                <w:rFonts w:hint="eastAsia"/>
                <w:bCs/>
              </w:rPr>
              <w:t>Adjacent Channel Leakage Ratio for category M1</w:t>
            </w:r>
          </w:p>
        </w:tc>
        <w:tc>
          <w:tcPr>
            <w:tcW w:w="3206" w:type="dxa"/>
          </w:tcPr>
          <w:p>
            <w:pPr>
              <w:pStyle w:val="103"/>
              <w:rPr>
                <w:bCs/>
              </w:rPr>
            </w:pPr>
            <w:r>
              <w:rPr>
                <w:rFonts w:hint="eastAsia"/>
                <w:bCs/>
              </w:rPr>
              <w:t>Same as clause 6.6.2.3EA in TS 36.521-1 [14]</w:t>
            </w:r>
          </w:p>
        </w:tc>
        <w:tc>
          <w:tcPr>
            <w:tcW w:w="2349" w:type="dxa"/>
          </w:tcPr>
          <w:p>
            <w:pPr>
              <w:pStyle w:val="103"/>
              <w:rPr>
                <w:bCs/>
              </w:rPr>
            </w:pPr>
            <w:r>
              <w:rPr>
                <w:rFonts w:hint="eastAsia"/>
                <w:bCs/>
              </w:rPr>
              <w:t>Same as clause 6.6.2.3EA in TS 36.521-1 [14]</w:t>
            </w:r>
          </w:p>
        </w:tc>
        <w:tc>
          <w:tcPr>
            <w:tcW w:w="2492" w:type="dxa"/>
          </w:tcPr>
          <w:p>
            <w:pPr>
              <w:pStyle w:val="103"/>
              <w:rPr>
                <w:bCs/>
              </w:rPr>
            </w:pPr>
            <w:r>
              <w:rPr>
                <w:rFonts w:hint="eastAsia"/>
                <w:bCs/>
              </w:rPr>
              <w:t>Same as clause 6.6.2.3EA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6.5A.4.2</w:t>
            </w:r>
            <w:r>
              <w:rPr>
                <w:rFonts w:hint="eastAsia"/>
                <w:bCs/>
                <w:lang w:val="en-US" w:eastAsia="zh-CN"/>
              </w:rPr>
              <w:t xml:space="preserve"> </w:t>
            </w:r>
            <w:r>
              <w:rPr>
                <w:rFonts w:hint="eastAsia"/>
                <w:bCs/>
              </w:rPr>
              <w:t>Transmitter Spurious emissions for category M1</w:t>
            </w:r>
          </w:p>
        </w:tc>
        <w:tc>
          <w:tcPr>
            <w:tcW w:w="3206" w:type="dxa"/>
          </w:tcPr>
          <w:p>
            <w:pPr>
              <w:pStyle w:val="103"/>
              <w:rPr>
                <w:bCs/>
              </w:rPr>
            </w:pPr>
            <w:r>
              <w:rPr>
                <w:rFonts w:hint="eastAsia"/>
                <w:bCs/>
              </w:rPr>
              <w:t>Same as clause 6.6.3EA.1 in TS 36.521-1 [14] for FDD band for spurious frequencies up to 12.75 GHz.</w:t>
            </w:r>
          </w:p>
        </w:tc>
        <w:tc>
          <w:tcPr>
            <w:tcW w:w="2349" w:type="dxa"/>
          </w:tcPr>
          <w:p>
            <w:pPr>
              <w:pStyle w:val="103"/>
              <w:rPr>
                <w:bCs/>
              </w:rPr>
            </w:pPr>
            <w:r>
              <w:rPr>
                <w:rFonts w:hint="eastAsia"/>
                <w:bCs/>
              </w:rPr>
              <w:t>Same as clause 6.6.3EA.1 in TS 36.521-1 [14]</w:t>
            </w:r>
          </w:p>
        </w:tc>
        <w:tc>
          <w:tcPr>
            <w:tcW w:w="2492" w:type="dxa"/>
          </w:tcPr>
          <w:p>
            <w:pPr>
              <w:pStyle w:val="103"/>
              <w:rPr>
                <w:bCs/>
              </w:rPr>
            </w:pPr>
            <w:r>
              <w:rPr>
                <w:rFonts w:hint="eastAsia"/>
                <w:bCs/>
              </w:rPr>
              <w:t>Same as clause 6.6.3EA.1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6.5A.4.3</w:t>
            </w:r>
            <w:r>
              <w:rPr>
                <w:rFonts w:hint="eastAsia"/>
                <w:bCs/>
                <w:lang w:val="en-US" w:eastAsia="zh-CN"/>
              </w:rPr>
              <w:t xml:space="preserve"> </w:t>
            </w:r>
            <w:r>
              <w:rPr>
                <w:rFonts w:hint="eastAsia"/>
                <w:bCs/>
              </w:rPr>
              <w:t>Spurious emission band UE co-existence for category M1</w:t>
            </w:r>
          </w:p>
        </w:tc>
        <w:tc>
          <w:tcPr>
            <w:tcW w:w="3206" w:type="dxa"/>
          </w:tcPr>
          <w:p>
            <w:pPr>
              <w:pStyle w:val="103"/>
              <w:rPr>
                <w:rFonts w:eastAsiaTheme="minorEastAsia"/>
                <w:bCs/>
                <w:lang w:val="en-US" w:eastAsia="zh-CN"/>
              </w:rPr>
            </w:pPr>
            <w:r>
              <w:rPr>
                <w:rFonts w:hint="eastAsia"/>
                <w:bCs/>
              </w:rPr>
              <w:t>Same as clause 6.6.3EA.2 in TS 36.521-1 [14]</w:t>
            </w:r>
          </w:p>
        </w:tc>
        <w:tc>
          <w:tcPr>
            <w:tcW w:w="2349" w:type="dxa"/>
          </w:tcPr>
          <w:p>
            <w:pPr>
              <w:pStyle w:val="103"/>
              <w:rPr>
                <w:bCs/>
              </w:rPr>
            </w:pPr>
            <w:r>
              <w:rPr>
                <w:rFonts w:hint="eastAsia"/>
                <w:bCs/>
              </w:rPr>
              <w:t>Same as clause 6.6.3EA.2 in TS 36.521-1 [14]</w:t>
            </w:r>
          </w:p>
        </w:tc>
        <w:tc>
          <w:tcPr>
            <w:tcW w:w="2492" w:type="dxa"/>
          </w:tcPr>
          <w:p>
            <w:pPr>
              <w:pStyle w:val="103"/>
              <w:rPr>
                <w:bCs/>
              </w:rPr>
            </w:pPr>
            <w:r>
              <w:rPr>
                <w:rFonts w:hint="eastAsia"/>
                <w:bCs/>
              </w:rPr>
              <w:t>Same as clause 6.6.3EA.2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6.5A.4.4</w:t>
            </w:r>
            <w:r>
              <w:rPr>
                <w:rFonts w:hint="eastAsia"/>
                <w:bCs/>
                <w:lang w:val="en-US" w:eastAsia="zh-CN"/>
              </w:rPr>
              <w:t xml:space="preserve"> </w:t>
            </w:r>
            <w:r>
              <w:rPr>
                <w:rFonts w:hint="eastAsia"/>
                <w:bCs/>
              </w:rPr>
              <w:t>Additional spurious emissions for category M1</w:t>
            </w:r>
          </w:p>
        </w:tc>
        <w:tc>
          <w:tcPr>
            <w:tcW w:w="3206" w:type="dxa"/>
          </w:tcPr>
          <w:p>
            <w:pPr>
              <w:pStyle w:val="103"/>
              <w:rPr>
                <w:lang w:eastAsia="ja-JP"/>
              </w:rPr>
            </w:pPr>
            <w:r>
              <w:t>-26 dBm / 700kHz</w:t>
            </w:r>
          </w:p>
          <w:p>
            <w:pPr>
              <w:pStyle w:val="103"/>
              <w:rPr>
                <w:lang w:eastAsia="ja-JP"/>
              </w:rPr>
            </w:pPr>
            <w:r>
              <w:t>-50 dBm / 700kHz</w:t>
            </w:r>
          </w:p>
          <w:p>
            <w:pPr>
              <w:pStyle w:val="103"/>
              <w:rPr>
                <w:lang w:eastAsia="ja-JP"/>
              </w:rPr>
            </w:pPr>
          </w:p>
          <w:p>
            <w:pPr>
              <w:pStyle w:val="103"/>
              <w:rPr>
                <w:lang w:eastAsia="ja-JP"/>
              </w:rPr>
            </w:pPr>
            <w:r>
              <w:t>-2 dBm / 4kHz</w:t>
            </w:r>
          </w:p>
          <w:p>
            <w:pPr>
              <w:pStyle w:val="103"/>
            </w:pPr>
            <w:r>
              <w:t>-5 dBm / 4kHz</w:t>
            </w:r>
          </w:p>
          <w:p>
            <w:pPr>
              <w:pStyle w:val="103"/>
              <w:rPr>
                <w:lang w:eastAsia="ja-JP"/>
              </w:rPr>
            </w:pPr>
            <w:r>
              <w:t>-12 dBm / 4kHz</w:t>
            </w:r>
          </w:p>
          <w:p>
            <w:pPr>
              <w:pStyle w:val="103"/>
              <w:rPr>
                <w:lang w:eastAsia="ja-JP"/>
              </w:rPr>
            </w:pPr>
            <w:r>
              <w:t>-13 dBm / 4kHz</w:t>
            </w:r>
          </w:p>
          <w:p>
            <w:pPr>
              <w:pStyle w:val="103"/>
              <w:rPr>
                <w:lang w:eastAsia="ja-JP"/>
              </w:rPr>
            </w:pPr>
            <w:r>
              <w:t>-15 dBm / 4kHz</w:t>
            </w:r>
          </w:p>
          <w:p>
            <w:pPr>
              <w:pStyle w:val="103"/>
              <w:rPr>
                <w:lang w:eastAsia="ja-JP"/>
              </w:rPr>
            </w:pPr>
          </w:p>
          <w:p>
            <w:pPr>
              <w:pStyle w:val="103"/>
              <w:rPr>
                <w:lang w:eastAsia="ja-JP"/>
              </w:rPr>
            </w:pPr>
            <w:r>
              <w:t>-16 dBm / 1MHz</w:t>
            </w:r>
          </w:p>
          <w:p>
            <w:pPr>
              <w:pStyle w:val="103"/>
              <w:rPr>
                <w:lang w:eastAsia="ja-JP"/>
              </w:rPr>
            </w:pPr>
            <w:r>
              <w:t>-</w:t>
            </w:r>
            <w:r>
              <w:rPr>
                <w:lang w:eastAsia="ja-JP"/>
              </w:rPr>
              <w:t>4</w:t>
            </w:r>
            <w:r>
              <w:t>0 dBm / 1MHz</w:t>
            </w:r>
          </w:p>
          <w:p>
            <w:pPr>
              <w:pStyle w:val="103"/>
            </w:pPr>
          </w:p>
          <w:p>
            <w:pPr>
              <w:pStyle w:val="103"/>
              <w:rPr>
                <w:bCs/>
              </w:rPr>
            </w:pPr>
            <w:r>
              <w:t>Frequencies as detailed in core requirement</w:t>
            </w:r>
          </w:p>
        </w:tc>
        <w:tc>
          <w:tcPr>
            <w:tcW w:w="2349" w:type="dxa"/>
          </w:tcPr>
          <w:p>
            <w:pPr>
              <w:pStyle w:val="103"/>
              <w:rPr>
                <w:bCs/>
              </w:rPr>
            </w:pPr>
            <w:r>
              <w:rPr>
                <w:lang w:eastAsia="ja-JP"/>
              </w:rPr>
              <w:t>0 dB</w:t>
            </w:r>
          </w:p>
        </w:tc>
        <w:tc>
          <w:tcPr>
            <w:tcW w:w="2492" w:type="dxa"/>
          </w:tcPr>
          <w:p>
            <w:pPr>
              <w:pStyle w:val="103"/>
            </w:pPr>
            <w:r>
              <w:t>Formula:</w:t>
            </w:r>
          </w:p>
          <w:p>
            <w:pPr>
              <w:pStyle w:val="103"/>
              <w:rPr>
                <w:bCs/>
              </w:rPr>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6.5B.2</w:t>
            </w:r>
            <w:r>
              <w:rPr>
                <w:rFonts w:hint="eastAsia"/>
                <w:bCs/>
                <w:lang w:val="en-US" w:eastAsia="zh-CN"/>
              </w:rPr>
              <w:t xml:space="preserve"> </w:t>
            </w:r>
            <w:r>
              <w:rPr>
                <w:rFonts w:hint="eastAsia"/>
                <w:bCs/>
              </w:rPr>
              <w:t>Occupied bandwidth for category NB1 and NB2</w:t>
            </w:r>
          </w:p>
        </w:tc>
        <w:tc>
          <w:tcPr>
            <w:tcW w:w="3206" w:type="dxa"/>
          </w:tcPr>
          <w:p>
            <w:pPr>
              <w:pStyle w:val="103"/>
              <w:rPr>
                <w:bCs/>
              </w:rPr>
            </w:pPr>
            <w:r>
              <w:rPr>
                <w:rFonts w:hint="eastAsia"/>
                <w:bCs/>
              </w:rPr>
              <w:t>Same as clause 6.6.1F in TS 36.521-1 [14]</w:t>
            </w:r>
          </w:p>
        </w:tc>
        <w:tc>
          <w:tcPr>
            <w:tcW w:w="2349" w:type="dxa"/>
          </w:tcPr>
          <w:p>
            <w:pPr>
              <w:pStyle w:val="103"/>
              <w:rPr>
                <w:bCs/>
              </w:rPr>
            </w:pPr>
            <w:r>
              <w:rPr>
                <w:rFonts w:hint="eastAsia"/>
                <w:bCs/>
              </w:rPr>
              <w:t>Same as clause 6.6.1F in TS 36.521-1 [14]</w:t>
            </w:r>
          </w:p>
        </w:tc>
        <w:tc>
          <w:tcPr>
            <w:tcW w:w="2492" w:type="dxa"/>
          </w:tcPr>
          <w:p>
            <w:pPr>
              <w:pStyle w:val="103"/>
              <w:rPr>
                <w:bCs/>
              </w:rPr>
            </w:pPr>
            <w:r>
              <w:rPr>
                <w:rFonts w:hint="eastAsia"/>
                <w:bCs/>
              </w:rPr>
              <w:t>Same as clause 6.6.1F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6.5B.3.2</w:t>
            </w:r>
            <w:r>
              <w:rPr>
                <w:rFonts w:hint="eastAsia"/>
                <w:bCs/>
                <w:lang w:val="en-US" w:eastAsia="zh-CN"/>
              </w:rPr>
              <w:t xml:space="preserve"> </w:t>
            </w:r>
            <w:r>
              <w:rPr>
                <w:rFonts w:hint="eastAsia"/>
                <w:bCs/>
              </w:rPr>
              <w:t xml:space="preserve">Spectrum emission mask for category </w:t>
            </w:r>
            <w:r>
              <w:rPr>
                <w:bCs/>
              </w:rPr>
              <w:t>NB1 and NB2</w:t>
            </w:r>
          </w:p>
        </w:tc>
        <w:tc>
          <w:tcPr>
            <w:tcW w:w="3206" w:type="dxa"/>
          </w:tcPr>
          <w:p>
            <w:pPr>
              <w:pStyle w:val="103"/>
              <w:rPr>
                <w:bCs/>
              </w:rPr>
            </w:pPr>
            <w:r>
              <w:rPr>
                <w:rFonts w:hint="eastAsia"/>
                <w:bCs/>
              </w:rPr>
              <w:t>Same as clause 6.6.2.1F in TS 36.521-1 [14]</w:t>
            </w:r>
          </w:p>
        </w:tc>
        <w:tc>
          <w:tcPr>
            <w:tcW w:w="2349" w:type="dxa"/>
          </w:tcPr>
          <w:p>
            <w:pPr>
              <w:pStyle w:val="103"/>
              <w:rPr>
                <w:bCs/>
              </w:rPr>
            </w:pPr>
            <w:r>
              <w:rPr>
                <w:rFonts w:hint="eastAsia"/>
                <w:bCs/>
              </w:rPr>
              <w:t>Same as clause 6.6.2.1F in TS 36.521-1 [14] for FDD band with “f ≤ 3.0GHz”.</w:t>
            </w:r>
          </w:p>
        </w:tc>
        <w:tc>
          <w:tcPr>
            <w:tcW w:w="2492" w:type="dxa"/>
          </w:tcPr>
          <w:p>
            <w:pPr>
              <w:pStyle w:val="103"/>
              <w:rPr>
                <w:bCs/>
              </w:rPr>
            </w:pPr>
            <w:r>
              <w:rPr>
                <w:rFonts w:hint="eastAsia"/>
                <w:bCs/>
              </w:rPr>
              <w:t>Same as clause 6.6.2.1F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6.5B.3.4</w:t>
            </w:r>
            <w:r>
              <w:rPr>
                <w:rFonts w:hint="eastAsia"/>
                <w:bCs/>
                <w:lang w:val="en-US" w:eastAsia="zh-CN"/>
              </w:rPr>
              <w:t xml:space="preserve"> </w:t>
            </w:r>
            <w:r>
              <w:rPr>
                <w:rFonts w:hint="eastAsia"/>
                <w:bCs/>
              </w:rPr>
              <w:t>Adjacent Channel Leakage Ratio for category NB1 and NB2</w:t>
            </w:r>
          </w:p>
        </w:tc>
        <w:tc>
          <w:tcPr>
            <w:tcW w:w="3206" w:type="dxa"/>
          </w:tcPr>
          <w:p>
            <w:pPr>
              <w:pStyle w:val="103"/>
              <w:rPr>
                <w:bCs/>
              </w:rPr>
            </w:pPr>
            <w:r>
              <w:rPr>
                <w:rFonts w:hint="eastAsia"/>
                <w:bCs/>
              </w:rPr>
              <w:t>Same as clause 6.6.2.3F in TS 36.521-1 [14]</w:t>
            </w:r>
          </w:p>
        </w:tc>
        <w:tc>
          <w:tcPr>
            <w:tcW w:w="2349" w:type="dxa"/>
          </w:tcPr>
          <w:p>
            <w:pPr>
              <w:pStyle w:val="103"/>
              <w:rPr>
                <w:bCs/>
              </w:rPr>
            </w:pPr>
            <w:r>
              <w:rPr>
                <w:rFonts w:hint="eastAsia"/>
                <w:bCs/>
              </w:rPr>
              <w:t>Same as clause 6.6.2.3F in TS 36.521-1 [14]</w:t>
            </w:r>
          </w:p>
        </w:tc>
        <w:tc>
          <w:tcPr>
            <w:tcW w:w="2492" w:type="dxa"/>
          </w:tcPr>
          <w:p>
            <w:pPr>
              <w:pStyle w:val="103"/>
              <w:rPr>
                <w:bCs/>
              </w:rPr>
            </w:pPr>
            <w:r>
              <w:rPr>
                <w:rFonts w:hint="eastAsia"/>
                <w:bCs/>
              </w:rPr>
              <w:t>Same as clause 6.6.2.3F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6.5B.4.2</w:t>
            </w:r>
            <w:r>
              <w:rPr>
                <w:rFonts w:hint="eastAsia"/>
                <w:bCs/>
                <w:lang w:val="en-US" w:eastAsia="zh-CN"/>
              </w:rPr>
              <w:t xml:space="preserve"> </w:t>
            </w:r>
            <w:r>
              <w:rPr>
                <w:rFonts w:hint="eastAsia"/>
                <w:bCs/>
              </w:rPr>
              <w:t>Transmitter Spurious emissions for category NB1 and NB2</w:t>
            </w:r>
          </w:p>
        </w:tc>
        <w:tc>
          <w:tcPr>
            <w:tcW w:w="3206" w:type="dxa"/>
          </w:tcPr>
          <w:p>
            <w:pPr>
              <w:pStyle w:val="103"/>
              <w:rPr>
                <w:bCs/>
              </w:rPr>
            </w:pPr>
            <w:r>
              <w:rPr>
                <w:rFonts w:cs="v4.2.0"/>
                <w:lang w:eastAsia="ja-JP"/>
              </w:rPr>
              <w:t>Same as clause 6.6.3F</w:t>
            </w:r>
            <w:r>
              <w:rPr>
                <w:rFonts w:hint="eastAsia" w:cs="v4.2.0"/>
                <w:lang w:val="en-US" w:eastAsia="zh-CN"/>
              </w:rPr>
              <w:t>.1</w:t>
            </w:r>
            <w:r>
              <w:rPr>
                <w:rFonts w:cs="v4.2.0"/>
                <w:lang w:eastAsia="ja-JP"/>
              </w:rPr>
              <w:t xml:space="preserve"> in TS 36.521-1[14]</w:t>
            </w:r>
            <w:r>
              <w:rPr>
                <w:rFonts w:hint="eastAsia" w:eastAsia="宋体" w:cs="v4.2.0"/>
                <w:lang w:val="en-US" w:eastAsia="zh-CN"/>
              </w:rPr>
              <w:t xml:space="preserve"> for </w:t>
            </w:r>
            <w:r>
              <w:rPr>
                <w:rFonts w:cs="v4.2.0"/>
                <w:lang w:eastAsia="ja-JP"/>
              </w:rPr>
              <w:t xml:space="preserve">f </w:t>
            </w:r>
            <w:r>
              <w:rPr>
                <w:rFonts w:cs="Arial"/>
              </w:rPr>
              <w:t>&lt; 5</w:t>
            </w:r>
            <w:r>
              <w:rPr>
                <w:rFonts w:cs="Arial"/>
                <w:vertAlign w:val="superscript"/>
              </w:rPr>
              <w:t>th</w:t>
            </w:r>
            <w:r>
              <w:rPr>
                <w:rFonts w:cs="Arial"/>
              </w:rPr>
              <w:t xml:space="preserve"> harmonic of the upper frequency edge of the UL operating band in GHz</w:t>
            </w:r>
          </w:p>
        </w:tc>
        <w:tc>
          <w:tcPr>
            <w:tcW w:w="2349" w:type="dxa"/>
          </w:tcPr>
          <w:p>
            <w:pPr>
              <w:pStyle w:val="103"/>
              <w:rPr>
                <w:bCs/>
              </w:rPr>
            </w:pPr>
            <w:r>
              <w:rPr>
                <w:rFonts w:cs="v4.2.0"/>
                <w:lang w:eastAsia="ja-JP"/>
              </w:rPr>
              <w:t>Same as clause 6.6.3F in TS 36.521-1[14]</w:t>
            </w:r>
            <w:r>
              <w:rPr>
                <w:rFonts w:hint="eastAsia" w:eastAsia="宋体" w:cs="v4.2.0"/>
                <w:lang w:val="en-US" w:eastAsia="zh-CN"/>
              </w:rPr>
              <w:t xml:space="preserve"> for </w:t>
            </w:r>
            <w:r>
              <w:rPr>
                <w:rFonts w:cs="v4.2.0"/>
                <w:lang w:eastAsia="ja-JP"/>
              </w:rPr>
              <w:t xml:space="preserve">f </w:t>
            </w:r>
            <w:r>
              <w:rPr>
                <w:rFonts w:cs="Arial"/>
              </w:rPr>
              <w:t>&lt; 5</w:t>
            </w:r>
            <w:r>
              <w:rPr>
                <w:rFonts w:cs="Arial"/>
                <w:vertAlign w:val="superscript"/>
              </w:rPr>
              <w:t>th</w:t>
            </w:r>
            <w:r>
              <w:rPr>
                <w:rFonts w:cs="Arial"/>
              </w:rPr>
              <w:t xml:space="preserve"> harmonic of the upper frequency edge of the UL operating band in GHz</w:t>
            </w:r>
          </w:p>
        </w:tc>
        <w:tc>
          <w:tcPr>
            <w:tcW w:w="2492" w:type="dxa"/>
          </w:tcPr>
          <w:p>
            <w:pPr>
              <w:pStyle w:val="103"/>
              <w:rPr>
                <w:bCs/>
              </w:rPr>
            </w:pPr>
            <w:r>
              <w:rPr>
                <w:rFonts w:cs="v4.2.0"/>
                <w:lang w:eastAsia="ja-JP"/>
              </w:rPr>
              <w:t>Same as clause 6.6.3F in TS 36.521-1[14]</w:t>
            </w:r>
            <w:r>
              <w:rPr>
                <w:rFonts w:hint="eastAsia" w:eastAsia="宋体" w:cs="v4.2.0"/>
                <w:lang w:val="en-US" w:eastAsia="zh-CN"/>
              </w:rPr>
              <w:t xml:space="preserve"> for </w:t>
            </w:r>
            <w:r>
              <w:rPr>
                <w:rFonts w:cs="v4.2.0"/>
                <w:lang w:eastAsia="ja-JP"/>
              </w:rPr>
              <w:t xml:space="preserve">f </w:t>
            </w:r>
            <w:r>
              <w:rPr>
                <w:rFonts w:cs="Arial"/>
              </w:rPr>
              <w:t>&lt; 5</w:t>
            </w:r>
            <w:r>
              <w:rPr>
                <w:rFonts w:cs="Arial"/>
                <w:vertAlign w:val="superscript"/>
              </w:rPr>
              <w:t>th</w:t>
            </w:r>
            <w:r>
              <w:rPr>
                <w:rFonts w:cs="Arial"/>
              </w:rPr>
              <w:t xml:space="preserve"> harmonic of the upper frequency edge of the UL operating band in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6.5B.4.3</w:t>
            </w:r>
            <w:r>
              <w:rPr>
                <w:rFonts w:hint="eastAsia"/>
                <w:bCs/>
                <w:lang w:val="en-US" w:eastAsia="zh-CN"/>
              </w:rPr>
              <w:t xml:space="preserve"> </w:t>
            </w:r>
            <w:r>
              <w:rPr>
                <w:rFonts w:hint="eastAsia"/>
                <w:bCs/>
              </w:rPr>
              <w:t>Spurious emission band UE co-existence for category NB1 and NB2</w:t>
            </w:r>
          </w:p>
        </w:tc>
        <w:tc>
          <w:tcPr>
            <w:tcW w:w="3206" w:type="dxa"/>
          </w:tcPr>
          <w:p>
            <w:pPr>
              <w:pStyle w:val="103"/>
              <w:rPr>
                <w:bCs/>
              </w:rPr>
            </w:pPr>
            <w:r>
              <w:rPr>
                <w:rFonts w:hint="eastAsia"/>
                <w:bCs/>
              </w:rPr>
              <w:t>Same as 6.6.3F.2 in TS 36.521-1 [14]</w:t>
            </w:r>
          </w:p>
        </w:tc>
        <w:tc>
          <w:tcPr>
            <w:tcW w:w="2349" w:type="dxa"/>
          </w:tcPr>
          <w:p>
            <w:pPr>
              <w:pStyle w:val="103"/>
              <w:rPr>
                <w:bCs/>
              </w:rPr>
            </w:pPr>
            <w:r>
              <w:rPr>
                <w:rFonts w:hint="eastAsia"/>
                <w:bCs/>
              </w:rPr>
              <w:t>Same as 6.6.3F.2 in TS 36.521-1 [14]</w:t>
            </w:r>
          </w:p>
        </w:tc>
        <w:tc>
          <w:tcPr>
            <w:tcW w:w="2492" w:type="dxa"/>
          </w:tcPr>
          <w:p>
            <w:pPr>
              <w:pStyle w:val="103"/>
              <w:rPr>
                <w:bCs/>
              </w:rPr>
            </w:pPr>
            <w:r>
              <w:rPr>
                <w:rFonts w:hint="eastAsia"/>
                <w:bCs/>
              </w:rPr>
              <w:t>Same as 6.6.3F.2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6.5B.4.4</w:t>
            </w:r>
            <w:r>
              <w:rPr>
                <w:rFonts w:hint="eastAsia"/>
                <w:bCs/>
                <w:lang w:val="en-US" w:eastAsia="zh-CN"/>
              </w:rPr>
              <w:t xml:space="preserve"> </w:t>
            </w:r>
            <w:r>
              <w:rPr>
                <w:rFonts w:hint="eastAsia"/>
                <w:bCs/>
              </w:rPr>
              <w:t>Additional spurious emissions for category NB1 and NB2</w:t>
            </w:r>
          </w:p>
        </w:tc>
        <w:tc>
          <w:tcPr>
            <w:tcW w:w="3206" w:type="dxa"/>
          </w:tcPr>
          <w:p>
            <w:pPr>
              <w:pStyle w:val="103"/>
              <w:rPr>
                <w:lang w:eastAsia="ja-JP"/>
              </w:rPr>
            </w:pPr>
            <w:r>
              <w:t>-26 dBm / 700kHz</w:t>
            </w:r>
          </w:p>
          <w:p>
            <w:pPr>
              <w:pStyle w:val="103"/>
              <w:rPr>
                <w:lang w:eastAsia="ja-JP"/>
              </w:rPr>
            </w:pPr>
            <w:r>
              <w:t>-50 dBm / 700kHz</w:t>
            </w:r>
          </w:p>
          <w:p>
            <w:pPr>
              <w:pStyle w:val="103"/>
              <w:rPr>
                <w:lang w:eastAsia="ja-JP"/>
              </w:rPr>
            </w:pPr>
          </w:p>
          <w:p>
            <w:pPr>
              <w:pStyle w:val="103"/>
              <w:rPr>
                <w:lang w:eastAsia="ja-JP"/>
              </w:rPr>
            </w:pPr>
            <w:r>
              <w:t>-2 dBm / 4kHz</w:t>
            </w:r>
          </w:p>
          <w:p>
            <w:pPr>
              <w:pStyle w:val="103"/>
            </w:pPr>
            <w:r>
              <w:t>-5 dBm / 4kHz</w:t>
            </w:r>
          </w:p>
          <w:p>
            <w:pPr>
              <w:pStyle w:val="103"/>
              <w:rPr>
                <w:lang w:eastAsia="ja-JP"/>
              </w:rPr>
            </w:pPr>
            <w:r>
              <w:t>-12 dBm / 4kHz</w:t>
            </w:r>
          </w:p>
          <w:p>
            <w:pPr>
              <w:pStyle w:val="103"/>
              <w:rPr>
                <w:lang w:eastAsia="ja-JP"/>
              </w:rPr>
            </w:pPr>
            <w:r>
              <w:t>-13 dBm / 4kHz</w:t>
            </w:r>
          </w:p>
          <w:p>
            <w:pPr>
              <w:pStyle w:val="103"/>
              <w:rPr>
                <w:lang w:eastAsia="ja-JP"/>
              </w:rPr>
            </w:pPr>
            <w:r>
              <w:t>-15 dBm / 4kHz</w:t>
            </w:r>
          </w:p>
          <w:p>
            <w:pPr>
              <w:pStyle w:val="103"/>
              <w:rPr>
                <w:lang w:eastAsia="ja-JP"/>
              </w:rPr>
            </w:pPr>
          </w:p>
          <w:p>
            <w:pPr>
              <w:pStyle w:val="103"/>
              <w:rPr>
                <w:lang w:eastAsia="ja-JP"/>
              </w:rPr>
            </w:pPr>
            <w:r>
              <w:t>-16 dBm / 1MHz</w:t>
            </w:r>
          </w:p>
          <w:p>
            <w:pPr>
              <w:pStyle w:val="103"/>
              <w:rPr>
                <w:lang w:eastAsia="ja-JP"/>
              </w:rPr>
            </w:pPr>
            <w:r>
              <w:t>-</w:t>
            </w:r>
            <w:r>
              <w:rPr>
                <w:lang w:eastAsia="ja-JP"/>
              </w:rPr>
              <w:t>4</w:t>
            </w:r>
            <w:r>
              <w:t>0 dBm / 1MHz</w:t>
            </w:r>
          </w:p>
          <w:p>
            <w:pPr>
              <w:pStyle w:val="103"/>
            </w:pPr>
          </w:p>
          <w:p>
            <w:pPr>
              <w:pStyle w:val="103"/>
              <w:rPr>
                <w:rFonts w:eastAsiaTheme="minorEastAsia"/>
                <w:bCs/>
                <w:lang w:val="en-US" w:eastAsia="zh-CN"/>
              </w:rPr>
            </w:pPr>
            <w:r>
              <w:t>Frequencies as detailed in core requirement</w:t>
            </w:r>
          </w:p>
        </w:tc>
        <w:tc>
          <w:tcPr>
            <w:tcW w:w="2349" w:type="dxa"/>
          </w:tcPr>
          <w:p>
            <w:pPr>
              <w:pStyle w:val="103"/>
              <w:rPr>
                <w:rFonts w:eastAsiaTheme="minorEastAsia"/>
                <w:bCs/>
                <w:lang w:val="en-US" w:eastAsia="zh-CN"/>
              </w:rPr>
            </w:pPr>
            <w:r>
              <w:rPr>
                <w:lang w:eastAsia="ja-JP"/>
              </w:rPr>
              <w:t>0 dB</w:t>
            </w:r>
          </w:p>
        </w:tc>
        <w:tc>
          <w:tcPr>
            <w:tcW w:w="2492" w:type="dxa"/>
          </w:tcPr>
          <w:p>
            <w:pPr>
              <w:pStyle w:val="103"/>
            </w:pPr>
            <w:r>
              <w:t>Formula:</w:t>
            </w:r>
          </w:p>
          <w:p>
            <w:pPr>
              <w:pStyle w:val="103"/>
              <w:rPr>
                <w:rFonts w:eastAsiaTheme="minorEastAsia"/>
                <w:bCs/>
                <w:lang w:val="en-US" w:eastAsia="zh-CN"/>
              </w:rPr>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6.6B</w:t>
            </w:r>
            <w:r>
              <w:rPr>
                <w:rFonts w:hint="eastAsia"/>
                <w:bCs/>
                <w:lang w:val="en-US" w:eastAsia="zh-CN"/>
              </w:rPr>
              <w:t xml:space="preserve"> </w:t>
            </w:r>
            <w:r>
              <w:rPr>
                <w:rFonts w:hint="eastAsia"/>
                <w:bCs/>
              </w:rPr>
              <w:t>Transmit intermodulation for category NB1 and NB2</w:t>
            </w:r>
          </w:p>
        </w:tc>
        <w:tc>
          <w:tcPr>
            <w:tcW w:w="3206" w:type="dxa"/>
          </w:tcPr>
          <w:p>
            <w:pPr>
              <w:pStyle w:val="103"/>
              <w:rPr>
                <w:rFonts w:eastAsiaTheme="minorEastAsia"/>
                <w:bCs/>
                <w:lang w:val="en-US" w:eastAsia="zh-CN"/>
              </w:rPr>
            </w:pPr>
            <w:r>
              <w:rPr>
                <w:rFonts w:cs="v4.2.0"/>
                <w:lang w:eastAsia="ja-JP"/>
              </w:rPr>
              <w:t xml:space="preserve">Same as clause </w:t>
            </w:r>
            <w:r>
              <w:rPr>
                <w:rFonts w:cs="Arial"/>
                <w:szCs w:val="16"/>
                <w:lang w:eastAsia="ko-KR"/>
              </w:rPr>
              <w:t xml:space="preserve">6.7F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p>
        </w:tc>
        <w:tc>
          <w:tcPr>
            <w:tcW w:w="2349" w:type="dxa"/>
          </w:tcPr>
          <w:p>
            <w:pPr>
              <w:pStyle w:val="103"/>
              <w:rPr>
                <w:bCs/>
              </w:rPr>
            </w:pPr>
            <w:r>
              <w:rPr>
                <w:rFonts w:cs="v4.2.0"/>
                <w:lang w:eastAsia="ja-JP"/>
              </w:rPr>
              <w:t xml:space="preserve">Same as clause </w:t>
            </w:r>
            <w:r>
              <w:rPr>
                <w:rFonts w:cs="Arial"/>
                <w:szCs w:val="16"/>
                <w:lang w:eastAsia="ko-KR"/>
              </w:rPr>
              <w:t xml:space="preserve">6.7F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p>
        </w:tc>
        <w:tc>
          <w:tcPr>
            <w:tcW w:w="2492" w:type="dxa"/>
          </w:tcPr>
          <w:p>
            <w:pPr>
              <w:pStyle w:val="103"/>
              <w:rPr>
                <w:bCs/>
              </w:rPr>
            </w:pPr>
            <w:r>
              <w:rPr>
                <w:rFonts w:cs="v4.2.0"/>
                <w:lang w:eastAsia="ja-JP"/>
              </w:rPr>
              <w:t xml:space="preserve">Same as clause </w:t>
            </w:r>
            <w:r>
              <w:rPr>
                <w:rFonts w:cs="Arial"/>
                <w:szCs w:val="16"/>
                <w:lang w:eastAsia="ko-KR"/>
              </w:rPr>
              <w:t xml:space="preserve">6.7F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p>
        </w:tc>
      </w:tr>
    </w:tbl>
    <w:p/>
    <w:p>
      <w:pPr>
        <w:pStyle w:val="4"/>
      </w:pPr>
      <w:bookmarkStart w:id="2390" w:name="_Toc31336"/>
      <w:bookmarkStart w:id="2391" w:name="_Toc19733"/>
      <w:bookmarkStart w:id="2392" w:name="_Toc20189"/>
      <w:bookmarkStart w:id="2393" w:name="_Toc10002"/>
      <w:bookmarkStart w:id="2394" w:name="_Toc13792"/>
      <w:r>
        <w:t>F.3.3</w:t>
      </w:r>
      <w:r>
        <w:tab/>
      </w:r>
      <w:r>
        <w:rPr>
          <w:lang w:eastAsia="sv-SE"/>
        </w:rPr>
        <w:t xml:space="preserve">Measurement of </w:t>
      </w:r>
      <w:r>
        <w:t>receiver</w:t>
      </w:r>
      <w:bookmarkEnd w:id="2389"/>
      <w:bookmarkEnd w:id="2390"/>
      <w:bookmarkEnd w:id="2391"/>
      <w:bookmarkEnd w:id="2392"/>
      <w:bookmarkEnd w:id="2393"/>
      <w:bookmarkEnd w:id="2394"/>
    </w:p>
    <w:p>
      <w:pPr>
        <w:pStyle w:val="113"/>
      </w:pPr>
      <w:r>
        <w:t>Table F.3.3-1: Derivation of Test Requirements (Receiver tests)</w:t>
      </w:r>
    </w:p>
    <w:tbl>
      <w:tblPr>
        <w:tblStyle w:val="89"/>
        <w:tblW w:w="97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3"/>
        <w:gridCol w:w="2864"/>
        <w:gridCol w:w="1226"/>
        <w:gridCol w:w="3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4"/>
              <w:rPr>
                <w:lang w:eastAsia="zh-CN"/>
              </w:rPr>
            </w:pPr>
            <w:r>
              <w:rPr>
                <w:lang w:eastAsia="zh-CN"/>
              </w:rPr>
              <w:t>Test</w:t>
            </w:r>
          </w:p>
        </w:tc>
        <w:tc>
          <w:tcPr>
            <w:tcW w:w="2864" w:type="dxa"/>
          </w:tcPr>
          <w:p>
            <w:pPr>
              <w:pStyle w:val="104"/>
              <w:rPr>
                <w:lang w:eastAsia="zh-CN"/>
              </w:rPr>
            </w:pPr>
            <w:r>
              <w:rPr>
                <w:lang w:eastAsia="zh-CN"/>
              </w:rPr>
              <w:t>Minimum Requirement in TS 36.10</w:t>
            </w:r>
            <w:r>
              <w:rPr>
                <w:rFonts w:hint="eastAsia"/>
                <w:lang w:val="en-US" w:eastAsia="zh-CN"/>
              </w:rPr>
              <w:t>2</w:t>
            </w:r>
          </w:p>
        </w:tc>
        <w:tc>
          <w:tcPr>
            <w:tcW w:w="1226" w:type="dxa"/>
          </w:tcPr>
          <w:p>
            <w:pPr>
              <w:pStyle w:val="104"/>
              <w:rPr>
                <w:lang w:eastAsia="zh-CN"/>
              </w:rPr>
            </w:pPr>
            <w:r>
              <w:rPr>
                <w:lang w:eastAsia="zh-CN"/>
              </w:rPr>
              <w:t>Test Tolerance</w:t>
            </w:r>
            <w:r>
              <w:rPr>
                <w:lang w:eastAsia="zh-CN"/>
              </w:rPr>
              <w:br w:type="textWrapping"/>
            </w:r>
            <w:r>
              <w:rPr>
                <w:lang w:eastAsia="zh-CN"/>
              </w:rPr>
              <w:t>(TT)</w:t>
            </w:r>
          </w:p>
        </w:tc>
        <w:tc>
          <w:tcPr>
            <w:tcW w:w="3250" w:type="dxa"/>
          </w:tcPr>
          <w:p>
            <w:pPr>
              <w:pStyle w:val="104"/>
              <w:rPr>
                <w:lang w:eastAsia="zh-CN"/>
              </w:rPr>
            </w:pPr>
            <w:r>
              <w:rPr>
                <w:lang w:eastAsia="zh-CN"/>
              </w:rPr>
              <w:t>Test Requirement in TS 36.521-1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3"/>
              <w:rPr>
                <w:rFonts w:cs="v4.2.0"/>
                <w:bCs/>
              </w:rPr>
            </w:pPr>
            <w:r>
              <w:rPr>
                <w:rFonts w:hint="eastAsia"/>
                <w:bCs/>
              </w:rPr>
              <w:t>7.3B</w:t>
            </w:r>
            <w:r>
              <w:rPr>
                <w:rFonts w:hint="eastAsia"/>
                <w:bCs/>
                <w:lang w:val="en-US" w:eastAsia="zh-CN"/>
              </w:rPr>
              <w:t xml:space="preserve"> </w:t>
            </w:r>
            <w:r>
              <w:rPr>
                <w:rFonts w:hint="eastAsia"/>
                <w:bCs/>
              </w:rPr>
              <w:t>Reference sensitivity power level for UE category NB1 and NB2</w:t>
            </w:r>
          </w:p>
        </w:tc>
        <w:tc>
          <w:tcPr>
            <w:tcW w:w="2864" w:type="dxa"/>
          </w:tcPr>
          <w:p>
            <w:pPr>
              <w:pStyle w:val="103"/>
              <w:spacing w:after="120"/>
              <w:rPr>
                <w:rFonts w:cs="v4.2.0"/>
                <w:bCs/>
                <w:lang w:eastAsia="ja-JP"/>
              </w:rPr>
            </w:pPr>
            <w:r>
              <w:rPr>
                <w:rFonts w:hint="eastAsia"/>
                <w:bCs/>
              </w:rPr>
              <w:t>Same as clause 7.3F.1 in TS 36.521-1 [14]</w:t>
            </w:r>
          </w:p>
        </w:tc>
        <w:tc>
          <w:tcPr>
            <w:tcW w:w="1226" w:type="dxa"/>
          </w:tcPr>
          <w:p>
            <w:pPr>
              <w:pStyle w:val="103"/>
              <w:rPr>
                <w:rFonts w:cs="v4.2.0"/>
                <w:bCs/>
                <w:lang w:eastAsia="ja-JP"/>
              </w:rPr>
            </w:pPr>
            <w:r>
              <w:rPr>
                <w:rFonts w:hint="eastAsia"/>
                <w:bCs/>
              </w:rPr>
              <w:t>Same as clause 7.3F.1 in TS 36.521-1 [14] for FDD band with “f ≤ 3.0GHz”.</w:t>
            </w:r>
          </w:p>
        </w:tc>
        <w:tc>
          <w:tcPr>
            <w:tcW w:w="3250" w:type="dxa"/>
          </w:tcPr>
          <w:p>
            <w:pPr>
              <w:pStyle w:val="103"/>
              <w:spacing w:after="120"/>
              <w:rPr>
                <w:rFonts w:cs="v4.2.0"/>
                <w:bCs/>
                <w:lang w:eastAsia="ja-JP"/>
              </w:rPr>
            </w:pPr>
            <w:r>
              <w:rPr>
                <w:rFonts w:hint="eastAsia"/>
                <w:bCs/>
              </w:rPr>
              <w:t>Same as clause 7.3F.1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3"/>
              <w:rPr>
                <w:rFonts w:cs="v4.2.0"/>
                <w:bCs/>
              </w:rPr>
            </w:pPr>
            <w:r>
              <w:rPr>
                <w:bCs/>
              </w:rPr>
              <w:t>7.4A Maximum input level for category M1</w:t>
            </w:r>
          </w:p>
        </w:tc>
        <w:tc>
          <w:tcPr>
            <w:tcW w:w="2864" w:type="dxa"/>
          </w:tcPr>
          <w:p>
            <w:pPr>
              <w:pStyle w:val="103"/>
              <w:spacing w:after="120"/>
              <w:rPr>
                <w:rFonts w:cs="v4.2.0"/>
                <w:bCs/>
                <w:lang w:eastAsia="ja-JP"/>
              </w:rPr>
            </w:pPr>
            <w:r>
              <w:rPr>
                <w:rFonts w:hint="eastAsia"/>
                <w:bCs/>
              </w:rPr>
              <w:t>Same as clause</w:t>
            </w:r>
            <w:r>
              <w:rPr>
                <w:rFonts w:hint="eastAsia"/>
                <w:bCs/>
                <w:lang w:val="en-US" w:eastAsia="zh-CN"/>
              </w:rPr>
              <w:t xml:space="preserve"> </w:t>
            </w:r>
            <w:r>
              <w:rPr>
                <w:rFonts w:hint="eastAsia"/>
                <w:bCs/>
              </w:rPr>
              <w:t>7.4EA in TS 36.521-1 [14]</w:t>
            </w:r>
          </w:p>
        </w:tc>
        <w:tc>
          <w:tcPr>
            <w:tcW w:w="1226" w:type="dxa"/>
          </w:tcPr>
          <w:p>
            <w:pPr>
              <w:pStyle w:val="103"/>
              <w:rPr>
                <w:rFonts w:cs="v4.2.0"/>
                <w:bCs/>
                <w:lang w:eastAsia="ja-JP"/>
              </w:rPr>
            </w:pPr>
            <w:r>
              <w:rPr>
                <w:rFonts w:hint="eastAsia"/>
                <w:bCs/>
              </w:rPr>
              <w:t>Same as clause 7.4EA in TS 36.521-1 [14] for FDD band with “f ≤ 3.0GHz”.</w:t>
            </w:r>
          </w:p>
        </w:tc>
        <w:tc>
          <w:tcPr>
            <w:tcW w:w="3250" w:type="dxa"/>
          </w:tcPr>
          <w:p>
            <w:pPr>
              <w:pStyle w:val="103"/>
              <w:spacing w:after="120"/>
              <w:rPr>
                <w:rFonts w:cs="v4.2.0"/>
                <w:bCs/>
                <w:lang w:eastAsia="ja-JP"/>
              </w:rPr>
            </w:pPr>
            <w:r>
              <w:rPr>
                <w:rFonts w:hint="eastAsia"/>
                <w:bCs/>
              </w:rPr>
              <w:t>Same as clause 7.4EA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3"/>
              <w:rPr>
                <w:rFonts w:cs="v4.2.0"/>
                <w:bCs/>
              </w:rPr>
            </w:pPr>
            <w:r>
              <w:rPr>
                <w:bCs/>
              </w:rPr>
              <w:t>7.4B Maximum input level for category NB1 and NB2</w:t>
            </w:r>
          </w:p>
        </w:tc>
        <w:tc>
          <w:tcPr>
            <w:tcW w:w="2864" w:type="dxa"/>
          </w:tcPr>
          <w:p>
            <w:pPr>
              <w:pStyle w:val="103"/>
              <w:spacing w:after="120"/>
              <w:rPr>
                <w:rFonts w:cs="v4.2.0"/>
                <w:bCs/>
                <w:lang w:eastAsia="ja-JP"/>
              </w:rPr>
            </w:pPr>
            <w:r>
              <w:rPr>
                <w:rFonts w:hint="eastAsia"/>
                <w:bCs/>
              </w:rPr>
              <w:t>Same as clause 7.4F in TS 36.521-1 [14]</w:t>
            </w:r>
          </w:p>
        </w:tc>
        <w:tc>
          <w:tcPr>
            <w:tcW w:w="1226" w:type="dxa"/>
          </w:tcPr>
          <w:p>
            <w:pPr>
              <w:pStyle w:val="103"/>
              <w:rPr>
                <w:rFonts w:cs="v4.2.0"/>
                <w:bCs/>
                <w:lang w:eastAsia="ja-JP"/>
              </w:rPr>
            </w:pPr>
            <w:r>
              <w:rPr>
                <w:rFonts w:hint="eastAsia"/>
                <w:bCs/>
              </w:rPr>
              <w:t>Same as clause 7.4F in TS 36.521-1 [14] for FDD band with “f ≤ 3.0GHz”.</w:t>
            </w:r>
          </w:p>
        </w:tc>
        <w:tc>
          <w:tcPr>
            <w:tcW w:w="3250" w:type="dxa"/>
          </w:tcPr>
          <w:p>
            <w:pPr>
              <w:pStyle w:val="103"/>
              <w:spacing w:after="120"/>
              <w:rPr>
                <w:rFonts w:cs="v4.2.0"/>
                <w:bCs/>
                <w:lang w:eastAsia="ja-JP"/>
              </w:rPr>
            </w:pPr>
            <w:r>
              <w:rPr>
                <w:rFonts w:hint="eastAsia"/>
                <w:bCs/>
              </w:rPr>
              <w:t>Same as clause 7.4F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3"/>
              <w:rPr>
                <w:rFonts w:cs="v4.2.0"/>
                <w:bCs/>
              </w:rPr>
            </w:pPr>
            <w:r>
              <w:rPr>
                <w:bCs/>
              </w:rPr>
              <w:t>7.5A Adjacent Channel Selectivity for category M1</w:t>
            </w:r>
          </w:p>
        </w:tc>
        <w:tc>
          <w:tcPr>
            <w:tcW w:w="2864" w:type="dxa"/>
          </w:tcPr>
          <w:p>
            <w:pPr>
              <w:pStyle w:val="103"/>
              <w:spacing w:after="120"/>
              <w:rPr>
                <w:rFonts w:cs="v4.2.0"/>
                <w:bCs/>
                <w:lang w:eastAsia="ja-JP"/>
              </w:rPr>
            </w:pPr>
            <w:r>
              <w:rPr>
                <w:rFonts w:hint="eastAsia"/>
                <w:bCs/>
              </w:rPr>
              <w:t>Same as clause</w:t>
            </w:r>
            <w:r>
              <w:rPr>
                <w:rFonts w:hint="eastAsia"/>
                <w:bCs/>
                <w:lang w:val="en-US" w:eastAsia="zh-CN"/>
              </w:rPr>
              <w:t xml:space="preserve"> </w:t>
            </w:r>
            <w:r>
              <w:rPr>
                <w:rFonts w:hint="eastAsia"/>
                <w:bCs/>
              </w:rPr>
              <w:t>7.</w:t>
            </w:r>
            <w:r>
              <w:rPr>
                <w:rFonts w:hint="eastAsia"/>
                <w:bCs/>
                <w:lang w:val="en-US" w:eastAsia="zh-CN"/>
              </w:rPr>
              <w:t>5</w:t>
            </w:r>
            <w:r>
              <w:rPr>
                <w:rFonts w:hint="eastAsia"/>
                <w:bCs/>
              </w:rPr>
              <w:t>EA in TS 36.521-1 [14] for FDD band with “</w:t>
            </w:r>
            <w:r>
              <w:rPr>
                <w:rFonts w:hint="eastAsia"/>
                <w:bCs/>
                <w:lang w:val="en-US" w:eastAsia="zh-CN"/>
              </w:rPr>
              <w:t xml:space="preserve">Case 1, </w:t>
            </w:r>
            <w:r>
              <w:rPr>
                <w:bCs/>
              </w:rPr>
              <w:t>channel bandwidth</w:t>
            </w:r>
            <w:r>
              <w:rPr>
                <w:rFonts w:hint="eastAsia"/>
                <w:bCs/>
                <w:lang w:val="en-US" w:eastAsia="zh-CN"/>
              </w:rPr>
              <w:t>=1.4MHz</w:t>
            </w:r>
            <w:r>
              <w:rPr>
                <w:rFonts w:hint="eastAsia"/>
                <w:bCs/>
              </w:rPr>
              <w:t>”</w:t>
            </w:r>
            <w:r>
              <w:rPr>
                <w:rFonts w:hint="eastAsia"/>
                <w:bCs/>
                <w:lang w:val="en-US" w:eastAsia="zh-CN"/>
              </w:rPr>
              <w:t xml:space="preserve"> and </w:t>
            </w:r>
            <w:r>
              <w:rPr>
                <w:bCs/>
                <w:lang w:val="en-US" w:eastAsia="zh-CN"/>
              </w:rPr>
              <w:t>“</w:t>
            </w:r>
            <w:r>
              <w:rPr>
                <w:rFonts w:hint="eastAsia"/>
                <w:bCs/>
                <w:lang w:val="en-US" w:eastAsia="zh-CN"/>
              </w:rPr>
              <w:t xml:space="preserve">Case 2, </w:t>
            </w:r>
            <w:r>
              <w:rPr>
                <w:bCs/>
              </w:rPr>
              <w:t>channel bandwidth</w:t>
            </w:r>
            <w:r>
              <w:rPr>
                <w:rFonts w:hint="eastAsia"/>
                <w:bCs/>
                <w:lang w:val="en-US" w:eastAsia="zh-CN"/>
              </w:rPr>
              <w:t>=1.4MHz</w:t>
            </w:r>
            <w:r>
              <w:rPr>
                <w:bCs/>
                <w:lang w:val="en-US" w:eastAsia="zh-CN"/>
              </w:rPr>
              <w:t>”</w:t>
            </w:r>
            <w:r>
              <w:rPr>
                <w:rFonts w:hint="eastAsia"/>
                <w:bCs/>
              </w:rPr>
              <w:t>.</w:t>
            </w:r>
          </w:p>
        </w:tc>
        <w:tc>
          <w:tcPr>
            <w:tcW w:w="1226" w:type="dxa"/>
          </w:tcPr>
          <w:p>
            <w:pPr>
              <w:pStyle w:val="103"/>
              <w:rPr>
                <w:rFonts w:cs="v4.2.0"/>
                <w:bCs/>
                <w:lang w:eastAsia="ja-JP"/>
              </w:rPr>
            </w:pPr>
            <w:r>
              <w:rPr>
                <w:rFonts w:hint="eastAsia"/>
                <w:bCs/>
              </w:rPr>
              <w:t>Same as clause7.</w:t>
            </w:r>
            <w:r>
              <w:rPr>
                <w:rFonts w:hint="eastAsia"/>
                <w:bCs/>
                <w:lang w:val="en-US" w:eastAsia="zh-CN"/>
              </w:rPr>
              <w:t>5</w:t>
            </w:r>
            <w:r>
              <w:rPr>
                <w:rFonts w:hint="eastAsia"/>
                <w:bCs/>
              </w:rPr>
              <w:t>EA in TS 36.521-1 [14] for FDD band with “f ≤ 3.0GHz”.</w:t>
            </w:r>
          </w:p>
        </w:tc>
        <w:tc>
          <w:tcPr>
            <w:tcW w:w="3250" w:type="dxa"/>
          </w:tcPr>
          <w:p>
            <w:pPr>
              <w:pStyle w:val="103"/>
              <w:spacing w:after="120"/>
              <w:rPr>
                <w:rFonts w:cs="v4.2.0"/>
                <w:bCs/>
                <w:lang w:eastAsia="ja-JP"/>
              </w:rPr>
            </w:pPr>
            <w:r>
              <w:rPr>
                <w:rFonts w:hint="eastAsia"/>
                <w:bCs/>
              </w:rPr>
              <w:t>Same as clause7.</w:t>
            </w:r>
            <w:r>
              <w:rPr>
                <w:rFonts w:hint="eastAsia"/>
                <w:bCs/>
                <w:lang w:val="en-US" w:eastAsia="zh-CN"/>
              </w:rPr>
              <w:t>5</w:t>
            </w:r>
            <w:r>
              <w:rPr>
                <w:rFonts w:hint="eastAsia"/>
                <w:bCs/>
              </w:rPr>
              <w:t>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3"/>
              <w:rPr>
                <w:rFonts w:cs="v4.2.0"/>
                <w:bCs/>
              </w:rPr>
            </w:pPr>
            <w:r>
              <w:rPr>
                <w:bCs/>
              </w:rPr>
              <w:t>7.5B Adjacent Channel Selectivity for category NB1 and NB2</w:t>
            </w:r>
          </w:p>
        </w:tc>
        <w:tc>
          <w:tcPr>
            <w:tcW w:w="2864" w:type="dxa"/>
          </w:tcPr>
          <w:p>
            <w:pPr>
              <w:pStyle w:val="103"/>
              <w:spacing w:after="120"/>
              <w:rPr>
                <w:rFonts w:cs="v4.2.0"/>
                <w:bCs/>
                <w:lang w:eastAsia="ja-JP"/>
              </w:rPr>
            </w:pPr>
            <w:r>
              <w:rPr>
                <w:rFonts w:hint="eastAsia"/>
                <w:bCs/>
              </w:rPr>
              <w:t>Same as clause 7.</w:t>
            </w:r>
            <w:r>
              <w:rPr>
                <w:rFonts w:hint="eastAsia"/>
                <w:bCs/>
                <w:lang w:val="en-US" w:eastAsia="zh-CN"/>
              </w:rPr>
              <w:t>5</w:t>
            </w:r>
            <w:r>
              <w:rPr>
                <w:rFonts w:hint="eastAsia"/>
                <w:bCs/>
              </w:rPr>
              <w:t>F in TS 36.521-1 [14]</w:t>
            </w:r>
          </w:p>
        </w:tc>
        <w:tc>
          <w:tcPr>
            <w:tcW w:w="1226" w:type="dxa"/>
          </w:tcPr>
          <w:p>
            <w:pPr>
              <w:pStyle w:val="103"/>
              <w:rPr>
                <w:rFonts w:cs="v4.2.0"/>
                <w:bCs/>
                <w:lang w:eastAsia="ja-JP"/>
              </w:rPr>
            </w:pPr>
            <w:r>
              <w:rPr>
                <w:rFonts w:hint="eastAsia"/>
                <w:bCs/>
              </w:rPr>
              <w:t>Same as clause 7.</w:t>
            </w:r>
            <w:r>
              <w:rPr>
                <w:rFonts w:hint="eastAsia"/>
                <w:bCs/>
                <w:lang w:val="en-US" w:eastAsia="zh-CN"/>
              </w:rPr>
              <w:t>5</w:t>
            </w:r>
            <w:r>
              <w:rPr>
                <w:rFonts w:hint="eastAsia"/>
                <w:bCs/>
              </w:rPr>
              <w:t>F in TS 36.521-1 [14]</w:t>
            </w:r>
          </w:p>
        </w:tc>
        <w:tc>
          <w:tcPr>
            <w:tcW w:w="3250" w:type="dxa"/>
          </w:tcPr>
          <w:p>
            <w:pPr>
              <w:pStyle w:val="103"/>
              <w:spacing w:after="120"/>
              <w:rPr>
                <w:rFonts w:cs="v4.2.0"/>
                <w:bCs/>
                <w:lang w:eastAsia="ja-JP"/>
              </w:rPr>
            </w:pPr>
            <w:r>
              <w:rPr>
                <w:rFonts w:hint="eastAsia"/>
                <w:bCs/>
              </w:rPr>
              <w:t>Same as clause 7.</w:t>
            </w:r>
            <w:r>
              <w:rPr>
                <w:rFonts w:hint="eastAsia"/>
                <w:bCs/>
                <w:lang w:val="en-US" w:eastAsia="zh-CN"/>
              </w:rPr>
              <w:t>5</w:t>
            </w:r>
            <w:r>
              <w:rPr>
                <w:rFonts w:hint="eastAsia"/>
                <w:bCs/>
              </w:rPr>
              <w:t>F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3"/>
              <w:rPr>
                <w:rFonts w:cs="v4.2.0"/>
              </w:rPr>
            </w:pPr>
            <w:r>
              <w:t>7.6A.2 In-band blocking for category M1</w:t>
            </w:r>
          </w:p>
        </w:tc>
        <w:tc>
          <w:tcPr>
            <w:tcW w:w="2864" w:type="dxa"/>
          </w:tcPr>
          <w:p>
            <w:pPr>
              <w:pStyle w:val="103"/>
              <w:spacing w:after="120"/>
              <w:rPr>
                <w:rFonts w:cs="v4.2.0"/>
              </w:rPr>
            </w:pPr>
            <w:r>
              <w:rPr>
                <w:rFonts w:cs="v4.2.0"/>
                <w:lang w:eastAsia="ja-JP"/>
              </w:rPr>
              <w:t>Same as clause 7.6.1E</w:t>
            </w:r>
            <w:r>
              <w:rPr>
                <w:rFonts w:cs="v4.2.0"/>
                <w:lang w:eastAsia="ko-KR"/>
              </w:rPr>
              <w:t>A</w:t>
            </w:r>
            <w:r>
              <w:rPr>
                <w:rFonts w:cs="v4.2.0"/>
                <w:lang w:eastAsia="ja-JP"/>
              </w:rPr>
              <w:t xml:space="preserve"> in TS 36.521-1 [14].</w:t>
            </w:r>
          </w:p>
        </w:tc>
        <w:tc>
          <w:tcPr>
            <w:tcW w:w="1226" w:type="dxa"/>
          </w:tcPr>
          <w:p>
            <w:pPr>
              <w:pStyle w:val="103"/>
              <w:rPr>
                <w:rFonts w:cs="v4.2.0"/>
              </w:rPr>
            </w:pPr>
            <w:r>
              <w:rPr>
                <w:rFonts w:cs="v4.2.0"/>
                <w:lang w:eastAsia="ja-JP"/>
              </w:rPr>
              <w:t>Same as clause 7.6.1E</w:t>
            </w:r>
            <w:r>
              <w:rPr>
                <w:rFonts w:cs="v4.2.0"/>
                <w:lang w:eastAsia="ko-KR"/>
              </w:rPr>
              <w:t>A</w:t>
            </w:r>
            <w:r>
              <w:rPr>
                <w:rFonts w:cs="v4.2.0"/>
                <w:lang w:eastAsia="ja-JP"/>
              </w:rPr>
              <w:t xml:space="preserve"> in TS 36.521-1 [14].</w:t>
            </w:r>
          </w:p>
        </w:tc>
        <w:tc>
          <w:tcPr>
            <w:tcW w:w="3250" w:type="dxa"/>
          </w:tcPr>
          <w:p>
            <w:pPr>
              <w:pStyle w:val="103"/>
              <w:spacing w:after="120"/>
              <w:rPr>
                <w:rFonts w:cs="v4.2.0"/>
              </w:rPr>
            </w:pPr>
            <w:r>
              <w:rPr>
                <w:rFonts w:cs="v4.2.0"/>
                <w:lang w:eastAsia="ja-JP"/>
              </w:rPr>
              <w:t>Same as clause 7.6.1E</w:t>
            </w:r>
            <w:r>
              <w:rPr>
                <w:rFonts w:cs="v4.2.0"/>
                <w:lang w:eastAsia="ko-KR"/>
              </w:rPr>
              <w:t>A</w:t>
            </w:r>
            <w:r>
              <w:rPr>
                <w:rFonts w:cs="v4.2.0"/>
                <w:lang w:eastAsia="ja-JP"/>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3"/>
            </w:pPr>
            <w:r>
              <w:t>7.6A.3</w:t>
            </w:r>
            <w:r>
              <w:tab/>
            </w:r>
            <w:r>
              <w:t>Out-of-band blocking for category M1</w:t>
            </w:r>
          </w:p>
        </w:tc>
        <w:tc>
          <w:tcPr>
            <w:tcW w:w="2864" w:type="dxa"/>
          </w:tcPr>
          <w:p>
            <w:pPr>
              <w:pStyle w:val="103"/>
              <w:spacing w:after="120"/>
              <w:rPr>
                <w:rFonts w:cs="v4.2.0"/>
                <w:lang w:eastAsia="ja-JP"/>
              </w:rPr>
            </w:pPr>
            <w:r>
              <w:rPr>
                <w:rFonts w:cs="v4.2.0"/>
                <w:lang w:eastAsia="ja-JP"/>
              </w:rPr>
              <w:t>Same as clause 7.6.2E</w:t>
            </w:r>
            <w:r>
              <w:rPr>
                <w:rFonts w:cs="v4.2.0"/>
                <w:lang w:eastAsia="ko-KR"/>
              </w:rPr>
              <w:t>A</w:t>
            </w:r>
            <w:r>
              <w:rPr>
                <w:rFonts w:cs="v4.2.0"/>
                <w:lang w:eastAsia="ja-JP"/>
              </w:rPr>
              <w:t xml:space="preserve"> in TS 36.521-1 [14].</w:t>
            </w:r>
          </w:p>
        </w:tc>
        <w:tc>
          <w:tcPr>
            <w:tcW w:w="1226" w:type="dxa"/>
          </w:tcPr>
          <w:p>
            <w:pPr>
              <w:pStyle w:val="103"/>
              <w:rPr>
                <w:rFonts w:cs="v4.2.0"/>
                <w:lang w:eastAsia="ja-JP"/>
              </w:rPr>
            </w:pPr>
            <w:r>
              <w:rPr>
                <w:rFonts w:cs="v4.2.0"/>
                <w:lang w:eastAsia="ja-JP"/>
              </w:rPr>
              <w:t>Same as clause 7.6.2E</w:t>
            </w:r>
            <w:r>
              <w:rPr>
                <w:rFonts w:cs="v4.2.0"/>
                <w:lang w:eastAsia="ko-KR"/>
              </w:rPr>
              <w:t>A</w:t>
            </w:r>
            <w:r>
              <w:rPr>
                <w:rFonts w:cs="v4.2.0"/>
                <w:lang w:eastAsia="ja-JP"/>
              </w:rPr>
              <w:t xml:space="preserve"> in TS 36.521-1 [14].</w:t>
            </w:r>
          </w:p>
        </w:tc>
        <w:tc>
          <w:tcPr>
            <w:tcW w:w="3250" w:type="dxa"/>
          </w:tcPr>
          <w:p>
            <w:pPr>
              <w:pStyle w:val="103"/>
              <w:spacing w:after="120"/>
              <w:rPr>
                <w:rFonts w:cs="v4.2.0"/>
                <w:lang w:eastAsia="ja-JP"/>
              </w:rPr>
            </w:pPr>
            <w:r>
              <w:rPr>
                <w:rFonts w:cs="v4.2.0"/>
                <w:lang w:eastAsia="ja-JP"/>
              </w:rPr>
              <w:t>Same as clause 7.6.2E</w:t>
            </w:r>
            <w:r>
              <w:rPr>
                <w:rFonts w:cs="v4.2.0"/>
                <w:lang w:eastAsia="ko-KR"/>
              </w:rPr>
              <w:t>A</w:t>
            </w:r>
            <w:r>
              <w:rPr>
                <w:rFonts w:cs="v4.2.0"/>
                <w:lang w:eastAsia="ja-JP"/>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3"/>
            </w:pPr>
            <w:r>
              <w:t>7.6A.4</w:t>
            </w:r>
            <w:r>
              <w:tab/>
            </w:r>
            <w:r>
              <w:rPr>
                <w:rFonts w:eastAsia="MS Mincho"/>
              </w:rPr>
              <w:t>Narrow band blocking for category M1</w:t>
            </w:r>
          </w:p>
        </w:tc>
        <w:tc>
          <w:tcPr>
            <w:tcW w:w="2864" w:type="dxa"/>
          </w:tcPr>
          <w:p>
            <w:pPr>
              <w:pStyle w:val="103"/>
              <w:spacing w:after="120"/>
              <w:rPr>
                <w:rFonts w:cs="v4.2.0"/>
                <w:lang w:eastAsia="ja-JP"/>
              </w:rPr>
            </w:pPr>
            <w:r>
              <w:rPr>
                <w:rFonts w:cs="v4.2.0"/>
                <w:lang w:eastAsia="ja-JP"/>
              </w:rPr>
              <w:t>Same as clause 7.6.3E</w:t>
            </w:r>
            <w:r>
              <w:rPr>
                <w:rFonts w:cs="v4.2.0"/>
                <w:lang w:eastAsia="ko-KR"/>
              </w:rPr>
              <w:t>A</w:t>
            </w:r>
            <w:r>
              <w:rPr>
                <w:rFonts w:cs="v4.2.0"/>
                <w:lang w:eastAsia="ja-JP"/>
              </w:rPr>
              <w:t xml:space="preserve"> in TS 36.521-1 [14].</w:t>
            </w:r>
          </w:p>
        </w:tc>
        <w:tc>
          <w:tcPr>
            <w:tcW w:w="1226" w:type="dxa"/>
          </w:tcPr>
          <w:p>
            <w:pPr>
              <w:pStyle w:val="103"/>
              <w:rPr>
                <w:rFonts w:cs="v4.2.0"/>
                <w:lang w:eastAsia="ja-JP"/>
              </w:rPr>
            </w:pPr>
            <w:r>
              <w:rPr>
                <w:rFonts w:cs="v4.2.0"/>
                <w:lang w:eastAsia="ja-JP"/>
              </w:rPr>
              <w:t>Same as clause 7.6.3E</w:t>
            </w:r>
            <w:r>
              <w:rPr>
                <w:rFonts w:cs="v4.2.0"/>
                <w:lang w:eastAsia="ko-KR"/>
              </w:rPr>
              <w:t>A</w:t>
            </w:r>
            <w:r>
              <w:rPr>
                <w:rFonts w:cs="v4.2.0"/>
                <w:lang w:eastAsia="ja-JP"/>
              </w:rPr>
              <w:t xml:space="preserve"> in TS 36.521-1 [14].</w:t>
            </w:r>
          </w:p>
        </w:tc>
        <w:tc>
          <w:tcPr>
            <w:tcW w:w="3250" w:type="dxa"/>
          </w:tcPr>
          <w:p>
            <w:pPr>
              <w:pStyle w:val="103"/>
              <w:spacing w:after="120"/>
              <w:rPr>
                <w:rFonts w:cs="v4.2.0"/>
                <w:lang w:eastAsia="ja-JP"/>
              </w:rPr>
            </w:pPr>
            <w:r>
              <w:rPr>
                <w:rFonts w:cs="v4.2.0"/>
                <w:lang w:eastAsia="ja-JP"/>
              </w:rPr>
              <w:t>Same as clause 7.6.3E</w:t>
            </w:r>
            <w:r>
              <w:rPr>
                <w:rFonts w:cs="v4.2.0"/>
                <w:lang w:eastAsia="ko-KR"/>
              </w:rPr>
              <w:t>A</w:t>
            </w:r>
            <w:r>
              <w:rPr>
                <w:rFonts w:cs="v4.2.0"/>
                <w:lang w:eastAsia="ja-JP"/>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3"/>
              <w:rPr>
                <w:rFonts w:cs="v4.2.0"/>
              </w:rPr>
            </w:pPr>
            <w:r>
              <w:rPr>
                <w:rFonts w:cs="v4.2.0"/>
              </w:rPr>
              <w:t>7.6B.2 In-band blocking for category NB1 and NB2</w:t>
            </w:r>
          </w:p>
        </w:tc>
        <w:tc>
          <w:tcPr>
            <w:tcW w:w="2864" w:type="dxa"/>
          </w:tcPr>
          <w:p>
            <w:pPr>
              <w:pStyle w:val="103"/>
              <w:spacing w:after="120"/>
              <w:rPr>
                <w:rFonts w:cs="v4.2.0"/>
              </w:rPr>
            </w:pPr>
            <w:r>
              <w:rPr>
                <w:rFonts w:cs="v4.2.0"/>
                <w:lang w:eastAsia="ja-JP"/>
              </w:rPr>
              <w:t xml:space="preserve">Same as clause </w:t>
            </w:r>
            <w:r>
              <w:rPr>
                <w:rFonts w:cs="v4.2.0"/>
              </w:rPr>
              <w:t xml:space="preserve">7.6.1F </w:t>
            </w:r>
            <w:r>
              <w:rPr>
                <w:rFonts w:cs="v4.2.0"/>
                <w:lang w:eastAsia="ja-JP"/>
              </w:rPr>
              <w:t>in TS 36.521-1 [14].</w:t>
            </w:r>
          </w:p>
        </w:tc>
        <w:tc>
          <w:tcPr>
            <w:tcW w:w="1226" w:type="dxa"/>
          </w:tcPr>
          <w:p>
            <w:pPr>
              <w:pStyle w:val="103"/>
              <w:rPr>
                <w:rFonts w:cs="v4.2.0"/>
              </w:rPr>
            </w:pPr>
            <w:r>
              <w:rPr>
                <w:rFonts w:cs="v4.2.0"/>
                <w:lang w:eastAsia="ja-JP"/>
              </w:rPr>
              <w:t xml:space="preserve">Same as clause </w:t>
            </w:r>
            <w:r>
              <w:rPr>
                <w:rFonts w:cs="v4.2.0"/>
              </w:rPr>
              <w:t xml:space="preserve">7.6.1F </w:t>
            </w:r>
            <w:r>
              <w:rPr>
                <w:rFonts w:cs="v4.2.0"/>
                <w:lang w:eastAsia="ja-JP"/>
              </w:rPr>
              <w:t>in TS 36.521-1 [14].</w:t>
            </w:r>
          </w:p>
        </w:tc>
        <w:tc>
          <w:tcPr>
            <w:tcW w:w="3250" w:type="dxa"/>
          </w:tcPr>
          <w:p>
            <w:pPr>
              <w:pStyle w:val="103"/>
              <w:spacing w:after="120"/>
              <w:rPr>
                <w:rFonts w:cs="v4.2.0"/>
              </w:rPr>
            </w:pPr>
            <w:r>
              <w:rPr>
                <w:rFonts w:cs="v4.2.0"/>
                <w:lang w:eastAsia="ja-JP"/>
              </w:rPr>
              <w:t xml:space="preserve">Same as clause </w:t>
            </w:r>
            <w:r>
              <w:rPr>
                <w:rFonts w:cs="v4.2.0"/>
              </w:rPr>
              <w:t xml:space="preserve">7.6.1F </w:t>
            </w:r>
            <w:r>
              <w:rPr>
                <w:rFonts w:cs="v4.2.0"/>
                <w:lang w:eastAsia="ja-JP"/>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3"/>
              <w:rPr>
                <w:rFonts w:cs="v4.2.0"/>
              </w:rPr>
            </w:pPr>
            <w:r>
              <w:t>7.6B.3</w:t>
            </w:r>
            <w:r>
              <w:tab/>
            </w:r>
            <w:r>
              <w:t>Out-of-band blocking for category NB1 and NB2</w:t>
            </w:r>
          </w:p>
        </w:tc>
        <w:tc>
          <w:tcPr>
            <w:tcW w:w="2864" w:type="dxa"/>
          </w:tcPr>
          <w:p>
            <w:pPr>
              <w:pStyle w:val="103"/>
              <w:spacing w:after="120"/>
              <w:rPr>
                <w:rFonts w:cs="v4.2.0"/>
                <w:lang w:eastAsia="ja-JP"/>
              </w:rPr>
            </w:pPr>
            <w:r>
              <w:rPr>
                <w:rFonts w:cs="v4.2.0"/>
                <w:lang w:eastAsia="ja-JP"/>
              </w:rPr>
              <w:t xml:space="preserve">Same as clause </w:t>
            </w:r>
            <w:r>
              <w:rPr>
                <w:rFonts w:cs="v4.2.0"/>
              </w:rPr>
              <w:t xml:space="preserve">7.6.2F </w:t>
            </w:r>
            <w:r>
              <w:rPr>
                <w:rFonts w:cs="v4.2.0"/>
                <w:lang w:eastAsia="ja-JP"/>
              </w:rPr>
              <w:t>in TS 36.521-1 [14].</w:t>
            </w:r>
          </w:p>
        </w:tc>
        <w:tc>
          <w:tcPr>
            <w:tcW w:w="1226" w:type="dxa"/>
          </w:tcPr>
          <w:p>
            <w:pPr>
              <w:pStyle w:val="103"/>
              <w:rPr>
                <w:rFonts w:cs="v4.2.0"/>
                <w:lang w:eastAsia="ja-JP"/>
              </w:rPr>
            </w:pPr>
            <w:r>
              <w:rPr>
                <w:rFonts w:cs="v4.2.0"/>
                <w:lang w:eastAsia="ja-JP"/>
              </w:rPr>
              <w:t xml:space="preserve">Same as clause </w:t>
            </w:r>
            <w:r>
              <w:rPr>
                <w:rFonts w:cs="v4.2.0"/>
              </w:rPr>
              <w:t xml:space="preserve">7.6.2F </w:t>
            </w:r>
            <w:r>
              <w:rPr>
                <w:rFonts w:cs="v4.2.0"/>
                <w:lang w:eastAsia="ja-JP"/>
              </w:rPr>
              <w:t>in TS 36.521-1 [14].</w:t>
            </w:r>
          </w:p>
        </w:tc>
        <w:tc>
          <w:tcPr>
            <w:tcW w:w="3250" w:type="dxa"/>
          </w:tcPr>
          <w:p>
            <w:pPr>
              <w:pStyle w:val="103"/>
              <w:spacing w:after="120"/>
              <w:rPr>
                <w:rFonts w:cs="v4.2.0"/>
                <w:lang w:eastAsia="ja-JP"/>
              </w:rPr>
            </w:pPr>
            <w:r>
              <w:rPr>
                <w:rFonts w:cs="v4.2.0"/>
                <w:lang w:eastAsia="ja-JP"/>
              </w:rPr>
              <w:t xml:space="preserve">Same as clause </w:t>
            </w:r>
            <w:r>
              <w:rPr>
                <w:rFonts w:cs="v4.2.0"/>
              </w:rPr>
              <w:t xml:space="preserve">7.6.2F </w:t>
            </w:r>
            <w:r>
              <w:rPr>
                <w:rFonts w:cs="v4.2.0"/>
                <w:lang w:eastAsia="ja-JP"/>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3"/>
            </w:pPr>
            <w:r>
              <w:t>7.7A</w:t>
            </w:r>
            <w:r>
              <w:tab/>
            </w:r>
            <w:r>
              <w:t>Spurious response for category M1</w:t>
            </w:r>
          </w:p>
        </w:tc>
        <w:tc>
          <w:tcPr>
            <w:tcW w:w="2864" w:type="dxa"/>
          </w:tcPr>
          <w:p>
            <w:pPr>
              <w:pStyle w:val="103"/>
              <w:spacing w:after="120"/>
              <w:rPr>
                <w:rFonts w:cs="v4.2.0"/>
                <w:lang w:eastAsia="ja-JP"/>
              </w:rPr>
            </w:pPr>
            <w:r>
              <w:rPr>
                <w:rFonts w:cs="v4.2.0"/>
                <w:lang w:eastAsia="ja-JP"/>
              </w:rPr>
              <w:t>Same as clause 7.7E</w:t>
            </w:r>
            <w:r>
              <w:rPr>
                <w:rFonts w:cs="v4.2.0"/>
                <w:lang w:eastAsia="ko-KR"/>
              </w:rPr>
              <w:t>A</w:t>
            </w:r>
            <w:r>
              <w:rPr>
                <w:rFonts w:cs="v4.2.0"/>
                <w:lang w:eastAsia="ja-JP"/>
              </w:rPr>
              <w:t xml:space="preserve"> in TS 36.521-1 [14].</w:t>
            </w:r>
          </w:p>
        </w:tc>
        <w:tc>
          <w:tcPr>
            <w:tcW w:w="1226" w:type="dxa"/>
          </w:tcPr>
          <w:p>
            <w:pPr>
              <w:pStyle w:val="103"/>
              <w:rPr>
                <w:rFonts w:cs="v4.2.0"/>
                <w:lang w:eastAsia="ja-JP"/>
              </w:rPr>
            </w:pPr>
            <w:r>
              <w:rPr>
                <w:rFonts w:cs="v4.2.0"/>
                <w:lang w:eastAsia="ja-JP"/>
              </w:rPr>
              <w:t>Same as clause 7.7E</w:t>
            </w:r>
            <w:r>
              <w:rPr>
                <w:rFonts w:cs="v4.2.0"/>
                <w:lang w:eastAsia="ko-KR"/>
              </w:rPr>
              <w:t>A</w:t>
            </w:r>
            <w:r>
              <w:rPr>
                <w:rFonts w:cs="v4.2.0"/>
                <w:lang w:eastAsia="ja-JP"/>
              </w:rPr>
              <w:t xml:space="preserve"> in TS 36.521-1 [14].</w:t>
            </w:r>
          </w:p>
        </w:tc>
        <w:tc>
          <w:tcPr>
            <w:tcW w:w="3250" w:type="dxa"/>
          </w:tcPr>
          <w:p>
            <w:pPr>
              <w:pStyle w:val="103"/>
              <w:spacing w:after="120"/>
              <w:rPr>
                <w:rFonts w:cs="v4.2.0"/>
                <w:lang w:eastAsia="ja-JP"/>
              </w:rPr>
            </w:pPr>
            <w:r>
              <w:rPr>
                <w:rFonts w:cs="v4.2.0"/>
                <w:lang w:eastAsia="ja-JP"/>
              </w:rPr>
              <w:t>Same as clause 7.7E</w:t>
            </w:r>
            <w:r>
              <w:rPr>
                <w:rFonts w:cs="v4.2.0"/>
                <w:lang w:eastAsia="ko-KR"/>
              </w:rPr>
              <w:t>A</w:t>
            </w:r>
            <w:r>
              <w:rPr>
                <w:rFonts w:cs="v4.2.0"/>
                <w:lang w:eastAsia="ja-JP"/>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3"/>
            </w:pPr>
            <w:r>
              <w:t>7.7B</w:t>
            </w:r>
            <w:r>
              <w:tab/>
            </w:r>
            <w:r>
              <w:t>Spurious response for category NB1 and NB2</w:t>
            </w:r>
          </w:p>
        </w:tc>
        <w:tc>
          <w:tcPr>
            <w:tcW w:w="2864" w:type="dxa"/>
          </w:tcPr>
          <w:p>
            <w:pPr>
              <w:pStyle w:val="103"/>
              <w:spacing w:after="120"/>
              <w:rPr>
                <w:rFonts w:cs="v4.2.0"/>
                <w:lang w:eastAsia="ja-JP"/>
              </w:rPr>
            </w:pPr>
            <w:r>
              <w:rPr>
                <w:rFonts w:cs="v4.2.0"/>
                <w:lang w:eastAsia="ja-JP"/>
              </w:rPr>
              <w:t xml:space="preserve">Same as clause </w:t>
            </w:r>
            <w:r>
              <w:rPr>
                <w:rFonts w:cs="v4.2.0"/>
              </w:rPr>
              <w:t xml:space="preserve">7.7F </w:t>
            </w:r>
            <w:r>
              <w:rPr>
                <w:rFonts w:cs="v4.2.0"/>
                <w:lang w:eastAsia="ja-JP"/>
              </w:rPr>
              <w:t>in TS 36.521-1 [14].</w:t>
            </w:r>
          </w:p>
        </w:tc>
        <w:tc>
          <w:tcPr>
            <w:tcW w:w="1226" w:type="dxa"/>
          </w:tcPr>
          <w:p>
            <w:pPr>
              <w:pStyle w:val="103"/>
              <w:rPr>
                <w:rFonts w:cs="v4.2.0"/>
                <w:lang w:eastAsia="ja-JP"/>
              </w:rPr>
            </w:pPr>
            <w:r>
              <w:rPr>
                <w:rFonts w:cs="v4.2.0"/>
                <w:lang w:eastAsia="ja-JP"/>
              </w:rPr>
              <w:t xml:space="preserve">Same as clause </w:t>
            </w:r>
            <w:r>
              <w:rPr>
                <w:rFonts w:cs="v4.2.0"/>
              </w:rPr>
              <w:t xml:space="preserve">7.7F </w:t>
            </w:r>
            <w:r>
              <w:rPr>
                <w:rFonts w:cs="v4.2.0"/>
                <w:lang w:eastAsia="ja-JP"/>
              </w:rPr>
              <w:t>in TS 36.521-1 [14].</w:t>
            </w:r>
          </w:p>
        </w:tc>
        <w:tc>
          <w:tcPr>
            <w:tcW w:w="3250" w:type="dxa"/>
          </w:tcPr>
          <w:p>
            <w:pPr>
              <w:pStyle w:val="103"/>
              <w:spacing w:after="120"/>
              <w:rPr>
                <w:rFonts w:cs="v4.2.0"/>
                <w:lang w:eastAsia="ja-JP"/>
              </w:rPr>
            </w:pPr>
            <w:r>
              <w:rPr>
                <w:rFonts w:cs="v4.2.0"/>
                <w:lang w:eastAsia="ja-JP"/>
              </w:rPr>
              <w:t xml:space="preserve">Same as clause </w:t>
            </w:r>
            <w:r>
              <w:rPr>
                <w:rFonts w:cs="v4.2.0"/>
              </w:rPr>
              <w:t xml:space="preserve">7.7F </w:t>
            </w:r>
            <w:r>
              <w:rPr>
                <w:rFonts w:cs="v4.2.0"/>
                <w:lang w:eastAsia="ja-JP"/>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3"/>
            </w:pPr>
            <w:r>
              <w:t>7.8A</w:t>
            </w:r>
            <w:r>
              <w:tab/>
            </w:r>
            <w:r>
              <w:t>Intermodulation characteristics for category M1</w:t>
            </w:r>
          </w:p>
        </w:tc>
        <w:tc>
          <w:tcPr>
            <w:tcW w:w="2864" w:type="dxa"/>
          </w:tcPr>
          <w:p>
            <w:pPr>
              <w:pStyle w:val="103"/>
              <w:spacing w:after="120"/>
              <w:rPr>
                <w:rFonts w:cs="v4.2.0"/>
                <w:lang w:eastAsia="ja-JP"/>
              </w:rPr>
            </w:pPr>
            <w:r>
              <w:rPr>
                <w:rFonts w:cs="v4.2.0"/>
                <w:lang w:eastAsia="ja-JP"/>
              </w:rPr>
              <w:t>Same as clause 7.8.1E</w:t>
            </w:r>
            <w:r>
              <w:rPr>
                <w:rFonts w:cs="v4.2.0"/>
                <w:lang w:eastAsia="ko-KR"/>
              </w:rPr>
              <w:t>A</w:t>
            </w:r>
            <w:r>
              <w:rPr>
                <w:rFonts w:cs="v4.2.0"/>
                <w:lang w:eastAsia="ja-JP"/>
              </w:rPr>
              <w:t xml:space="preserve"> in TS 36.521-1 [14].</w:t>
            </w:r>
          </w:p>
        </w:tc>
        <w:tc>
          <w:tcPr>
            <w:tcW w:w="1226" w:type="dxa"/>
          </w:tcPr>
          <w:p>
            <w:pPr>
              <w:pStyle w:val="103"/>
              <w:rPr>
                <w:rFonts w:cs="v4.2.0"/>
                <w:lang w:eastAsia="ja-JP"/>
              </w:rPr>
            </w:pPr>
            <w:r>
              <w:rPr>
                <w:rFonts w:cs="v4.2.0"/>
                <w:lang w:eastAsia="ja-JP"/>
              </w:rPr>
              <w:t>Same as clause 7.8.1E</w:t>
            </w:r>
            <w:r>
              <w:rPr>
                <w:rFonts w:cs="v4.2.0"/>
                <w:lang w:eastAsia="ko-KR"/>
              </w:rPr>
              <w:t>A</w:t>
            </w:r>
            <w:r>
              <w:rPr>
                <w:rFonts w:cs="v4.2.0"/>
                <w:lang w:eastAsia="ja-JP"/>
              </w:rPr>
              <w:t xml:space="preserve"> in TS 36.521-1 [14].</w:t>
            </w:r>
          </w:p>
        </w:tc>
        <w:tc>
          <w:tcPr>
            <w:tcW w:w="3250" w:type="dxa"/>
          </w:tcPr>
          <w:p>
            <w:pPr>
              <w:pStyle w:val="103"/>
              <w:spacing w:after="120"/>
              <w:rPr>
                <w:rFonts w:cs="v4.2.0"/>
                <w:lang w:eastAsia="ja-JP"/>
              </w:rPr>
            </w:pPr>
            <w:r>
              <w:rPr>
                <w:rFonts w:cs="v4.2.0"/>
                <w:lang w:eastAsia="ja-JP"/>
              </w:rPr>
              <w:t>Same as clause 7.8.1E</w:t>
            </w:r>
            <w:r>
              <w:rPr>
                <w:rFonts w:cs="v4.2.0"/>
                <w:lang w:eastAsia="ko-KR"/>
              </w:rPr>
              <w:t>A</w:t>
            </w:r>
            <w:r>
              <w:rPr>
                <w:rFonts w:cs="v4.2.0"/>
                <w:lang w:eastAsia="ja-JP"/>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3"/>
            </w:pPr>
            <w:r>
              <w:t>7.8B</w:t>
            </w:r>
            <w:r>
              <w:tab/>
            </w:r>
            <w:r>
              <w:t>Intermodulation characteristics for category NB1 and NB2</w:t>
            </w:r>
          </w:p>
        </w:tc>
        <w:tc>
          <w:tcPr>
            <w:tcW w:w="2864" w:type="dxa"/>
          </w:tcPr>
          <w:p>
            <w:pPr>
              <w:pStyle w:val="103"/>
              <w:spacing w:after="120"/>
              <w:rPr>
                <w:rFonts w:cs="v4.2.0"/>
                <w:lang w:eastAsia="ja-JP"/>
              </w:rPr>
            </w:pPr>
            <w:r>
              <w:rPr>
                <w:rFonts w:cs="v4.2.0"/>
                <w:lang w:eastAsia="ja-JP"/>
              </w:rPr>
              <w:t xml:space="preserve">Same as clause </w:t>
            </w:r>
            <w:r>
              <w:rPr>
                <w:rFonts w:cs="v4.2.0"/>
              </w:rPr>
              <w:t xml:space="preserve">7.8.1F </w:t>
            </w:r>
            <w:r>
              <w:rPr>
                <w:rFonts w:cs="v4.2.0"/>
                <w:lang w:eastAsia="ja-JP"/>
              </w:rPr>
              <w:t>in TS 36.521-1 [14].</w:t>
            </w:r>
          </w:p>
        </w:tc>
        <w:tc>
          <w:tcPr>
            <w:tcW w:w="1226" w:type="dxa"/>
          </w:tcPr>
          <w:p>
            <w:pPr>
              <w:pStyle w:val="103"/>
              <w:rPr>
                <w:rFonts w:cs="v4.2.0"/>
                <w:lang w:eastAsia="ja-JP"/>
              </w:rPr>
            </w:pPr>
            <w:r>
              <w:rPr>
                <w:rFonts w:cs="v4.2.0"/>
                <w:lang w:eastAsia="ja-JP"/>
              </w:rPr>
              <w:t xml:space="preserve">Same as clause </w:t>
            </w:r>
            <w:r>
              <w:rPr>
                <w:rFonts w:cs="v4.2.0"/>
              </w:rPr>
              <w:t xml:space="preserve">7.8.1F </w:t>
            </w:r>
            <w:r>
              <w:rPr>
                <w:rFonts w:cs="v4.2.0"/>
                <w:lang w:eastAsia="ja-JP"/>
              </w:rPr>
              <w:t>in TS 36.521-1 [14].</w:t>
            </w:r>
          </w:p>
        </w:tc>
        <w:tc>
          <w:tcPr>
            <w:tcW w:w="3250" w:type="dxa"/>
          </w:tcPr>
          <w:p>
            <w:pPr>
              <w:pStyle w:val="103"/>
              <w:spacing w:after="120"/>
              <w:rPr>
                <w:rFonts w:cs="v4.2.0"/>
                <w:lang w:eastAsia="ja-JP"/>
              </w:rPr>
            </w:pPr>
            <w:r>
              <w:rPr>
                <w:rFonts w:cs="v4.2.0"/>
                <w:lang w:eastAsia="ja-JP"/>
              </w:rPr>
              <w:t xml:space="preserve">Same as clause </w:t>
            </w:r>
            <w:r>
              <w:rPr>
                <w:rFonts w:cs="v4.2.0"/>
              </w:rPr>
              <w:t xml:space="preserve">7.8.1F </w:t>
            </w:r>
            <w:r>
              <w:rPr>
                <w:rFonts w:cs="v4.2.0"/>
                <w:lang w:eastAsia="ja-JP"/>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3"/>
              <w:rPr>
                <w:rFonts w:cs="v4.2.0"/>
              </w:rPr>
            </w:pPr>
            <w:r>
              <w:rPr>
                <w:rFonts w:cs="v4.2.0"/>
              </w:rPr>
              <w:t>7.9A</w:t>
            </w:r>
            <w:r>
              <w:rPr>
                <w:rFonts w:cs="v4.2.0"/>
              </w:rPr>
              <w:tab/>
            </w:r>
            <w:r>
              <w:rPr>
                <w:rFonts w:cs="v4.2.0"/>
              </w:rPr>
              <w:t>Spurious emissions for category M1</w:t>
            </w:r>
          </w:p>
        </w:tc>
        <w:tc>
          <w:tcPr>
            <w:tcW w:w="2864" w:type="dxa"/>
          </w:tcPr>
          <w:p>
            <w:pPr>
              <w:pStyle w:val="103"/>
              <w:spacing w:after="120"/>
              <w:rPr>
                <w:rFonts w:cs="v4.2.0"/>
              </w:rPr>
            </w:pPr>
            <w:r>
              <w:rPr>
                <w:rFonts w:cs="v4.2.0"/>
                <w:lang w:eastAsia="ja-JP"/>
              </w:rPr>
              <w:t>Same as clause 7.9E</w:t>
            </w:r>
            <w:r>
              <w:rPr>
                <w:rFonts w:cs="v4.2.0"/>
                <w:lang w:eastAsia="ko-KR"/>
              </w:rPr>
              <w:t>A</w:t>
            </w:r>
            <w:r>
              <w:rPr>
                <w:rFonts w:cs="v4.2.0"/>
                <w:lang w:eastAsia="ja-JP"/>
              </w:rPr>
              <w:t xml:space="preserve"> in TS 36.521-1 [14] </w:t>
            </w:r>
            <w:r>
              <w:t xml:space="preserve">except for the spurious </w:t>
            </w:r>
            <w:r>
              <w:rPr>
                <w:rFonts w:hint="eastAsia"/>
              </w:rPr>
              <w:t>frequency</w:t>
            </w:r>
            <w:r>
              <w:t xml:space="preserve"> </w:t>
            </w:r>
            <w:r>
              <w:rPr>
                <w:rFonts w:hint="eastAsia"/>
              </w:rPr>
              <w:t>range</w:t>
            </w:r>
            <w:r>
              <w:t xml:space="preserve"> </w:t>
            </w:r>
            <w:r>
              <w:rPr>
                <w:rFonts w:hint="eastAsia"/>
              </w:rPr>
              <w:t>to</w:t>
            </w:r>
            <w:r>
              <w:t xml:space="preserve"> </w:t>
            </w:r>
            <w:r>
              <w:rPr>
                <w:rFonts w:hint="eastAsia"/>
              </w:rPr>
              <w:t>be</w:t>
            </w:r>
            <w:r>
              <w:t xml:space="preserve"> </w:t>
            </w:r>
            <w:r>
              <w:rPr>
                <w:rFonts w:hint="eastAsia"/>
              </w:rPr>
              <w:t>limited</w:t>
            </w:r>
            <w:r>
              <w:t xml:space="preserve"> </w:t>
            </w:r>
            <w:r>
              <w:rPr>
                <w:rFonts w:hint="eastAsia"/>
              </w:rPr>
              <w:t>to</w:t>
            </w:r>
            <w:r>
              <w:t xml:space="preserve"> </w:t>
            </w:r>
            <w:r>
              <w:rPr>
                <w:rFonts w:hint="eastAsia"/>
              </w:rPr>
              <w:t>up</w:t>
            </w:r>
            <w:r>
              <w:t xml:space="preserve"> </w:t>
            </w:r>
            <w:r>
              <w:rPr>
                <w:rFonts w:hint="eastAsia"/>
              </w:rPr>
              <w:t>to</w:t>
            </w:r>
            <w:r>
              <w:t xml:space="preserve"> 12.75GHz.</w:t>
            </w:r>
          </w:p>
        </w:tc>
        <w:tc>
          <w:tcPr>
            <w:tcW w:w="1226" w:type="dxa"/>
          </w:tcPr>
          <w:p>
            <w:pPr>
              <w:pStyle w:val="103"/>
              <w:rPr>
                <w:rFonts w:cs="v4.2.0"/>
              </w:rPr>
            </w:pPr>
            <w:r>
              <w:rPr>
                <w:rFonts w:cs="v4.2.0"/>
                <w:lang w:eastAsia="ja-JP"/>
              </w:rPr>
              <w:t>Same as clause 7.9E</w:t>
            </w:r>
            <w:r>
              <w:rPr>
                <w:rFonts w:cs="v4.2.0"/>
                <w:lang w:eastAsia="ko-KR"/>
              </w:rPr>
              <w:t>A</w:t>
            </w:r>
            <w:r>
              <w:rPr>
                <w:rFonts w:cs="v4.2.0"/>
                <w:lang w:eastAsia="ja-JP"/>
              </w:rPr>
              <w:t xml:space="preserve"> in TS 36.521-1 [14].</w:t>
            </w:r>
          </w:p>
        </w:tc>
        <w:tc>
          <w:tcPr>
            <w:tcW w:w="3250" w:type="dxa"/>
          </w:tcPr>
          <w:p>
            <w:pPr>
              <w:pStyle w:val="103"/>
              <w:spacing w:after="120"/>
              <w:rPr>
                <w:rFonts w:cs="v4.2.0"/>
              </w:rPr>
            </w:pPr>
            <w:r>
              <w:rPr>
                <w:rFonts w:cs="v4.2.0"/>
                <w:lang w:eastAsia="ja-JP"/>
              </w:rPr>
              <w:t>Same as clause 7.9E</w:t>
            </w:r>
            <w:r>
              <w:rPr>
                <w:rFonts w:cs="v4.2.0"/>
                <w:lang w:eastAsia="ko-KR"/>
              </w:rPr>
              <w:t>A</w:t>
            </w:r>
            <w:r>
              <w:rPr>
                <w:rFonts w:cs="v4.2.0"/>
                <w:lang w:eastAsia="ja-JP"/>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3" w:type="dxa"/>
          </w:tcPr>
          <w:p>
            <w:pPr>
              <w:pStyle w:val="103"/>
              <w:rPr>
                <w:rFonts w:cs="v4.2.0"/>
              </w:rPr>
            </w:pPr>
            <w:r>
              <w:rPr>
                <w:rFonts w:cs="v4.2.0"/>
              </w:rPr>
              <w:t>7.9B</w:t>
            </w:r>
            <w:r>
              <w:rPr>
                <w:rFonts w:cs="v4.2.0"/>
              </w:rPr>
              <w:tab/>
            </w:r>
            <w:r>
              <w:rPr>
                <w:rFonts w:cs="v4.2.0"/>
              </w:rPr>
              <w:t>Spurious emissions for category NB1 and NB2</w:t>
            </w:r>
          </w:p>
        </w:tc>
        <w:tc>
          <w:tcPr>
            <w:tcW w:w="2864" w:type="dxa"/>
          </w:tcPr>
          <w:p>
            <w:pPr>
              <w:pStyle w:val="103"/>
              <w:spacing w:after="120"/>
              <w:rPr>
                <w:rFonts w:cs="v4.2.0"/>
              </w:rPr>
            </w:pPr>
            <w:r>
              <w:rPr>
                <w:rFonts w:cs="v4.2.0"/>
                <w:lang w:eastAsia="ja-JP"/>
              </w:rPr>
              <w:t xml:space="preserve">Same as clause </w:t>
            </w:r>
            <w:r>
              <w:rPr>
                <w:rFonts w:cs="v4.2.0"/>
              </w:rPr>
              <w:t xml:space="preserve">7.9F </w:t>
            </w:r>
            <w:r>
              <w:rPr>
                <w:rFonts w:cs="v4.2.0"/>
                <w:lang w:eastAsia="ja-JP"/>
              </w:rPr>
              <w:t>in TS 36.521-1 [14].</w:t>
            </w:r>
          </w:p>
        </w:tc>
        <w:tc>
          <w:tcPr>
            <w:tcW w:w="1226" w:type="dxa"/>
          </w:tcPr>
          <w:p>
            <w:pPr>
              <w:pStyle w:val="103"/>
              <w:rPr>
                <w:rFonts w:cs="v4.2.0"/>
              </w:rPr>
            </w:pPr>
            <w:r>
              <w:rPr>
                <w:rFonts w:cs="v4.2.0"/>
                <w:lang w:eastAsia="ja-JP"/>
              </w:rPr>
              <w:t xml:space="preserve">Same as clause </w:t>
            </w:r>
            <w:r>
              <w:rPr>
                <w:rFonts w:cs="v4.2.0"/>
              </w:rPr>
              <w:t xml:space="preserve">7.9F </w:t>
            </w:r>
            <w:r>
              <w:rPr>
                <w:rFonts w:cs="v4.2.0"/>
                <w:lang w:eastAsia="ja-JP"/>
              </w:rPr>
              <w:t>in TS 36.521-1 [14].</w:t>
            </w:r>
          </w:p>
        </w:tc>
        <w:tc>
          <w:tcPr>
            <w:tcW w:w="3250" w:type="dxa"/>
          </w:tcPr>
          <w:p>
            <w:pPr>
              <w:pStyle w:val="103"/>
              <w:spacing w:after="120"/>
              <w:rPr>
                <w:rFonts w:cs="v4.2.0"/>
              </w:rPr>
            </w:pPr>
            <w:r>
              <w:rPr>
                <w:rFonts w:cs="v4.2.0"/>
                <w:lang w:eastAsia="ja-JP"/>
              </w:rPr>
              <w:t xml:space="preserve">Same as clause </w:t>
            </w:r>
            <w:r>
              <w:rPr>
                <w:rFonts w:cs="v4.2.0"/>
              </w:rPr>
              <w:t xml:space="preserve">7.9F </w:t>
            </w:r>
            <w:r>
              <w:rPr>
                <w:rFonts w:cs="v4.2.0"/>
                <w:lang w:eastAsia="ja-JP"/>
              </w:rPr>
              <w:t>in TS 36.521-1 [14].</w:t>
            </w:r>
          </w:p>
        </w:tc>
      </w:tr>
    </w:tbl>
    <w:p>
      <w:pPr>
        <w:rPr>
          <w:lang w:eastAsia="ja-JP"/>
        </w:rPr>
      </w:pPr>
    </w:p>
    <w:p>
      <w:pPr>
        <w:pStyle w:val="4"/>
      </w:pPr>
      <w:bookmarkStart w:id="2395" w:name="_Toc232582185"/>
      <w:bookmarkStart w:id="2396" w:name="_Toc17802"/>
      <w:bookmarkStart w:id="2397" w:name="_Toc12382"/>
      <w:bookmarkStart w:id="2398" w:name="_Toc12729"/>
      <w:bookmarkStart w:id="2399" w:name="_Toc32312"/>
      <w:bookmarkStart w:id="2400" w:name="_Toc20693"/>
      <w:r>
        <w:t>F.3.4</w:t>
      </w:r>
      <w:r>
        <w:tab/>
      </w:r>
      <w:r>
        <w:rPr>
          <w:lang w:eastAsia="sv-SE"/>
        </w:rPr>
        <w:t xml:space="preserve">Measurement of </w:t>
      </w:r>
      <w:r>
        <w:t>performance requirements</w:t>
      </w:r>
      <w:bookmarkEnd w:id="2395"/>
      <w:bookmarkEnd w:id="2396"/>
      <w:bookmarkEnd w:id="2397"/>
      <w:bookmarkEnd w:id="2398"/>
      <w:bookmarkEnd w:id="2399"/>
      <w:bookmarkEnd w:id="2400"/>
    </w:p>
    <w:p>
      <w:pPr>
        <w:pStyle w:val="113"/>
      </w:pPr>
      <w:r>
        <w:t>Table F.3.4-1: Derivation of Test Requirements (performance tests)</w:t>
      </w:r>
    </w:p>
    <w:tbl>
      <w:tblPr>
        <w:tblStyle w:val="89"/>
        <w:tblW w:w="96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8"/>
        <w:gridCol w:w="2827"/>
        <w:gridCol w:w="1298"/>
        <w:gridCol w:w="31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8" w:type="dxa"/>
          </w:tcPr>
          <w:p>
            <w:pPr>
              <w:pStyle w:val="104"/>
              <w:rPr>
                <w:lang w:eastAsia="zh-CN"/>
              </w:rPr>
            </w:pPr>
            <w:r>
              <w:rPr>
                <w:lang w:eastAsia="zh-CN"/>
              </w:rPr>
              <w:t>Test</w:t>
            </w:r>
          </w:p>
        </w:tc>
        <w:tc>
          <w:tcPr>
            <w:tcW w:w="2827" w:type="dxa"/>
          </w:tcPr>
          <w:p>
            <w:pPr>
              <w:pStyle w:val="104"/>
              <w:rPr>
                <w:lang w:eastAsia="zh-CN"/>
              </w:rPr>
            </w:pPr>
            <w:r>
              <w:rPr>
                <w:lang w:eastAsia="zh-CN"/>
              </w:rPr>
              <w:t>Minimum Requirement in TS 36.10</w:t>
            </w:r>
            <w:r>
              <w:rPr>
                <w:rFonts w:hint="eastAsia"/>
                <w:lang w:val="en-US" w:eastAsia="zh-CN"/>
              </w:rPr>
              <w:t>2</w:t>
            </w:r>
          </w:p>
        </w:tc>
        <w:tc>
          <w:tcPr>
            <w:tcW w:w="1298" w:type="dxa"/>
          </w:tcPr>
          <w:p>
            <w:pPr>
              <w:pStyle w:val="104"/>
              <w:rPr>
                <w:lang w:eastAsia="zh-CN"/>
              </w:rPr>
            </w:pPr>
            <w:r>
              <w:rPr>
                <w:lang w:eastAsia="zh-CN"/>
              </w:rPr>
              <w:t>Test Tolerance</w:t>
            </w:r>
            <w:r>
              <w:rPr>
                <w:lang w:eastAsia="zh-CN"/>
              </w:rPr>
              <w:br w:type="textWrapping"/>
            </w:r>
            <w:r>
              <w:rPr>
                <w:lang w:eastAsia="zh-CN"/>
              </w:rPr>
              <w:t>(TT)</w:t>
            </w:r>
          </w:p>
        </w:tc>
        <w:tc>
          <w:tcPr>
            <w:tcW w:w="3144" w:type="dxa"/>
          </w:tcPr>
          <w:p>
            <w:pPr>
              <w:pStyle w:val="104"/>
              <w:rPr>
                <w:lang w:eastAsia="zh-CN"/>
              </w:rPr>
            </w:pPr>
            <w:r>
              <w:rPr>
                <w:lang w:eastAsia="zh-CN"/>
              </w:rPr>
              <w:t>Test Requirement in TS 36.521-1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8" w:type="dxa"/>
          </w:tcPr>
          <w:p>
            <w:pPr>
              <w:pStyle w:val="103"/>
            </w:pPr>
            <w:r>
              <w:rPr>
                <w:rFonts w:hint="eastAsia"/>
                <w:lang w:eastAsia="zh-CN"/>
              </w:rPr>
              <w:t>8.2.1.1.1</w:t>
            </w:r>
            <w:r>
              <w:rPr>
                <w:rFonts w:hint="eastAsia"/>
                <w:lang w:val="en-US" w:eastAsia="zh-CN"/>
              </w:rPr>
              <w:t xml:space="preserve"> </w:t>
            </w:r>
            <w:r>
              <w:rPr>
                <w:rFonts w:hint="eastAsia"/>
                <w:lang w:eastAsia="zh-CN"/>
              </w:rPr>
              <w:t>PDSCH in standalone mode for UE category M1</w:t>
            </w:r>
            <w:r>
              <w:rPr>
                <w:rFonts w:hint="eastAsia"/>
                <w:lang w:val="en-US" w:eastAsia="zh-CN"/>
              </w:rPr>
              <w:t xml:space="preserve"> </w:t>
            </w:r>
            <w:r>
              <w:rPr>
                <w:rFonts w:hint="eastAsia"/>
                <w:lang w:eastAsia="zh-CN"/>
              </w:rPr>
              <w:t>under NTN fading conditions</w:t>
            </w:r>
          </w:p>
        </w:tc>
        <w:tc>
          <w:tcPr>
            <w:tcW w:w="2827" w:type="dxa"/>
          </w:tcPr>
          <w:p>
            <w:pPr>
              <w:pStyle w:val="103"/>
              <w:rPr>
                <w:rFonts w:eastAsiaTheme="minorEastAsia"/>
                <w:lang w:val="en-US" w:eastAsia="zh-CN"/>
              </w:rPr>
            </w:pPr>
            <w:r>
              <w:rPr>
                <w:rFonts w:hint="eastAsia"/>
                <w:lang w:val="en-US" w:eastAsia="zh-CN"/>
              </w:rPr>
              <w:t>SNRs as specified in clause 8.2.1.1.1</w:t>
            </w:r>
          </w:p>
        </w:tc>
        <w:tc>
          <w:tcPr>
            <w:tcW w:w="1298" w:type="dxa"/>
          </w:tcPr>
          <w:p>
            <w:pPr>
              <w:pStyle w:val="103"/>
              <w:rPr>
                <w:rFonts w:eastAsiaTheme="minorEastAsia"/>
                <w:lang w:val="en-US" w:eastAsia="zh-CN"/>
              </w:rPr>
            </w:pPr>
            <w:r>
              <w:rPr>
                <w:lang w:eastAsia="ja-JP"/>
              </w:rPr>
              <w:t>0.8 dB</w:t>
            </w:r>
          </w:p>
        </w:tc>
        <w:tc>
          <w:tcPr>
            <w:tcW w:w="3144" w:type="dxa"/>
          </w:tcPr>
          <w:p>
            <w:pPr>
              <w:pStyle w:val="103"/>
            </w:pPr>
            <w:r>
              <w:t>Formula: SNR + TT</w:t>
            </w:r>
          </w:p>
          <w:p>
            <w:pPr>
              <w:pStyle w:val="103"/>
              <w:rPr>
                <w:rFonts w:eastAsiaTheme="minorEastAsia"/>
                <w:lang w:val="en-US" w:eastAsia="zh-CN"/>
              </w:rPr>
            </w:pPr>
            <w:r>
              <w:t>T-put limit unchanged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8" w:type="dxa"/>
          </w:tcPr>
          <w:p>
            <w:pPr>
              <w:pStyle w:val="103"/>
            </w:pPr>
            <w:r>
              <w:rPr>
                <w:rFonts w:hint="eastAsia"/>
                <w:lang w:eastAsia="zh-CN"/>
              </w:rPr>
              <w:t>8.3.1.1.1</w:t>
            </w:r>
            <w:r>
              <w:rPr>
                <w:rFonts w:hint="eastAsia"/>
                <w:lang w:val="en-US" w:eastAsia="zh-CN"/>
              </w:rPr>
              <w:t xml:space="preserve"> </w:t>
            </w:r>
            <w:r>
              <w:rPr>
                <w:rFonts w:hint="eastAsia"/>
                <w:lang w:eastAsia="zh-CN"/>
              </w:rPr>
              <w:t>Demodulation of NPDSCH (Cell-Specific Reference Symbols) in standalone mode for category NB1 and NB2 under NTN fading conditions</w:t>
            </w:r>
          </w:p>
        </w:tc>
        <w:tc>
          <w:tcPr>
            <w:tcW w:w="2827" w:type="dxa"/>
          </w:tcPr>
          <w:p>
            <w:pPr>
              <w:pStyle w:val="103"/>
            </w:pPr>
            <w:r>
              <w:rPr>
                <w:rFonts w:cs="v4.2.0"/>
                <w:bCs/>
                <w:lang w:eastAsia="ja-JP"/>
              </w:rPr>
              <w:t xml:space="preserve">Same as clause </w:t>
            </w:r>
            <w:r>
              <w:t>8.3.1.1.1</w:t>
            </w:r>
            <w:r>
              <w:rPr>
                <w:rFonts w:cs="v4.2.0"/>
                <w:bCs/>
                <w:lang w:eastAsia="ja-JP"/>
              </w:rPr>
              <w:t>.</w:t>
            </w:r>
          </w:p>
        </w:tc>
        <w:tc>
          <w:tcPr>
            <w:tcW w:w="1298" w:type="dxa"/>
          </w:tcPr>
          <w:p>
            <w:pPr>
              <w:pStyle w:val="103"/>
            </w:pPr>
            <w:r>
              <w:rPr>
                <w:rFonts w:cs="v4.2.0"/>
                <w:bCs/>
                <w:lang w:eastAsia="ja-JP"/>
              </w:rPr>
              <w:t xml:space="preserve">Same as clause </w:t>
            </w:r>
            <w:r>
              <w:rPr>
                <w:rFonts w:cs="v4.2.0"/>
                <w:bCs/>
              </w:rPr>
              <w:t xml:space="preserve">8.12.1.1.2 </w:t>
            </w:r>
            <w:r>
              <w:rPr>
                <w:rFonts w:cs="v4.2.0"/>
                <w:bCs/>
                <w:lang w:eastAsia="ja-JP"/>
              </w:rPr>
              <w:t>in TS 36.521-1 [14].</w:t>
            </w:r>
          </w:p>
        </w:tc>
        <w:tc>
          <w:tcPr>
            <w:tcW w:w="3144" w:type="dxa"/>
          </w:tcPr>
          <w:p>
            <w:pPr>
              <w:pStyle w:val="103"/>
            </w:pPr>
            <w:r>
              <w:rPr>
                <w:rFonts w:cs="v4.2.0"/>
                <w:bCs/>
                <w:lang w:eastAsia="ja-JP"/>
              </w:rPr>
              <w:t xml:space="preserve">Same as clause </w:t>
            </w:r>
            <w:r>
              <w:rPr>
                <w:rFonts w:cs="v4.2.0"/>
                <w:bCs/>
              </w:rPr>
              <w:t xml:space="preserve">8.12.1.1.2 </w:t>
            </w:r>
            <w:r>
              <w:rPr>
                <w:rFonts w:cs="v4.2.0"/>
                <w:bCs/>
                <w:lang w:eastAsia="ja-JP"/>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8" w:type="dxa"/>
          </w:tcPr>
          <w:p>
            <w:pPr>
              <w:pStyle w:val="103"/>
            </w:pPr>
            <w:r>
              <w:rPr>
                <w:rFonts w:hint="eastAsia"/>
                <w:lang w:eastAsia="zh-CN"/>
              </w:rPr>
              <w:t>8.3.1.1.2</w:t>
            </w:r>
            <w:r>
              <w:rPr>
                <w:rFonts w:hint="eastAsia"/>
                <w:lang w:val="en-US" w:eastAsia="zh-CN"/>
              </w:rPr>
              <w:t xml:space="preserve"> </w:t>
            </w:r>
            <w:r>
              <w:rPr>
                <w:rFonts w:hint="eastAsia"/>
                <w:lang w:eastAsia="zh-CN"/>
              </w:rPr>
              <w:t>Demodulation of NPDSCH (Cell-Specific Reference Symbols) in standalone mode for category NB1 and NB2</w:t>
            </w:r>
          </w:p>
        </w:tc>
        <w:tc>
          <w:tcPr>
            <w:tcW w:w="2827" w:type="dxa"/>
          </w:tcPr>
          <w:p>
            <w:pPr>
              <w:pStyle w:val="103"/>
              <w:rPr>
                <w:rFonts w:eastAsiaTheme="minorEastAsia"/>
                <w:lang w:val="en-US" w:eastAsia="zh-CN"/>
              </w:rPr>
            </w:pPr>
            <w:r>
              <w:rPr>
                <w:rFonts w:cs="Arial"/>
                <w:lang w:eastAsia="ja-JP"/>
              </w:rPr>
              <w:t>SNRs as specified</w:t>
            </w:r>
            <w:r>
              <w:rPr>
                <w:rFonts w:hint="eastAsia" w:cs="Arial"/>
                <w:lang w:val="en-US" w:eastAsia="zh-CN"/>
              </w:rPr>
              <w:t xml:space="preserve"> in </w:t>
            </w:r>
            <w:r>
              <w:rPr>
                <w:rFonts w:hint="eastAsia"/>
                <w:lang w:val="en-US" w:eastAsia="zh-CN"/>
              </w:rPr>
              <w:t>clause 8.12.1.1.2 in TS 36.</w:t>
            </w:r>
            <w:r>
              <w:rPr>
                <w:highlight w:val="none"/>
                <w:lang w:val="en-US" w:eastAsia="zh-CN"/>
              </w:rPr>
              <w:t>521-1 [14]</w:t>
            </w:r>
          </w:p>
        </w:tc>
        <w:tc>
          <w:tcPr>
            <w:tcW w:w="1298" w:type="dxa"/>
          </w:tcPr>
          <w:p>
            <w:pPr>
              <w:pStyle w:val="103"/>
            </w:pPr>
            <w:r>
              <w:rPr>
                <w:rFonts w:hint="eastAsia"/>
              </w:rPr>
              <w:t>Same as clause 8.12.1.1.2 in TS 36.521-1 [14]</w:t>
            </w:r>
          </w:p>
        </w:tc>
        <w:tc>
          <w:tcPr>
            <w:tcW w:w="3144" w:type="dxa"/>
          </w:tcPr>
          <w:p>
            <w:pPr>
              <w:pStyle w:val="103"/>
            </w:pPr>
            <w:r>
              <w:rPr>
                <w:rFonts w:hint="eastAsia"/>
              </w:rPr>
              <w:t>Same as clause 8.12.</w:t>
            </w:r>
            <w:r>
              <w:rPr>
                <w:rFonts w:hint="eastAsia"/>
                <w:lang w:val="en-US" w:eastAsia="zh-CN"/>
              </w:rPr>
              <w:t>1</w:t>
            </w:r>
            <w:r>
              <w:rPr>
                <w:rFonts w:hint="eastAsia"/>
              </w:rPr>
              <w:t>.1.</w:t>
            </w:r>
            <w:r>
              <w:rPr>
                <w:rFonts w:hint="eastAsia"/>
                <w:lang w:val="en-US" w:eastAsia="zh-CN"/>
              </w:rPr>
              <w:t xml:space="preserve">2 </w:t>
            </w:r>
            <w:r>
              <w:rPr>
                <w:rFonts w:hint="eastAsia"/>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8" w:type="dxa"/>
          </w:tcPr>
          <w:p>
            <w:pPr>
              <w:pStyle w:val="103"/>
            </w:pPr>
            <w:r>
              <w:rPr>
                <w:rFonts w:hint="eastAsia"/>
                <w:lang w:eastAsia="zh-CN"/>
              </w:rPr>
              <w:t>8.3.1.1.3</w:t>
            </w:r>
            <w:r>
              <w:rPr>
                <w:rFonts w:hint="eastAsia"/>
                <w:lang w:val="en-US" w:eastAsia="zh-CN"/>
              </w:rPr>
              <w:t xml:space="preserve"> </w:t>
            </w:r>
            <w:r>
              <w:rPr>
                <w:rFonts w:hint="eastAsia"/>
                <w:lang w:eastAsia="zh-CN"/>
              </w:rPr>
              <w:t>Demodulation of NPDSCH (Cell-Specific Reference Symbols) in standalone for NB2</w:t>
            </w:r>
          </w:p>
        </w:tc>
        <w:tc>
          <w:tcPr>
            <w:tcW w:w="2827" w:type="dxa"/>
          </w:tcPr>
          <w:p>
            <w:pPr>
              <w:pStyle w:val="103"/>
            </w:pPr>
            <w:r>
              <w:rPr>
                <w:rFonts w:cs="Arial"/>
                <w:lang w:eastAsia="ja-JP"/>
              </w:rPr>
              <w:t>SNRs as specified</w:t>
            </w:r>
            <w:r>
              <w:rPr>
                <w:rFonts w:hint="eastAsia" w:cs="Arial"/>
                <w:lang w:val="en-US" w:eastAsia="zh-CN"/>
              </w:rPr>
              <w:t xml:space="preserve"> in </w:t>
            </w:r>
            <w:r>
              <w:rPr>
                <w:rFonts w:hint="eastAsia"/>
                <w:lang w:val="en-US" w:eastAsia="zh-CN"/>
              </w:rPr>
              <w:t>clause 8.12.1.1.3 in TS 36.</w:t>
            </w:r>
            <w:r>
              <w:rPr>
                <w:highlight w:val="none"/>
                <w:lang w:val="en-US" w:eastAsia="zh-CN"/>
              </w:rPr>
              <w:t>521-1 [14]</w:t>
            </w:r>
          </w:p>
        </w:tc>
        <w:tc>
          <w:tcPr>
            <w:tcW w:w="1298" w:type="dxa"/>
          </w:tcPr>
          <w:p>
            <w:pPr>
              <w:pStyle w:val="103"/>
            </w:pPr>
            <w:r>
              <w:rPr>
                <w:rFonts w:hint="eastAsia"/>
              </w:rPr>
              <w:t>Same as clause 8.12.1.1.</w:t>
            </w:r>
            <w:r>
              <w:rPr>
                <w:rFonts w:hint="eastAsia"/>
                <w:lang w:val="en-US" w:eastAsia="zh-CN"/>
              </w:rPr>
              <w:t xml:space="preserve">3 </w:t>
            </w:r>
            <w:r>
              <w:rPr>
                <w:rFonts w:hint="eastAsia"/>
              </w:rPr>
              <w:t>in TS 36.521-1 [14]</w:t>
            </w:r>
          </w:p>
        </w:tc>
        <w:tc>
          <w:tcPr>
            <w:tcW w:w="3144" w:type="dxa"/>
          </w:tcPr>
          <w:p>
            <w:pPr>
              <w:pStyle w:val="103"/>
            </w:pPr>
            <w:r>
              <w:rPr>
                <w:rFonts w:hint="eastAsia"/>
              </w:rPr>
              <w:t>Same as clause 8.12.</w:t>
            </w:r>
            <w:r>
              <w:rPr>
                <w:rFonts w:hint="eastAsia"/>
                <w:lang w:val="en-US" w:eastAsia="zh-CN"/>
              </w:rPr>
              <w:t>1</w:t>
            </w:r>
            <w:r>
              <w:rPr>
                <w:rFonts w:hint="eastAsia"/>
              </w:rPr>
              <w:t>.1.</w:t>
            </w:r>
            <w:r>
              <w:rPr>
                <w:rFonts w:hint="eastAsia"/>
                <w:lang w:val="en-US" w:eastAsia="zh-CN"/>
              </w:rPr>
              <w:t xml:space="preserve">3 </w:t>
            </w:r>
            <w:r>
              <w:rPr>
                <w:rFonts w:hint="eastAsia"/>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8" w:type="dxa"/>
          </w:tcPr>
          <w:p>
            <w:pPr>
              <w:pStyle w:val="103"/>
            </w:pPr>
            <w:r>
              <w:rPr>
                <w:rFonts w:hint="eastAsia"/>
                <w:lang w:eastAsia="zh-CN"/>
              </w:rPr>
              <w:t>8.3.1.2.1</w:t>
            </w:r>
            <w:r>
              <w:rPr>
                <w:rFonts w:hint="eastAsia"/>
                <w:lang w:val="en-US" w:eastAsia="zh-CN"/>
              </w:rPr>
              <w:t xml:space="preserve"> </w:t>
            </w:r>
            <w:r>
              <w:rPr>
                <w:rFonts w:hint="eastAsia"/>
                <w:lang w:eastAsia="zh-CN"/>
              </w:rPr>
              <w:t>Demodulation of NPDCCH single-antenna performance for category NB1 and NB2</w:t>
            </w:r>
          </w:p>
        </w:tc>
        <w:tc>
          <w:tcPr>
            <w:tcW w:w="2827" w:type="dxa"/>
          </w:tcPr>
          <w:p>
            <w:pPr>
              <w:pStyle w:val="103"/>
            </w:pPr>
            <w:r>
              <w:rPr>
                <w:rFonts w:cs="Arial"/>
                <w:lang w:eastAsia="ja-JP"/>
              </w:rPr>
              <w:t>SNRs as specified</w:t>
            </w:r>
            <w:r>
              <w:rPr>
                <w:rFonts w:hint="eastAsia" w:cs="Arial"/>
                <w:lang w:val="en-US" w:eastAsia="zh-CN"/>
              </w:rPr>
              <w:t xml:space="preserve"> in </w:t>
            </w:r>
            <w:r>
              <w:rPr>
                <w:rFonts w:hint="eastAsia"/>
                <w:lang w:val="en-US" w:eastAsia="zh-CN"/>
              </w:rPr>
              <w:t>clause 8.12.2.1.1 in TS 36.</w:t>
            </w:r>
            <w:r>
              <w:rPr>
                <w:highlight w:val="none"/>
                <w:lang w:val="en-US" w:eastAsia="zh-CN"/>
              </w:rPr>
              <w:t>521-1 [14]</w:t>
            </w:r>
          </w:p>
        </w:tc>
        <w:tc>
          <w:tcPr>
            <w:tcW w:w="1298" w:type="dxa"/>
          </w:tcPr>
          <w:p>
            <w:pPr>
              <w:pStyle w:val="103"/>
            </w:pPr>
            <w:r>
              <w:rPr>
                <w:rFonts w:hint="eastAsia"/>
              </w:rPr>
              <w:t>Same as clause 8.12.2.1.1</w:t>
            </w:r>
            <w:r>
              <w:rPr>
                <w:rFonts w:hint="eastAsia"/>
                <w:lang w:val="en-US" w:eastAsia="zh-CN"/>
              </w:rPr>
              <w:t xml:space="preserve"> </w:t>
            </w:r>
            <w:r>
              <w:rPr>
                <w:rFonts w:hint="eastAsia"/>
              </w:rPr>
              <w:t>in TS 36.521-1 [14]</w:t>
            </w:r>
          </w:p>
        </w:tc>
        <w:tc>
          <w:tcPr>
            <w:tcW w:w="3144" w:type="dxa"/>
            <w:tcBorders>
              <w:bottom w:val="single" w:color="auto" w:sz="4" w:space="0"/>
            </w:tcBorders>
          </w:tcPr>
          <w:p>
            <w:pPr>
              <w:pStyle w:val="103"/>
            </w:pPr>
            <w:r>
              <w:rPr>
                <w:rFonts w:hint="eastAsia"/>
              </w:rPr>
              <w:t>Same as clause 8.12.2.1.1</w:t>
            </w:r>
            <w:r>
              <w:rPr>
                <w:rFonts w:hint="eastAsia"/>
                <w:lang w:val="en-US" w:eastAsia="zh-CN"/>
              </w:rPr>
              <w:t xml:space="preserve"> </w:t>
            </w:r>
            <w:r>
              <w:rPr>
                <w:rFonts w:hint="eastAsia"/>
              </w:rPr>
              <w:t>in TS 36.521-1 [14]</w:t>
            </w:r>
          </w:p>
        </w:tc>
      </w:tr>
    </w:tbl>
    <w:p/>
    <w:p>
      <w:pPr>
        <w:pStyle w:val="11"/>
      </w:pPr>
      <w:bookmarkStart w:id="2401" w:name="_Toc232582186"/>
      <w:bookmarkStart w:id="2402" w:name="_Toc12868"/>
      <w:bookmarkStart w:id="2403" w:name="_Toc10564"/>
      <w:bookmarkStart w:id="2404" w:name="_Toc23943"/>
      <w:bookmarkStart w:id="2405" w:name="_Toc23621"/>
      <w:bookmarkStart w:id="2406" w:name="_Toc23612"/>
      <w:r>
        <w:t>Annex G (no</w:t>
      </w:r>
      <w:r>
        <w:rPr>
          <w:lang w:eastAsia="en-GB"/>
        </w:rPr>
        <w:t>rmative</w:t>
      </w:r>
      <w:r>
        <w:t>):</w:t>
      </w:r>
      <w:r>
        <w:br w:type="textWrapping"/>
      </w:r>
      <w:r>
        <w:rPr>
          <w:rFonts w:cs="v4.2.0"/>
        </w:rPr>
        <w:t>Statistical Testing</w:t>
      </w:r>
      <w:bookmarkEnd w:id="2401"/>
      <w:bookmarkEnd w:id="2402"/>
      <w:bookmarkEnd w:id="2403"/>
      <w:bookmarkEnd w:id="2404"/>
      <w:bookmarkEnd w:id="2405"/>
      <w:bookmarkEnd w:id="2406"/>
    </w:p>
    <w:p>
      <w:pPr>
        <w:pStyle w:val="3"/>
      </w:pPr>
      <w:bookmarkStart w:id="2407" w:name="_Toc26971"/>
      <w:bookmarkStart w:id="2408" w:name="_Toc22618"/>
      <w:bookmarkStart w:id="2409" w:name="_Toc9518"/>
      <w:bookmarkStart w:id="2410" w:name="_Toc232582187"/>
      <w:bookmarkStart w:id="2411" w:name="_Toc30509"/>
      <w:bookmarkStart w:id="2412" w:name="_Toc32557"/>
      <w:r>
        <w:t>G.1</w:t>
      </w:r>
      <w:r>
        <w:tab/>
      </w:r>
      <w:r>
        <w:t>General</w:t>
      </w:r>
      <w:bookmarkEnd w:id="2407"/>
      <w:bookmarkEnd w:id="2408"/>
      <w:bookmarkEnd w:id="2409"/>
      <w:bookmarkEnd w:id="2410"/>
      <w:bookmarkEnd w:id="2411"/>
      <w:bookmarkEnd w:id="2412"/>
    </w:p>
    <w:p>
      <w:pPr>
        <w:rPr>
          <w:lang w:eastAsia="ja-JP"/>
        </w:rPr>
      </w:pPr>
      <w:r>
        <w:rPr>
          <w:lang w:eastAsia="ja-JP"/>
        </w:rPr>
        <w:t>FFS.</w:t>
      </w:r>
    </w:p>
    <w:p>
      <w:pPr>
        <w:pStyle w:val="3"/>
      </w:pPr>
      <w:bookmarkStart w:id="2413" w:name="_Toc24882"/>
      <w:bookmarkStart w:id="2414" w:name="_Toc12211"/>
      <w:bookmarkStart w:id="2415" w:name="_Toc21052"/>
      <w:bookmarkStart w:id="2416" w:name="_Toc232582188"/>
      <w:bookmarkStart w:id="2417" w:name="_Toc4597"/>
      <w:bookmarkStart w:id="2418" w:name="_Toc13869"/>
      <w:r>
        <w:t>G.2</w:t>
      </w:r>
      <w:r>
        <w:tab/>
      </w:r>
      <w:r>
        <w:t>Statistical testing of receiver characteristics</w:t>
      </w:r>
      <w:bookmarkEnd w:id="2413"/>
      <w:bookmarkEnd w:id="2414"/>
      <w:bookmarkEnd w:id="2415"/>
      <w:bookmarkEnd w:id="2416"/>
      <w:bookmarkEnd w:id="2417"/>
      <w:bookmarkEnd w:id="2418"/>
    </w:p>
    <w:p>
      <w:pPr>
        <w:pStyle w:val="4"/>
      </w:pPr>
      <w:bookmarkStart w:id="2419" w:name="_Toc9111"/>
      <w:bookmarkStart w:id="2420" w:name="_Toc21922"/>
      <w:bookmarkStart w:id="2421" w:name="_Toc29968"/>
      <w:bookmarkStart w:id="2422" w:name="_Toc13906"/>
      <w:bookmarkStart w:id="2423" w:name="_Toc15995"/>
      <w:bookmarkStart w:id="2424" w:name="_Toc232582189"/>
      <w:r>
        <w:t>G.2.1</w:t>
      </w:r>
      <w:r>
        <w:tab/>
      </w:r>
      <w:r>
        <w:t>General</w:t>
      </w:r>
      <w:bookmarkEnd w:id="2419"/>
      <w:bookmarkEnd w:id="2420"/>
      <w:bookmarkEnd w:id="2421"/>
      <w:bookmarkEnd w:id="2422"/>
      <w:bookmarkEnd w:id="2423"/>
      <w:bookmarkEnd w:id="2424"/>
    </w:p>
    <w:p>
      <w:r>
        <w:t>The test of receiver characteristics is two fold.</w:t>
      </w:r>
    </w:p>
    <w:p>
      <w:pPr>
        <w:pStyle w:val="111"/>
      </w:pPr>
      <w:r>
        <w:t>1.</w:t>
      </w:r>
      <w:r>
        <w:tab/>
      </w:r>
      <w:r>
        <w:t>A signal or a combination of signals is offered to the RX port(s) of the receiver.</w:t>
      </w:r>
    </w:p>
    <w:p>
      <w:pPr>
        <w:pStyle w:val="111"/>
      </w:pPr>
      <w:r>
        <w:t>2.</w:t>
      </w:r>
      <w:r>
        <w:tab/>
      </w:r>
      <w:r>
        <w:t>The ability of the receiver to demodulate /decode this signal is verified by measuring the throughput.</w:t>
      </w:r>
    </w:p>
    <w:p>
      <w:r>
        <w:t>In (2) is the statistical aspect of the test and is treated here.</w:t>
      </w:r>
    </w:p>
    <w:p>
      <w:r>
        <w:t>The minimum requirement for all receiver tests is &gt;95% of the maximum throughput.</w:t>
      </w:r>
    </w:p>
    <w:p>
      <w:r>
        <w:t xml:space="preserve">All receiver tests are performed in static propagation conditions. No fading conditions are applied. </w:t>
      </w:r>
    </w:p>
    <w:p>
      <w:pPr>
        <w:pStyle w:val="4"/>
      </w:pPr>
      <w:bookmarkStart w:id="2425" w:name="_Toc11518"/>
      <w:bookmarkStart w:id="2426" w:name="_Toc232582190"/>
      <w:bookmarkStart w:id="2427" w:name="_Toc2336"/>
      <w:bookmarkStart w:id="2428" w:name="_Toc5911"/>
      <w:bookmarkStart w:id="2429" w:name="_Toc4446"/>
      <w:bookmarkStart w:id="2430" w:name="_Toc32654"/>
      <w:r>
        <w:t>G.2.2</w:t>
      </w:r>
      <w:r>
        <w:tab/>
      </w:r>
      <w:r>
        <w:t>Mapping throughput to error ratio</w:t>
      </w:r>
      <w:bookmarkEnd w:id="2425"/>
      <w:bookmarkEnd w:id="2426"/>
      <w:bookmarkEnd w:id="2427"/>
      <w:bookmarkEnd w:id="2428"/>
      <w:bookmarkEnd w:id="2429"/>
      <w:bookmarkEnd w:id="2430"/>
    </w:p>
    <w:p>
      <w:pPr>
        <w:pStyle w:val="111"/>
      </w:pPr>
      <w:r>
        <w:t>a)</w:t>
      </w:r>
      <w:r>
        <w:tab/>
      </w:r>
      <w:r>
        <w:t>The measured information bit throughput R is defined as the sum (in kilobits) of the information bit payloads successfully received during the test interval, divided by the duration of the test interval (in seconds).</w:t>
      </w:r>
    </w:p>
    <w:p>
      <w:pPr>
        <w:pStyle w:val="111"/>
      </w:pPr>
      <w:r>
        <w:t>b)</w:t>
      </w:r>
      <w:r>
        <w:tab/>
      </w:r>
      <w:r>
        <w:t>In measurement practice the UE indicates successfully received information bit payload by signalling an ACK to the SS.</w:t>
      </w:r>
      <w:r>
        <w:br w:type="textWrapping"/>
      </w:r>
      <w:r>
        <w:t>If payload is received, but damaged and cannot be decoded, the UE signals a NACK.</w:t>
      </w:r>
    </w:p>
    <w:p>
      <w:pPr>
        <w:pStyle w:val="111"/>
      </w:pPr>
      <w:r>
        <w:t>c)</w:t>
      </w:r>
      <w:r>
        <w:tab/>
      </w:r>
      <w:r>
        <w:t>Only the ACK and NACK signals, not the data bits received, are accessible to the SS.</w:t>
      </w:r>
      <w:r>
        <w:br w:type="textWrapping"/>
      </w:r>
      <w:r>
        <w:t>The number of bits is known in the SS from knowledge of what payload was sent.</w:t>
      </w:r>
    </w:p>
    <w:p>
      <w:pPr>
        <w:pStyle w:val="111"/>
      </w:pPr>
      <w:r>
        <w:t>d)</w:t>
      </w:r>
      <w:r>
        <w:tab/>
      </w:r>
      <w:r>
        <w:t>For the reference measurement channel, applied for testing, the number of bits is different in different subframes, however in a radio frame it is fixed during one test.</w:t>
      </w:r>
    </w:p>
    <w:p>
      <w:pPr>
        <w:pStyle w:val="111"/>
      </w:pPr>
      <w:r>
        <w:t>e)</w:t>
      </w:r>
      <w:r>
        <w:tab/>
      </w:r>
      <w:r>
        <w:t>The time in the measurement interval is composed of successfully received subframes (ACK), unsuccessfully received subframes (NACK) and no reception at all (DTX-subframes).</w:t>
      </w:r>
    </w:p>
    <w:p>
      <w:pPr>
        <w:pStyle w:val="111"/>
      </w:pPr>
      <w:r>
        <w:t>f)</w:t>
      </w:r>
      <w:r>
        <w:tab/>
      </w:r>
      <w:r>
        <w:t>DTX-subframes may occur regularly according the applicable reference measurement channel (regDTX).</w:t>
      </w:r>
      <w:r>
        <w:br w:type="textWrapping"/>
      </w:r>
      <w:r>
        <w:t>In real live networks this is the time when other UEs are served. In TDD these are the UL and special subframes.</w:t>
      </w:r>
      <w:r>
        <w:br w:type="textWrapping"/>
      </w:r>
      <w:r>
        <w:t>regDTX vary from test to test but are fixed within the test.</w:t>
      </w:r>
    </w:p>
    <w:p>
      <w:pPr>
        <w:pStyle w:val="111"/>
      </w:pPr>
      <w:r>
        <w:t>g)</w:t>
      </w:r>
      <w:r>
        <w:tab/>
      </w:r>
      <w:r>
        <w:t>Additional DTX-subframes occur statistically when the UE is not responding ACK or NACK where it should. (statDTX)</w:t>
      </w:r>
      <w:r>
        <w:br w:type="textWrapping"/>
      </w:r>
      <w:r>
        <w:t>This may happen when the UE was not expecting data or decided that the data were not intended for it.</w:t>
      </w:r>
    </w:p>
    <w:p>
      <w:r>
        <w:t>The pass / fail decision is done by observing the:</w:t>
      </w:r>
    </w:p>
    <w:p>
      <w:pPr>
        <w:pStyle w:val="111"/>
      </w:pPr>
      <w:r>
        <w:t>-</w:t>
      </w:r>
      <w:r>
        <w:tab/>
      </w:r>
      <w:r>
        <w:t>number of NACKs</w:t>
      </w:r>
    </w:p>
    <w:p>
      <w:pPr>
        <w:pStyle w:val="111"/>
      </w:pPr>
      <w:r>
        <w:t>-</w:t>
      </w:r>
      <w:r>
        <w:tab/>
      </w:r>
      <w:r>
        <w:t>number of ACKs and</w:t>
      </w:r>
    </w:p>
    <w:p>
      <w:pPr>
        <w:pStyle w:val="111"/>
      </w:pPr>
      <w:r>
        <w:t>-</w:t>
      </w:r>
      <w:r>
        <w:tab/>
      </w:r>
      <w:r>
        <w:t>number of statDTXs (regDTX is implicitly known to the SS)</w:t>
      </w:r>
    </w:p>
    <w:p>
      <w:r>
        <w:t xml:space="preserve">The ratio </w:t>
      </w:r>
      <w:r>
        <w:rPr>
          <w:rFonts w:ascii="Courier New" w:hAnsi="Courier New"/>
          <w:sz w:val="18"/>
          <w:szCs w:val="18"/>
        </w:rPr>
        <w:t>(NACK + statDTX)/(NACK+ statDTX + ACK)</w:t>
      </w:r>
      <w:r>
        <w:t>is the Error Ratio (ER). Taking into account the time consumed by the ACK, NACK, and DTX-TTIs (regular and statistical), ER can be mapped unambiguously to throughput for any single reference measurement channel test.</w:t>
      </w:r>
    </w:p>
    <w:p>
      <w:pPr>
        <w:pStyle w:val="4"/>
      </w:pPr>
      <w:bookmarkStart w:id="2431" w:name="_Toc13789"/>
      <w:bookmarkStart w:id="2432" w:name="_Toc25717"/>
      <w:bookmarkStart w:id="2433" w:name="_Toc4875"/>
      <w:bookmarkStart w:id="2434" w:name="_Toc17229"/>
      <w:bookmarkStart w:id="2435" w:name="_Toc232582191"/>
      <w:bookmarkStart w:id="2436" w:name="_Toc15424"/>
      <w:r>
        <w:t>G.2.3</w:t>
      </w:r>
      <w:r>
        <w:tab/>
      </w:r>
      <w:r>
        <w:t>Design of the test</w:t>
      </w:r>
      <w:bookmarkEnd w:id="2431"/>
      <w:bookmarkEnd w:id="2432"/>
      <w:bookmarkEnd w:id="2433"/>
      <w:bookmarkEnd w:id="2434"/>
      <w:bookmarkEnd w:id="2435"/>
      <w:bookmarkEnd w:id="2436"/>
    </w:p>
    <w:p>
      <w:r>
        <w:t>The test is defined by the following design principles (see clause G.x, Theory….):</w:t>
      </w:r>
    </w:p>
    <w:p>
      <w:pPr>
        <w:pStyle w:val="111"/>
      </w:pPr>
      <w:r>
        <w:t>1.</w:t>
      </w:r>
      <w:r>
        <w:tab/>
      </w:r>
      <w:r>
        <w:t>The early decision concept is applied.</w:t>
      </w:r>
    </w:p>
    <w:p>
      <w:pPr>
        <w:pStyle w:val="111"/>
      </w:pPr>
      <w:r>
        <w:t>2.</w:t>
      </w:r>
      <w:r>
        <w:tab/>
      </w:r>
      <w:r>
        <w:t>A second limit is introduced: Bad DUT factor M&gt;1</w:t>
      </w:r>
    </w:p>
    <w:p>
      <w:pPr>
        <w:pStyle w:val="111"/>
      </w:pPr>
      <w:r>
        <w:t>3.</w:t>
      </w:r>
      <w:r>
        <w:tab/>
      </w:r>
      <w:r>
        <w:t>To decide the test pass:</w:t>
      </w:r>
    </w:p>
    <w:p>
      <w:pPr>
        <w:pStyle w:val="122"/>
      </w:pPr>
      <w:r>
        <w:t>Supplier risk is applied based on the Bad DUT quality</w:t>
      </w:r>
    </w:p>
    <w:p>
      <w:pPr>
        <w:pStyle w:val="122"/>
      </w:pPr>
      <w:r>
        <w:t>To decide the test fail</w:t>
      </w:r>
    </w:p>
    <w:p>
      <w:pPr>
        <w:pStyle w:val="122"/>
      </w:pPr>
      <w:r>
        <w:t>Customer Risk is applied based on the specified DUT quality</w:t>
      </w:r>
    </w:p>
    <w:p>
      <w:r>
        <w:t>The test is defined by the following parameters:</w:t>
      </w:r>
    </w:p>
    <w:p>
      <w:pPr>
        <w:pStyle w:val="111"/>
      </w:pPr>
      <w:r>
        <w:t>1.</w:t>
      </w:r>
      <w:r>
        <w:tab/>
      </w:r>
      <w:r>
        <w:t>Limit ER = 0.05 (Throughput limit = 95%)</w:t>
      </w:r>
    </w:p>
    <w:p>
      <w:pPr>
        <w:pStyle w:val="111"/>
      </w:pPr>
      <w:r>
        <w:t>2.</w:t>
      </w:r>
      <w:r>
        <w:tab/>
      </w:r>
      <w:r>
        <w:t>Bad DUT factor M=1.5 (selectivity)</w:t>
      </w:r>
    </w:p>
    <w:p>
      <w:pPr>
        <w:pStyle w:val="111"/>
      </w:pPr>
      <w:r>
        <w:t>3.</w:t>
      </w:r>
      <w:r>
        <w:tab/>
      </w:r>
      <w:r>
        <w:t>Confidence level CL = 95% (for specified DUT and Bad DUT-quality)</w:t>
      </w:r>
    </w:p>
    <w:p>
      <w:pPr>
        <w:pStyle w:val="4"/>
      </w:pPr>
      <w:bookmarkStart w:id="2437" w:name="_Toc22364"/>
      <w:bookmarkStart w:id="2438" w:name="_Toc23598"/>
      <w:bookmarkStart w:id="2439" w:name="_Toc23017"/>
      <w:bookmarkStart w:id="2440" w:name="_Toc31088"/>
      <w:bookmarkStart w:id="2441" w:name="_Toc17317"/>
      <w:bookmarkStart w:id="2442" w:name="_Toc232582192"/>
      <w:r>
        <w:t>G.2.4</w:t>
      </w:r>
      <w:r>
        <w:tab/>
      </w:r>
      <w:r>
        <w:t>Numerical definition of the pass fail limits</w:t>
      </w:r>
      <w:bookmarkEnd w:id="2437"/>
      <w:bookmarkEnd w:id="2438"/>
      <w:bookmarkEnd w:id="2439"/>
      <w:bookmarkEnd w:id="2440"/>
      <w:bookmarkEnd w:id="2441"/>
      <w:bookmarkEnd w:id="2442"/>
    </w:p>
    <w:p>
      <w:pPr>
        <w:pStyle w:val="113"/>
        <w:rPr>
          <w:lang w:eastAsia="ko-KR"/>
        </w:rPr>
      </w:pPr>
      <w:r>
        <w:t>Table G.2.4-1: pass fail limits</w:t>
      </w:r>
    </w:p>
    <w:tbl>
      <w:tblPr>
        <w:tblStyle w:val="89"/>
        <w:tblW w:w="6854" w:type="dxa"/>
        <w:jc w:val="center"/>
        <w:tblLayout w:type="autofit"/>
        <w:tblCellMar>
          <w:top w:w="0" w:type="dxa"/>
          <w:left w:w="108" w:type="dxa"/>
          <w:bottom w:w="0" w:type="dxa"/>
          <w:right w:w="108" w:type="dxa"/>
        </w:tblCellMar>
      </w:tblPr>
      <w:tblGrid>
        <w:gridCol w:w="427"/>
        <w:gridCol w:w="517"/>
        <w:gridCol w:w="517"/>
        <w:gridCol w:w="427"/>
        <w:gridCol w:w="617"/>
        <w:gridCol w:w="617"/>
        <w:gridCol w:w="517"/>
        <w:gridCol w:w="617"/>
        <w:gridCol w:w="617"/>
        <w:gridCol w:w="697"/>
        <w:gridCol w:w="617"/>
        <w:gridCol w:w="667"/>
      </w:tblGrid>
      <w:tr>
        <w:tblPrEx>
          <w:tblCellMar>
            <w:top w:w="0" w:type="dxa"/>
            <w:left w:w="108" w:type="dxa"/>
            <w:bottom w:w="0" w:type="dxa"/>
            <w:right w:w="108" w:type="dxa"/>
          </w:tblCellMar>
        </w:tblPrEx>
        <w:trPr>
          <w:trHeight w:val="285" w:hRule="atLeast"/>
          <w:jc w:val="center"/>
        </w:trPr>
        <w:tc>
          <w:tcPr>
            <w:tcW w:w="427" w:type="dxa"/>
            <w:tcBorders>
              <w:top w:val="single" w:color="auto" w:sz="4" w:space="0"/>
              <w:left w:val="single" w:color="auto" w:sz="4" w:space="0"/>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ne</w:t>
            </w:r>
          </w:p>
        </w:tc>
        <w:tc>
          <w:tcPr>
            <w:tcW w:w="5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p</w:t>
            </w:r>
          </w:p>
        </w:tc>
        <w:tc>
          <w:tcPr>
            <w:tcW w:w="5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f</w:t>
            </w:r>
          </w:p>
        </w:tc>
        <w:tc>
          <w:tcPr>
            <w:tcW w:w="42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ne</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p</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f</w:t>
            </w:r>
          </w:p>
        </w:tc>
        <w:tc>
          <w:tcPr>
            <w:tcW w:w="5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ne</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p</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f</w:t>
            </w:r>
          </w:p>
        </w:tc>
        <w:tc>
          <w:tcPr>
            <w:tcW w:w="69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ne</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p</w:t>
            </w:r>
          </w:p>
        </w:tc>
        <w:tc>
          <w:tcPr>
            <w:tcW w:w="66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f</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67</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NA</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763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500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1366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1148</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1951</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1828</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95</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NA</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778</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516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1381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1166</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1965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1845</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794</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532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1396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1183</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1980</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1863</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141</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810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548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1412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1200</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1995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1881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826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564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1427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1217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2010</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1899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183</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842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580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1442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1234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2025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1916</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858</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596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1457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1252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2039</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1934</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873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612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1472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1269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2054</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1952</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241</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889</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629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1487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1286</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2069</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1969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259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905</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645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1502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1303</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2084</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1987</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278</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76</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920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661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1517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1321</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2099</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2005</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296</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936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678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1532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1338</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2113</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2023</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314</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100</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952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694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1547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1355</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2128</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2040</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332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967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711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1562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1373</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2143</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2058</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349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126</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983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727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1577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1390</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2158</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2076</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367</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140</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998</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744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1592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1407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2172</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2094</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384</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1014</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760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1607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1425</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2187</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2111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401</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167</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1029</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777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1623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1442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2202</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2129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418</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181</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1045</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793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1637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1459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2217</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2147</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435</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195</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1060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810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1652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1477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2231</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2165</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452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209</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1076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827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1667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1494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2246</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2183</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469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1091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844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1682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1512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2261</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2201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486</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1106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860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1697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1529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2275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2218</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503</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253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1122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877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1712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1547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2290</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2236</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519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268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1137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894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1727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1564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2305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2254</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536</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283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1153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911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1742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1582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2320</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2272</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552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298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1168</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928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1757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1599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2334</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2290</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569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313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1183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944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1772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1617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2349</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2308</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585</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328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1199</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961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1787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1634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2364</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2326</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602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343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1214</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978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1802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1652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2378</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2344</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618</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359</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1229</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995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1817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1669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2393</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2361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634</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374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1244</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1012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1832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1687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2408</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2379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650</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389</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1260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1029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1847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1704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2422</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2397</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667</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405</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1275</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1046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1861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1722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2437</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2415</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683</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421</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1290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1063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1876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1740</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2452</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2433</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699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436</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1305</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1080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1891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1757</w:t>
            </w:r>
          </w:p>
        </w:tc>
        <w:tc>
          <w:tcPr>
            <w:tcW w:w="69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152</w:t>
            </w:r>
          </w:p>
        </w:tc>
        <w:tc>
          <w:tcPr>
            <w:tcW w:w="61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2466</w:t>
            </w:r>
          </w:p>
        </w:tc>
        <w:tc>
          <w:tcPr>
            <w:tcW w:w="66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2451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715</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452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1321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1097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1906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1775</w:t>
            </w:r>
          </w:p>
        </w:tc>
        <w:tc>
          <w:tcPr>
            <w:tcW w:w="69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153*)</w:t>
            </w:r>
          </w:p>
        </w:tc>
        <w:tc>
          <w:tcPr>
            <w:tcW w:w="61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NA</w:t>
            </w:r>
          </w:p>
        </w:tc>
        <w:tc>
          <w:tcPr>
            <w:tcW w:w="66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2469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731</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468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1336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1114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1921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1793</w:t>
            </w:r>
          </w:p>
        </w:tc>
        <w:tc>
          <w:tcPr>
            <w:tcW w:w="69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 </w:t>
            </w:r>
          </w:p>
        </w:tc>
        <w:tc>
          <w:tcPr>
            <w:tcW w:w="61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 </w:t>
            </w:r>
          </w:p>
        </w:tc>
        <w:tc>
          <w:tcPr>
            <w:tcW w:w="66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 </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747</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484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1351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1131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1936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1810</w:t>
            </w:r>
          </w:p>
        </w:tc>
        <w:tc>
          <w:tcPr>
            <w:tcW w:w="1981" w:type="dxa"/>
            <w:gridSpan w:val="3"/>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 note 2 in G.2.5</w:t>
            </w:r>
          </w:p>
        </w:tc>
      </w:tr>
    </w:tbl>
    <w:p>
      <w:pPr>
        <w:pStyle w:val="108"/>
      </w:pPr>
    </w:p>
    <w:p>
      <w:pPr>
        <w:pStyle w:val="100"/>
      </w:pPr>
      <w:r>
        <w:t>NOTE 1:</w:t>
      </w:r>
      <w:r>
        <w:tab/>
      </w:r>
      <w:r>
        <w:t>The first column is the number of errors (ne = number of NACK + statDTX)</w:t>
      </w:r>
    </w:p>
    <w:p>
      <w:pPr>
        <w:pStyle w:val="100"/>
      </w:pPr>
      <w:r>
        <w:t>NOTE 2:</w:t>
      </w:r>
      <w:r>
        <w:tab/>
      </w:r>
      <w:r>
        <w:t>The second column is the number of samples for the pass limit (ns</w:t>
      </w:r>
      <w:r>
        <w:rPr>
          <w:vertAlign w:val="subscript"/>
        </w:rPr>
        <w:t>p</w:t>
      </w:r>
      <w:r>
        <w:t>, ns=Number of Samples= number of</w:t>
      </w:r>
      <w:r>
        <w:rPr>
          <w:rFonts w:ascii="Courier New" w:hAnsi="Courier New"/>
          <w:sz w:val="18"/>
          <w:szCs w:val="18"/>
        </w:rPr>
        <w:t xml:space="preserve"> NACK + statDTX + ACK</w:t>
      </w:r>
      <w:r>
        <w:t>)</w:t>
      </w:r>
    </w:p>
    <w:p>
      <w:pPr>
        <w:pStyle w:val="100"/>
      </w:pPr>
      <w:r>
        <w:t>NOTE 3:</w:t>
      </w:r>
      <w:r>
        <w:tab/>
      </w:r>
      <w:r>
        <w:t>The third column is the number of samples for the fail limit (ns</w:t>
      </w:r>
      <w:r>
        <w:rPr>
          <w:vertAlign w:val="subscript"/>
        </w:rPr>
        <w:t>f</w:t>
      </w:r>
      <w:r>
        <w:t>)</w:t>
      </w:r>
    </w:p>
    <w:p>
      <w:pPr>
        <w:pStyle w:val="4"/>
      </w:pPr>
      <w:bookmarkStart w:id="2443" w:name="_Toc950"/>
      <w:bookmarkStart w:id="2444" w:name="_Toc14612"/>
      <w:bookmarkStart w:id="2445" w:name="_Toc28666"/>
      <w:bookmarkStart w:id="2446" w:name="_Toc232582193"/>
      <w:bookmarkStart w:id="2447" w:name="_Toc3317"/>
      <w:bookmarkStart w:id="2448" w:name="_Toc31986"/>
      <w:r>
        <w:t>G.2.5</w:t>
      </w:r>
      <w:r>
        <w:tab/>
      </w:r>
      <w:r>
        <w:t>Pass fail decision rules</w:t>
      </w:r>
      <w:bookmarkEnd w:id="2443"/>
      <w:bookmarkEnd w:id="2444"/>
      <w:bookmarkEnd w:id="2445"/>
      <w:bookmarkEnd w:id="2446"/>
      <w:bookmarkEnd w:id="2447"/>
      <w:bookmarkEnd w:id="2448"/>
    </w:p>
    <w:p>
      <w:r>
        <w:t>The pass fail decision rules apply for a single test, comprising one component in the test vector. The over all Pass /Fail conditions are defined in clause G.2.6and G.2A.6</w:t>
      </w:r>
    </w:p>
    <w:p>
      <w:r>
        <w:t>Having observed   0  errors, pass the test at      67+    samples,                                                 otherwise continue</w:t>
      </w:r>
    </w:p>
    <w:p>
      <w:r>
        <w:t>Having observed   1  error,   pass the test at     95+  otherwise continue</w:t>
      </w:r>
    </w:p>
    <w:p>
      <w:r>
        <w:t>Having observed   2  errors,  pass the test at     119+  samples, fail the test at       2- samples,  otherwise continue</w:t>
      </w:r>
    </w:p>
    <w:p>
      <w:r>
        <w:t xml:space="preserve">                                                                           Etc. etc.</w:t>
      </w:r>
    </w:p>
    <w:p>
      <w:r>
        <w:t>Having observed 151 errors,  pass the test at  2452+  samples, fail the test at 2433- samples,  otherwise continue</w:t>
      </w:r>
    </w:p>
    <w:p>
      <w:r>
        <w:t xml:space="preserve">Having observed 152 errors,  pass the test at  2466+  samples, fail the test at 2451- samples.                                                  </w:t>
      </w:r>
    </w:p>
    <w:p>
      <w:r>
        <w:t>Where x+ means: x or more,        x- means x or less</w:t>
      </w:r>
    </w:p>
    <w:p>
      <w:pPr>
        <w:pStyle w:val="100"/>
      </w:pPr>
      <w:r>
        <w:t>NOTE 1:</w:t>
      </w:r>
      <w:r>
        <w:tab/>
      </w:r>
      <w:r>
        <w:t>an ideal DUT passes after 67 samples. The maximum test time is 2466 samples.</w:t>
      </w:r>
    </w:p>
    <w:p>
      <w:pPr>
        <w:pStyle w:val="100"/>
      </w:pPr>
      <w:r>
        <w:t>NOTE 2:</w:t>
      </w:r>
      <w:r>
        <w:tab/>
      </w:r>
      <w:r>
        <w:t>It is allowed to deviate from the early decision concept  by  postponing  the decision (pass/fail or continue). Postponing the decision to or beyond the end of Table G.2.4-1 requires a pass fail decision against the test limit: pass the DUT for ER&lt;0.0618, otherwise fail.</w:t>
      </w:r>
    </w:p>
    <w:p>
      <w:pPr>
        <w:pStyle w:val="3"/>
      </w:pPr>
      <w:bookmarkStart w:id="2449" w:name="_Toc3359"/>
      <w:bookmarkStart w:id="2450" w:name="_Toc25034"/>
      <w:bookmarkStart w:id="2451" w:name="_Toc29378"/>
      <w:bookmarkStart w:id="2452" w:name="_Toc20736"/>
      <w:bookmarkStart w:id="2453" w:name="_Toc2006"/>
      <w:r>
        <w:t>G.3</w:t>
      </w:r>
      <w:r>
        <w:tab/>
      </w:r>
      <w:r>
        <w:t>Statistical testing of Performance Requirements with throughput</w:t>
      </w:r>
      <w:bookmarkEnd w:id="2449"/>
      <w:bookmarkEnd w:id="2450"/>
      <w:bookmarkEnd w:id="2451"/>
      <w:bookmarkEnd w:id="2452"/>
      <w:bookmarkEnd w:id="2453"/>
    </w:p>
    <w:p>
      <w:pPr>
        <w:pStyle w:val="4"/>
      </w:pPr>
      <w:bookmarkStart w:id="2454" w:name="_Toc27859"/>
      <w:bookmarkStart w:id="2455" w:name="_Toc27460"/>
      <w:bookmarkStart w:id="2456" w:name="_Toc31048"/>
      <w:bookmarkStart w:id="2457" w:name="_Toc28674"/>
      <w:bookmarkStart w:id="2458" w:name="_Toc232582196"/>
      <w:bookmarkStart w:id="2459" w:name="_Toc19498"/>
      <w:r>
        <w:t>G.3.1</w:t>
      </w:r>
      <w:r>
        <w:tab/>
      </w:r>
      <w:r>
        <w:t>General</w:t>
      </w:r>
      <w:bookmarkEnd w:id="2454"/>
      <w:bookmarkEnd w:id="2455"/>
      <w:bookmarkEnd w:id="2456"/>
      <w:bookmarkEnd w:id="2457"/>
      <w:bookmarkEnd w:id="2458"/>
      <w:bookmarkEnd w:id="2459"/>
    </w:p>
    <w:p>
      <w:r>
        <w:t>The test of receiver performance characteristics is two fold.</w:t>
      </w:r>
    </w:p>
    <w:p>
      <w:pPr>
        <w:pStyle w:val="111"/>
      </w:pPr>
      <w:r>
        <w:t>1.</w:t>
      </w:r>
      <w:r>
        <w:tab/>
      </w:r>
      <w:r>
        <w:t>A signal or a combination of signals is offered to the RX port(s) of the receiver.</w:t>
      </w:r>
    </w:p>
    <w:p>
      <w:pPr>
        <w:pStyle w:val="111"/>
      </w:pPr>
      <w:r>
        <w:t>2.</w:t>
      </w:r>
      <w:r>
        <w:tab/>
      </w:r>
      <w:r>
        <w:t>The ability of the receiver to demodulate /decode this signal is verified by measuring the throughput.</w:t>
      </w:r>
    </w:p>
    <w:p>
      <w:r>
        <w:t>In (2) is the statistical aspect of the test and is treated here.</w:t>
      </w:r>
    </w:p>
    <w:p>
      <w:r>
        <w:t>The minimum requirement for all receiver performance tests is either 70% or 30% of the maximum throughput.</w:t>
      </w:r>
    </w:p>
    <w:p>
      <w:r>
        <w:t>All receiver performance tests are performed in fading conditions. In addition to the statistical considerations, this requires the definition of a minimum test time.</w:t>
      </w:r>
    </w:p>
    <w:p>
      <w:pPr>
        <w:pStyle w:val="4"/>
      </w:pPr>
      <w:bookmarkStart w:id="2460" w:name="_Toc30244"/>
      <w:bookmarkStart w:id="2461" w:name="_Toc326"/>
      <w:bookmarkStart w:id="2462" w:name="_Toc232582197"/>
      <w:bookmarkStart w:id="2463" w:name="_Toc20373"/>
      <w:bookmarkStart w:id="2464" w:name="_Toc6962"/>
      <w:bookmarkStart w:id="2465" w:name="_Toc6851"/>
      <w:r>
        <w:t>G.3.2</w:t>
      </w:r>
      <w:r>
        <w:tab/>
      </w:r>
      <w:r>
        <w:t>Mapping throughput to error ratio</w:t>
      </w:r>
      <w:bookmarkEnd w:id="2460"/>
      <w:bookmarkEnd w:id="2461"/>
      <w:bookmarkEnd w:id="2462"/>
      <w:bookmarkEnd w:id="2463"/>
      <w:bookmarkEnd w:id="2464"/>
      <w:bookmarkEnd w:id="2465"/>
    </w:p>
    <w:p>
      <w:r>
        <w:t>G.2.2 applies</w:t>
      </w:r>
    </w:p>
    <w:p>
      <w:pPr>
        <w:pStyle w:val="4"/>
      </w:pPr>
      <w:bookmarkStart w:id="2466" w:name="_Toc31324"/>
      <w:bookmarkStart w:id="2467" w:name="_Toc4189"/>
      <w:bookmarkStart w:id="2468" w:name="_Toc3212"/>
      <w:bookmarkStart w:id="2469" w:name="_Toc29532"/>
      <w:bookmarkStart w:id="2470" w:name="_Toc232582198"/>
      <w:bookmarkStart w:id="2471" w:name="_Toc9150"/>
      <w:r>
        <w:t>G.3.3</w:t>
      </w:r>
      <w:r>
        <w:tab/>
      </w:r>
      <w:r>
        <w:t>Design of the test</w:t>
      </w:r>
      <w:bookmarkEnd w:id="2466"/>
      <w:bookmarkEnd w:id="2467"/>
      <w:bookmarkEnd w:id="2468"/>
      <w:bookmarkEnd w:id="2469"/>
      <w:bookmarkEnd w:id="2470"/>
      <w:bookmarkEnd w:id="2471"/>
    </w:p>
    <w:p>
      <w:r>
        <w:t>The test is defined by the following design principles (see clause G.x, Theory….):</w:t>
      </w:r>
    </w:p>
    <w:p>
      <w:pPr>
        <w:pStyle w:val="111"/>
      </w:pPr>
      <w:r>
        <w:t>1.</w:t>
      </w:r>
      <w:r>
        <w:tab/>
      </w:r>
      <w:r>
        <w:t>The standard concept is applied. (not the early decision concept)</w:t>
      </w:r>
    </w:p>
    <w:p>
      <w:pPr>
        <w:pStyle w:val="111"/>
      </w:pPr>
      <w:r>
        <w:t>2.</w:t>
      </w:r>
      <w:r>
        <w:tab/>
      </w:r>
      <w:r>
        <w:t>A second limit is introduced: The second limit is different, whether 30% or 70% throughput is tested.</w:t>
      </w:r>
    </w:p>
    <w:p>
      <w:pPr>
        <w:pStyle w:val="111"/>
      </w:pPr>
      <w:r>
        <w:t>3.</w:t>
      </w:r>
      <w:r>
        <w:tab/>
      </w:r>
      <w:r>
        <w:t>To decide the test pass:</w:t>
      </w:r>
    </w:p>
    <w:p>
      <w:pPr>
        <w:pStyle w:val="122"/>
      </w:pPr>
      <w:r>
        <w:t>Supplier risk is applied based on the Bad DUT quality</w:t>
      </w:r>
    </w:p>
    <w:p>
      <w:pPr>
        <w:pStyle w:val="122"/>
      </w:pPr>
      <w:r>
        <w:t>To decide the test fail:</w:t>
      </w:r>
    </w:p>
    <w:p>
      <w:pPr>
        <w:pStyle w:val="122"/>
      </w:pPr>
      <w:r>
        <w:t>Customer Risk is applied based on the specified DUT quality</w:t>
      </w:r>
    </w:p>
    <w:p>
      <w:r>
        <w:t>The test is defined by the following parameters:</w:t>
      </w:r>
    </w:p>
    <w:p>
      <w:pPr>
        <w:pStyle w:val="111"/>
      </w:pPr>
      <w:r>
        <w:t>1a) Limit Error Ratio = 0.3 (in case 70% Throughput is tested) or</w:t>
      </w:r>
    </w:p>
    <w:p>
      <w:pPr>
        <w:pStyle w:val="111"/>
      </w:pPr>
      <w:r>
        <w:t>1b) Limit Throughput = 0.3 (in case 30% Throughput is tested)</w:t>
      </w:r>
    </w:p>
    <w:p>
      <w:pPr>
        <w:pStyle w:val="111"/>
      </w:pPr>
      <w:r>
        <w:t>2a) Bad DUT factor M=1.378 (selectivity)</w:t>
      </w:r>
    </w:p>
    <w:p>
      <w:pPr>
        <w:pStyle w:val="111"/>
      </w:pPr>
      <w:r>
        <w:t>2b) Bad DUT factor m=0.692 (selectivity)</w:t>
      </w:r>
    </w:p>
    <w:p>
      <w:pPr>
        <w:pStyle w:val="122"/>
      </w:pPr>
      <w:r>
        <w:t>justification see: TS 34.121 Clause F.6.3.3</w:t>
      </w:r>
    </w:p>
    <w:p>
      <w:pPr>
        <w:pStyle w:val="111"/>
      </w:pPr>
      <w:r>
        <w:t>3) Confidence level CL = 95% (for specified DUT and Bad DUT-quality)</w:t>
      </w:r>
    </w:p>
    <w:p>
      <w:pPr>
        <w:pStyle w:val="4"/>
      </w:pPr>
      <w:bookmarkStart w:id="2472" w:name="_Toc10979"/>
      <w:bookmarkStart w:id="2473" w:name="_Toc3083"/>
      <w:bookmarkStart w:id="2474" w:name="_Toc28508"/>
      <w:bookmarkStart w:id="2475" w:name="_Toc9849"/>
      <w:bookmarkStart w:id="2476" w:name="_Toc30177"/>
      <w:bookmarkStart w:id="2477" w:name="_Toc232582199"/>
      <w:r>
        <w:t>G.3.4</w:t>
      </w:r>
      <w:r>
        <w:tab/>
      </w:r>
      <w:r>
        <w:t>Pass Fail limit</w:t>
      </w:r>
      <w:bookmarkEnd w:id="2472"/>
      <w:bookmarkEnd w:id="2473"/>
      <w:bookmarkEnd w:id="2474"/>
      <w:bookmarkEnd w:id="2475"/>
      <w:bookmarkEnd w:id="2476"/>
      <w:bookmarkEnd w:id="2477"/>
    </w:p>
    <w:p>
      <w:r>
        <w:t>Testing Throughput = 30%, then the test limit is</w:t>
      </w:r>
    </w:p>
    <w:p>
      <w:r>
        <w:t xml:space="preserve">Number of successes (ACK) / number of samples </w:t>
      </w:r>
      <w:r>
        <w:rPr>
          <w:rFonts w:hint="eastAsia"/>
        </w:rPr>
        <w:t>≥</w:t>
      </w:r>
      <w:r>
        <w:t xml:space="preserve"> 59 / 233 </w:t>
      </w:r>
    </w:p>
    <w:p>
      <w:r>
        <w:t>Testing Throughput = 70% then the test limit is</w:t>
      </w:r>
    </w:p>
    <w:p>
      <w:r>
        <w:t xml:space="preserve">Number of fails (NACK and statDTX) / number of samples </w:t>
      </w:r>
      <w:r>
        <w:rPr>
          <w:rFonts w:hint="eastAsia"/>
        </w:rPr>
        <w:t>≤</w:t>
      </w:r>
      <w:r>
        <w:t xml:space="preserve"> 66 / 184 </w:t>
      </w:r>
    </w:p>
    <w:p>
      <w:r>
        <w:t>We have to distinguish 3 cases:</w:t>
      </w:r>
    </w:p>
    <w:p>
      <w:pPr>
        <w:pStyle w:val="111"/>
      </w:pPr>
      <w:r>
        <w:t>a)</w:t>
      </w:r>
      <w:r>
        <w:tab/>
      </w:r>
      <w:r>
        <w:t>The duration for the number of samples (233 or 184) is greater than the minimum test time:</w:t>
      </w:r>
    </w:p>
    <w:p>
      <w:pPr>
        <w:pStyle w:val="111"/>
      </w:pPr>
      <w:r>
        <w:t>Then the number of samples (233 or 184) is predefined and the decision is done according to the number of events (59 successes or 66 fails)</w:t>
      </w:r>
    </w:p>
    <w:p>
      <w:pPr>
        <w:pStyle w:val="111"/>
      </w:pPr>
      <w:r>
        <w:t>b)</w:t>
      </w:r>
      <w:r>
        <w:tab/>
      </w:r>
      <w:r>
        <w:t>Since subframe 0 and 5 contain less bits than the remaining subframes, it is allowed to predefine a number of samples contained in an integer number of frames. In this case test-limit-ratio applies.</w:t>
      </w:r>
    </w:p>
    <w:p>
      <w:pPr>
        <w:pStyle w:val="111"/>
      </w:pPr>
      <w:r>
        <w:t>c)</w:t>
      </w:r>
      <w:r>
        <w:tab/>
      </w:r>
      <w:r>
        <w:t>The minimum test time is greater than the duration for the number of samples:</w:t>
      </w:r>
    </w:p>
    <w:p>
      <w:pPr>
        <w:pStyle w:val="111"/>
      </w:pPr>
      <w:r>
        <w:t>The minimum test time is predefined and the decision is done comparing the measured ratio at that instant against the test-limit-ratio.</w:t>
      </w:r>
    </w:p>
    <w:p>
      <w:pPr>
        <w:pStyle w:val="100"/>
      </w:pPr>
      <w:r>
        <w:t>NOTE:</w:t>
      </w:r>
      <w:r>
        <w:tab/>
      </w:r>
      <w:r>
        <w:t>The test time for most of the tests is governed by the Minimum Test Time</w:t>
      </w:r>
    </w:p>
    <w:p>
      <w:pPr>
        <w:pStyle w:val="4"/>
      </w:pPr>
      <w:bookmarkStart w:id="2478" w:name="_Toc22146"/>
      <w:bookmarkStart w:id="2479" w:name="_Toc232582200"/>
      <w:bookmarkStart w:id="2480" w:name="_Toc16880"/>
      <w:bookmarkStart w:id="2481" w:name="_Toc13189"/>
      <w:bookmarkStart w:id="2482" w:name="_Toc13586"/>
      <w:bookmarkStart w:id="2483" w:name="_Toc21736"/>
      <w:r>
        <w:t>G.3.5</w:t>
      </w:r>
      <w:r>
        <w:tab/>
      </w:r>
      <w:r>
        <w:t>Minimum Test time</w:t>
      </w:r>
      <w:bookmarkEnd w:id="2478"/>
      <w:bookmarkEnd w:id="2479"/>
      <w:bookmarkEnd w:id="2480"/>
      <w:bookmarkEnd w:id="2481"/>
      <w:bookmarkEnd w:id="2482"/>
      <w:bookmarkEnd w:id="2483"/>
    </w:p>
    <w:p>
      <w:r>
        <w:t>If a pass fail decision in G.3.4 can be achieved earlier than the minimum test time, then the test shall not be decided, but continued until the minimum test time is elapsed.</w:t>
      </w:r>
    </w:p>
    <w:p>
      <w:r>
        <w:t>The tables below contain the minimum number of subframes for FDD.</w:t>
      </w:r>
    </w:p>
    <w:p>
      <w:r>
        <w:t xml:space="preserve">By simulations the </w:t>
      </w:r>
      <w:r>
        <w:rPr>
          <w:u w:val="single"/>
        </w:rPr>
        <w:t>m</w:t>
      </w:r>
      <w:r>
        <w:t xml:space="preserve">inimum </w:t>
      </w:r>
      <w:r>
        <w:rPr>
          <w:u w:val="single"/>
        </w:rPr>
        <w:t>n</w:t>
      </w:r>
      <w:r>
        <w:t xml:space="preserve">umber of </w:t>
      </w:r>
      <w:r>
        <w:rPr>
          <w:u w:val="single"/>
        </w:rPr>
        <w:t>a</w:t>
      </w:r>
      <w:r>
        <w:t xml:space="preserve">ctive </w:t>
      </w:r>
      <w:r>
        <w:rPr>
          <w:u w:val="single"/>
        </w:rPr>
        <w:t>s</w:t>
      </w:r>
      <w:r>
        <w:t>ubframes (carrying DL payload) was derived (MNAS),</w:t>
      </w:r>
    </w:p>
    <w:p>
      <w:r>
        <w:t>then adding inactive subframes to the active ones (e.g. subframe 5 contains no DL payload. For TDD additional subframes contain no DL payload)</w:t>
      </w:r>
    </w:p>
    <w:p>
      <w:r>
        <w:t>then rounding up to full thousand and</w:t>
      </w:r>
    </w:p>
    <w:p>
      <w:r>
        <w:t xml:space="preserve">then adding a </w:t>
      </w:r>
      <w:r>
        <w:rPr>
          <w:u w:val="single"/>
        </w:rPr>
        <w:t>b</w:t>
      </w:r>
      <w:r>
        <w:t>ias of 1000 (BMNSF).</w:t>
      </w:r>
    </w:p>
    <w:p>
      <w:pPr>
        <w:pStyle w:val="9"/>
      </w:pPr>
      <w:r>
        <w:t>Simulation method to derive minimum test time:</w:t>
      </w:r>
    </w:p>
    <w:p>
      <w:r>
        <w:t xml:space="preserve">With a level, corresponding a throughput at the test limit (here 30% or 70% of the max. throughput) the preliminary throughput versus time converges towards the final throughput. The allowance of ± 0.2 dB around the above mentioned level is predefined by RAN5 to find the minimum test time. The allowance of ±0.2 dB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HST-scenarios and scenarios with MNAS </w:t>
      </w:r>
      <w:r>
        <w:rPr>
          <w:rFonts w:hint="eastAsia"/>
        </w:rPr>
        <w:t>≥</w:t>
      </w:r>
      <w:r>
        <w:t xml:space="preserve"> 50000 are derived differently.</w:t>
      </w:r>
    </w:p>
    <w:p>
      <w:pPr>
        <w:pStyle w:val="113"/>
      </w:pPr>
      <w:bookmarkStart w:id="2484" w:name="_MON_1365603979"/>
      <w:bookmarkEnd w:id="2484"/>
      <w:bookmarkStart w:id="2485" w:name="_MON_1417085723"/>
      <w:bookmarkEnd w:id="2485"/>
      <w:r>
        <w:object>
          <v:shape id="_x0000_i1245" o:spt="75" type="#_x0000_t75" style="height:293.4pt;width:540.6pt;" o:ole="t" filled="f" o:preferrelative="t" stroked="f" coordsize="21600,21600">
            <v:path/>
            <v:fill on="f" focussize="0,0"/>
            <v:stroke on="f" joinstyle="miter"/>
            <v:imagedata r:id="rId366" o:title=""/>
            <o:lock v:ext="edit" aspectratio="t"/>
            <w10:wrap type="none"/>
            <w10:anchorlock/>
          </v:shape>
          <o:OLEObject Type="Embed" ProgID="Word.Document.8" ShapeID="_x0000_i1245" DrawAspect="Content" ObjectID="_1468075945" r:id="rId365">
            <o:LockedField>false</o:LockedField>
          </o:OLEObject>
        </w:object>
      </w:r>
    </w:p>
    <w:p>
      <w:pPr>
        <w:pStyle w:val="113"/>
      </w:pPr>
      <w:r>
        <w:t>Figure G.3.5-1: Simulation method to derive minimum test time</w:t>
      </w:r>
    </w:p>
    <w:p/>
    <w:p>
      <w:pPr>
        <w:pStyle w:val="113"/>
        <w:rPr>
          <w:rFonts w:eastAsia="PMingLiU"/>
          <w:lang w:eastAsia="ja-JP"/>
        </w:rPr>
      </w:pPr>
      <w:bookmarkStart w:id="2486" w:name="OLE_LINK3"/>
      <w:r>
        <w:t>Table G.3.5-1</w:t>
      </w:r>
      <w:bookmarkEnd w:id="2486"/>
      <w:bookmarkStart w:id="2487" w:name="_Toc232582201"/>
      <w:r>
        <w:t>: Minimum Test time</w:t>
      </w:r>
      <w:r>
        <w:rPr>
          <w:rFonts w:eastAsia="宋体"/>
          <w:lang w:eastAsia="zh-CN"/>
        </w:rPr>
        <w:t xml:space="preserve"> for PDSCH </w:t>
      </w:r>
      <w:r>
        <w:rPr>
          <w:lang w:eastAsia="zh-TW"/>
        </w:rPr>
        <w:t xml:space="preserve">for UE Category </w:t>
      </w:r>
      <w:r>
        <w:rPr>
          <w:lang w:eastAsia="ja-JP"/>
        </w:rPr>
        <w:t>NB1</w:t>
      </w:r>
    </w:p>
    <w:tbl>
      <w:tblPr>
        <w:tblStyle w:val="89"/>
        <w:tblW w:w="402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7"/>
        <w:gridCol w:w="2172"/>
        <w:gridCol w:w="1627"/>
        <w:gridCol w:w="1018"/>
        <w:gridCol w:w="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vMerge w:val="restart"/>
          </w:tcPr>
          <w:p>
            <w:pPr>
              <w:pStyle w:val="104"/>
              <w:rPr>
                <w:lang w:eastAsia="ja-JP"/>
              </w:rPr>
            </w:pPr>
            <w:r>
              <w:rPr>
                <w:lang w:eastAsia="zh-TW"/>
              </w:rPr>
              <w:t>Clause 8.</w:t>
            </w:r>
            <w:r>
              <w:rPr>
                <w:lang w:eastAsia="ja-JP"/>
              </w:rPr>
              <w:t>12.1.1.2</w:t>
            </w:r>
          </w:p>
          <w:p>
            <w:pPr>
              <w:pStyle w:val="104"/>
              <w:rPr>
                <w:lang w:eastAsia="zh-CN"/>
              </w:rPr>
            </w:pPr>
            <w:r>
              <w:rPr>
                <w:lang w:eastAsia="zh-CN"/>
              </w:rPr>
              <w:t>Test</w:t>
            </w:r>
          </w:p>
          <w:p>
            <w:pPr>
              <w:pStyle w:val="104"/>
              <w:rPr>
                <w:lang w:eastAsia="zh-CN"/>
              </w:rPr>
            </w:pPr>
            <w:r>
              <w:rPr>
                <w:lang w:eastAsia="zh-CN"/>
              </w:rPr>
              <w:t>No</w:t>
            </w:r>
          </w:p>
        </w:tc>
        <w:tc>
          <w:tcPr>
            <w:tcW w:w="1370" w:type="pct"/>
            <w:vMerge w:val="restart"/>
          </w:tcPr>
          <w:p>
            <w:pPr>
              <w:pStyle w:val="104"/>
              <w:rPr>
                <w:lang w:eastAsia="zh-CN"/>
              </w:rPr>
            </w:pPr>
            <w:r>
              <w:rPr>
                <w:lang w:eastAsia="zh-CN"/>
              </w:rPr>
              <w:t>Demodulation scenario</w:t>
            </w:r>
          </w:p>
          <w:p>
            <w:pPr>
              <w:pStyle w:val="104"/>
              <w:rPr>
                <w:rFonts w:cs="Arial"/>
                <w:lang w:eastAsia="zh-CN"/>
              </w:rPr>
            </w:pPr>
            <w:r>
              <w:rPr>
                <w:rFonts w:cs="Arial"/>
                <w:lang w:eastAsia="zh-CN"/>
              </w:rPr>
              <w:t>(info only)</w:t>
            </w:r>
          </w:p>
        </w:tc>
        <w:tc>
          <w:tcPr>
            <w:tcW w:w="1026" w:type="pct"/>
            <w:vMerge w:val="restart"/>
          </w:tcPr>
          <w:p>
            <w:pPr>
              <w:pStyle w:val="104"/>
              <w:rPr>
                <w:lang w:eastAsia="zh-CN"/>
              </w:rPr>
            </w:pPr>
            <w:r>
              <w:rPr>
                <w:lang w:eastAsia="zh-CN"/>
              </w:rPr>
              <w:t>MNAS</w:t>
            </w:r>
          </w:p>
          <w:p>
            <w:pPr>
              <w:pStyle w:val="104"/>
              <w:rPr>
                <w:lang w:eastAsia="zh-CN"/>
              </w:rPr>
            </w:pPr>
            <w:r>
              <w:rPr>
                <w:lang w:eastAsia="zh-CN"/>
              </w:rPr>
              <w:t>(Simulation)</w:t>
            </w:r>
          </w:p>
        </w:tc>
        <w:tc>
          <w:tcPr>
            <w:tcW w:w="1243" w:type="pct"/>
            <w:gridSpan w:val="2"/>
          </w:tcPr>
          <w:p>
            <w:pPr>
              <w:pStyle w:val="104"/>
              <w:rPr>
                <w:rFonts w:cs="Arial"/>
                <w:lang w:eastAsia="zh-CN"/>
              </w:rPr>
            </w:pPr>
            <w:r>
              <w:rPr>
                <w:rFonts w:cs="Arial"/>
                <w:lang w:eastAsia="zh-CN"/>
              </w:rPr>
              <w:t>MNSF (Min No Sub Frames, mandatory)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vMerge w:val="continue"/>
          </w:tcPr>
          <w:p>
            <w:pPr>
              <w:pStyle w:val="104"/>
              <w:rPr>
                <w:lang w:eastAsia="zh-CN"/>
              </w:rPr>
            </w:pPr>
          </w:p>
        </w:tc>
        <w:tc>
          <w:tcPr>
            <w:tcW w:w="1370" w:type="pct"/>
            <w:vMerge w:val="continue"/>
          </w:tcPr>
          <w:p>
            <w:pPr>
              <w:pStyle w:val="104"/>
              <w:rPr>
                <w:lang w:eastAsia="zh-CN"/>
              </w:rPr>
            </w:pPr>
          </w:p>
        </w:tc>
        <w:tc>
          <w:tcPr>
            <w:tcW w:w="1026" w:type="pct"/>
            <w:vMerge w:val="continue"/>
          </w:tcPr>
          <w:p>
            <w:pPr>
              <w:pStyle w:val="104"/>
              <w:rPr>
                <w:lang w:eastAsia="zh-CN"/>
              </w:rPr>
            </w:pPr>
          </w:p>
        </w:tc>
        <w:tc>
          <w:tcPr>
            <w:tcW w:w="642" w:type="pct"/>
          </w:tcPr>
          <w:p>
            <w:pPr>
              <w:pStyle w:val="104"/>
              <w:rPr>
                <w:lang w:eastAsia="zh-CN"/>
              </w:rPr>
            </w:pPr>
            <w:r>
              <w:rPr>
                <w:lang w:eastAsia="zh-TW"/>
              </w:rPr>
              <w:t>HD-</w:t>
            </w:r>
            <w:r>
              <w:rPr>
                <w:lang w:eastAsia="zh-CN"/>
              </w:rPr>
              <w:t>FDD</w:t>
            </w:r>
          </w:p>
        </w:tc>
        <w:tc>
          <w:tcPr>
            <w:tcW w:w="601" w:type="pct"/>
          </w:tcPr>
          <w:p>
            <w:pPr>
              <w:pStyle w:val="104"/>
              <w:rPr>
                <w:lang w:eastAsia="zh-CN"/>
              </w:rPr>
            </w:pPr>
            <w:r>
              <w:rPr>
                <w:lang w:eastAsia="zh-CN"/>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tcPr>
          <w:p>
            <w:pPr>
              <w:pStyle w:val="103"/>
              <w:jc w:val="center"/>
              <w:rPr>
                <w:lang w:eastAsia="ja-JP"/>
              </w:rPr>
            </w:pPr>
            <w:r>
              <w:rPr>
                <w:lang w:eastAsia="ja-JP"/>
              </w:rPr>
              <w:t>1</w:t>
            </w:r>
          </w:p>
        </w:tc>
        <w:tc>
          <w:tcPr>
            <w:tcW w:w="1370" w:type="pct"/>
          </w:tcPr>
          <w:p>
            <w:pPr>
              <w:pStyle w:val="105"/>
              <w:rPr>
                <w:lang w:eastAsia="ja-JP"/>
              </w:rPr>
            </w:pPr>
            <w:r>
              <w:rPr>
                <w:rFonts w:cs="Arial"/>
              </w:rPr>
              <w:t>R.NB.3 FDD</w:t>
            </w:r>
          </w:p>
          <w:p>
            <w:pPr>
              <w:pStyle w:val="105"/>
            </w:pPr>
            <w:r>
              <w:t>(</w:t>
            </w:r>
            <w:r>
              <w:rPr>
                <w:lang w:eastAsia="ja-JP"/>
              </w:rPr>
              <w:t>200kHz, QPSK,1/2</w:t>
            </w:r>
            <w:r>
              <w:t>)</w:t>
            </w:r>
          </w:p>
          <w:p>
            <w:pPr>
              <w:pStyle w:val="105"/>
            </w:pPr>
            <w:r>
              <w:t>(</w:t>
            </w:r>
            <w:r>
              <w:rPr>
                <w:lang w:eastAsia="ja-JP"/>
              </w:rPr>
              <w:t>1</w:t>
            </w:r>
            <w:r>
              <w:t>x1)</w:t>
            </w:r>
          </w:p>
          <w:p>
            <w:pPr>
              <w:pStyle w:val="105"/>
            </w:pPr>
            <w:r>
              <w:t>E</w:t>
            </w:r>
            <w:r>
              <w:rPr>
                <w:lang w:eastAsia="ja-JP"/>
              </w:rPr>
              <w:t>PA5</w:t>
            </w:r>
          </w:p>
        </w:tc>
        <w:tc>
          <w:tcPr>
            <w:tcW w:w="1026" w:type="pct"/>
          </w:tcPr>
          <w:p>
            <w:pPr>
              <w:pStyle w:val="105"/>
              <w:rPr>
                <w:rFonts w:cs="Arial"/>
                <w:lang w:eastAsia="ja-JP"/>
              </w:rPr>
            </w:pPr>
            <w:r>
              <w:rPr>
                <w:rFonts w:cs="Arial"/>
                <w:lang w:eastAsia="ja-JP"/>
              </w:rPr>
              <w:t>3609</w:t>
            </w:r>
          </w:p>
        </w:tc>
        <w:tc>
          <w:tcPr>
            <w:tcW w:w="642" w:type="pct"/>
          </w:tcPr>
          <w:p>
            <w:pPr>
              <w:pStyle w:val="105"/>
              <w:rPr>
                <w:lang w:eastAsia="ja-JP"/>
              </w:rPr>
            </w:pPr>
            <w:r>
              <w:rPr>
                <w:lang w:eastAsia="ja-JP"/>
              </w:rPr>
              <w:t>3466000</w:t>
            </w:r>
          </w:p>
        </w:tc>
        <w:tc>
          <w:tcPr>
            <w:tcW w:w="601" w:type="pct"/>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tcPr>
          <w:p>
            <w:pPr>
              <w:pStyle w:val="103"/>
              <w:jc w:val="center"/>
              <w:rPr>
                <w:lang w:eastAsia="ja-JP"/>
              </w:rPr>
            </w:pPr>
            <w:r>
              <w:rPr>
                <w:lang w:eastAsia="ja-JP"/>
              </w:rPr>
              <w:t>2</w:t>
            </w:r>
          </w:p>
        </w:tc>
        <w:tc>
          <w:tcPr>
            <w:tcW w:w="1370" w:type="pct"/>
          </w:tcPr>
          <w:p>
            <w:pPr>
              <w:pStyle w:val="105"/>
              <w:rPr>
                <w:lang w:eastAsia="ja-JP"/>
              </w:rPr>
            </w:pPr>
            <w:r>
              <w:rPr>
                <w:rFonts w:cs="Arial"/>
              </w:rPr>
              <w:t>R.NB.3 FDD</w:t>
            </w:r>
          </w:p>
          <w:p>
            <w:pPr>
              <w:pStyle w:val="105"/>
            </w:pPr>
            <w:r>
              <w:t>(</w:t>
            </w:r>
            <w:r>
              <w:rPr>
                <w:lang w:eastAsia="ja-JP"/>
              </w:rPr>
              <w:t>200kHz, QPSK,1/2</w:t>
            </w:r>
            <w:r>
              <w:t>)</w:t>
            </w:r>
          </w:p>
          <w:p>
            <w:pPr>
              <w:pStyle w:val="105"/>
            </w:pPr>
            <w:r>
              <w:t>(</w:t>
            </w:r>
            <w:r>
              <w:rPr>
                <w:lang w:eastAsia="ja-JP"/>
              </w:rPr>
              <w:t>1</w:t>
            </w:r>
            <w:r>
              <w:t>x1)</w:t>
            </w:r>
          </w:p>
          <w:p>
            <w:pPr>
              <w:pStyle w:val="105"/>
            </w:pPr>
            <w:r>
              <w:t>ETU1</w:t>
            </w:r>
          </w:p>
        </w:tc>
        <w:tc>
          <w:tcPr>
            <w:tcW w:w="1026" w:type="pct"/>
          </w:tcPr>
          <w:p>
            <w:pPr>
              <w:pStyle w:val="105"/>
              <w:rPr>
                <w:rFonts w:cs="Arial"/>
                <w:lang w:eastAsia="ja-JP"/>
              </w:rPr>
            </w:pPr>
            <w:r>
              <w:rPr>
                <w:rFonts w:cs="Arial"/>
                <w:lang w:eastAsia="ja-JP"/>
              </w:rPr>
              <w:t>3609</w:t>
            </w:r>
          </w:p>
        </w:tc>
        <w:tc>
          <w:tcPr>
            <w:tcW w:w="642" w:type="pct"/>
          </w:tcPr>
          <w:p>
            <w:pPr>
              <w:pStyle w:val="105"/>
              <w:rPr>
                <w:lang w:eastAsia="ja-JP"/>
              </w:rPr>
            </w:pPr>
            <w:r>
              <w:rPr>
                <w:lang w:eastAsia="ja-JP"/>
              </w:rPr>
              <w:t>5544000</w:t>
            </w:r>
          </w:p>
        </w:tc>
        <w:tc>
          <w:tcPr>
            <w:tcW w:w="601" w:type="pct"/>
          </w:tcPr>
          <w:p>
            <w:pPr>
              <w:pStyle w:val="105"/>
              <w:rPr>
                <w:lang w:eastAsia="zh-TW"/>
              </w:rPr>
            </w:pPr>
            <w:r>
              <w:t>N/A</w:t>
            </w:r>
          </w:p>
        </w:tc>
      </w:tr>
    </w:tbl>
    <w:p/>
    <w:p>
      <w:pPr>
        <w:pStyle w:val="113"/>
        <w:rPr>
          <w:rFonts w:eastAsia="PMingLiU"/>
          <w:lang w:eastAsia="ja-JP"/>
        </w:rPr>
      </w:pPr>
      <w:r>
        <w:t>Table G.3.5-</w:t>
      </w:r>
      <w:r>
        <w:rPr>
          <w:rFonts w:hint="eastAsia" w:eastAsia="宋体"/>
          <w:lang w:val="en-US" w:eastAsia="zh-CN"/>
        </w:rPr>
        <w:t>2</w:t>
      </w:r>
      <w:r>
        <w:t>: Minimum Test time</w:t>
      </w:r>
      <w:r>
        <w:rPr>
          <w:rFonts w:eastAsia="宋体"/>
          <w:lang w:eastAsia="zh-CN"/>
        </w:rPr>
        <w:t xml:space="preserve"> for PDSCH </w:t>
      </w:r>
      <w:r>
        <w:rPr>
          <w:lang w:eastAsia="zh-TW"/>
        </w:rPr>
        <w:t xml:space="preserve">for UE Category </w:t>
      </w:r>
      <w:r>
        <w:rPr>
          <w:lang w:eastAsia="ja-JP"/>
        </w:rPr>
        <w:t>NB2</w:t>
      </w:r>
    </w:p>
    <w:tbl>
      <w:tblPr>
        <w:tblStyle w:val="89"/>
        <w:tblW w:w="402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7"/>
        <w:gridCol w:w="2172"/>
        <w:gridCol w:w="1627"/>
        <w:gridCol w:w="1018"/>
        <w:gridCol w:w="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vMerge w:val="restart"/>
          </w:tcPr>
          <w:p>
            <w:pPr>
              <w:pStyle w:val="104"/>
              <w:rPr>
                <w:lang w:eastAsia="ja-JP"/>
              </w:rPr>
            </w:pPr>
            <w:r>
              <w:rPr>
                <w:lang w:eastAsia="zh-TW"/>
              </w:rPr>
              <w:t>Clause 8.</w:t>
            </w:r>
            <w:r>
              <w:rPr>
                <w:lang w:eastAsia="ja-JP"/>
              </w:rPr>
              <w:t>12.1.1.3</w:t>
            </w:r>
          </w:p>
          <w:p>
            <w:pPr>
              <w:pStyle w:val="104"/>
              <w:rPr>
                <w:lang w:eastAsia="zh-CN"/>
              </w:rPr>
            </w:pPr>
            <w:r>
              <w:rPr>
                <w:lang w:eastAsia="zh-CN"/>
              </w:rPr>
              <w:t>Test</w:t>
            </w:r>
          </w:p>
          <w:p>
            <w:pPr>
              <w:pStyle w:val="104"/>
              <w:rPr>
                <w:lang w:eastAsia="zh-CN"/>
              </w:rPr>
            </w:pPr>
            <w:r>
              <w:rPr>
                <w:lang w:eastAsia="zh-CN"/>
              </w:rPr>
              <w:t>No</w:t>
            </w:r>
          </w:p>
        </w:tc>
        <w:tc>
          <w:tcPr>
            <w:tcW w:w="1370" w:type="pct"/>
            <w:vMerge w:val="restart"/>
          </w:tcPr>
          <w:p>
            <w:pPr>
              <w:pStyle w:val="104"/>
              <w:rPr>
                <w:lang w:eastAsia="zh-CN"/>
              </w:rPr>
            </w:pPr>
            <w:r>
              <w:rPr>
                <w:lang w:eastAsia="zh-CN"/>
              </w:rPr>
              <w:t>Demodulation scenario</w:t>
            </w:r>
          </w:p>
          <w:p>
            <w:pPr>
              <w:pStyle w:val="104"/>
              <w:rPr>
                <w:rFonts w:cs="Arial"/>
                <w:lang w:eastAsia="zh-CN"/>
              </w:rPr>
            </w:pPr>
            <w:r>
              <w:rPr>
                <w:rFonts w:cs="Arial"/>
                <w:lang w:eastAsia="zh-CN"/>
              </w:rPr>
              <w:t>(info only)</w:t>
            </w:r>
          </w:p>
        </w:tc>
        <w:tc>
          <w:tcPr>
            <w:tcW w:w="1026" w:type="pct"/>
            <w:vMerge w:val="restart"/>
          </w:tcPr>
          <w:p>
            <w:pPr>
              <w:pStyle w:val="104"/>
              <w:rPr>
                <w:lang w:eastAsia="zh-CN"/>
              </w:rPr>
            </w:pPr>
            <w:r>
              <w:rPr>
                <w:lang w:eastAsia="zh-CN"/>
              </w:rPr>
              <w:t>MNAS</w:t>
            </w:r>
          </w:p>
          <w:p>
            <w:pPr>
              <w:pStyle w:val="104"/>
              <w:rPr>
                <w:lang w:eastAsia="zh-CN"/>
              </w:rPr>
            </w:pPr>
            <w:r>
              <w:rPr>
                <w:lang w:eastAsia="zh-CN"/>
              </w:rPr>
              <w:t>(Simulation)</w:t>
            </w:r>
          </w:p>
        </w:tc>
        <w:tc>
          <w:tcPr>
            <w:tcW w:w="1244" w:type="pct"/>
            <w:gridSpan w:val="2"/>
          </w:tcPr>
          <w:p>
            <w:pPr>
              <w:pStyle w:val="104"/>
              <w:rPr>
                <w:rFonts w:cs="Arial"/>
                <w:lang w:eastAsia="zh-CN"/>
              </w:rPr>
            </w:pPr>
            <w:r>
              <w:rPr>
                <w:rFonts w:cs="Arial"/>
                <w:lang w:eastAsia="zh-CN"/>
              </w:rPr>
              <w:t>MNSF (Min No Sub Frames, mandatory)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vMerge w:val="continue"/>
          </w:tcPr>
          <w:p>
            <w:pPr>
              <w:pStyle w:val="104"/>
              <w:rPr>
                <w:lang w:eastAsia="zh-CN"/>
              </w:rPr>
            </w:pPr>
          </w:p>
        </w:tc>
        <w:tc>
          <w:tcPr>
            <w:tcW w:w="1370" w:type="pct"/>
            <w:vMerge w:val="continue"/>
          </w:tcPr>
          <w:p>
            <w:pPr>
              <w:pStyle w:val="104"/>
              <w:rPr>
                <w:lang w:eastAsia="zh-CN"/>
              </w:rPr>
            </w:pPr>
          </w:p>
        </w:tc>
        <w:tc>
          <w:tcPr>
            <w:tcW w:w="1026" w:type="pct"/>
            <w:vMerge w:val="continue"/>
          </w:tcPr>
          <w:p>
            <w:pPr>
              <w:pStyle w:val="104"/>
              <w:rPr>
                <w:lang w:eastAsia="zh-CN"/>
              </w:rPr>
            </w:pPr>
          </w:p>
        </w:tc>
        <w:tc>
          <w:tcPr>
            <w:tcW w:w="642" w:type="pct"/>
          </w:tcPr>
          <w:p>
            <w:pPr>
              <w:pStyle w:val="104"/>
              <w:rPr>
                <w:lang w:eastAsia="zh-CN"/>
              </w:rPr>
            </w:pPr>
            <w:r>
              <w:rPr>
                <w:lang w:eastAsia="zh-TW"/>
              </w:rPr>
              <w:t>HD-</w:t>
            </w:r>
            <w:r>
              <w:rPr>
                <w:lang w:eastAsia="zh-CN"/>
              </w:rPr>
              <w:t>FDD</w:t>
            </w:r>
          </w:p>
        </w:tc>
        <w:tc>
          <w:tcPr>
            <w:tcW w:w="601" w:type="pct"/>
          </w:tcPr>
          <w:p>
            <w:pPr>
              <w:pStyle w:val="104"/>
              <w:rPr>
                <w:lang w:eastAsia="zh-CN"/>
              </w:rPr>
            </w:pPr>
            <w:r>
              <w:rPr>
                <w:lang w:eastAsia="zh-CN"/>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tcPr>
          <w:p>
            <w:pPr>
              <w:pStyle w:val="103"/>
              <w:jc w:val="center"/>
              <w:rPr>
                <w:lang w:eastAsia="ja-JP"/>
              </w:rPr>
            </w:pPr>
            <w:r>
              <w:rPr>
                <w:lang w:eastAsia="ja-JP"/>
              </w:rPr>
              <w:t>1</w:t>
            </w:r>
          </w:p>
        </w:tc>
        <w:tc>
          <w:tcPr>
            <w:tcW w:w="1370" w:type="pct"/>
          </w:tcPr>
          <w:p>
            <w:pPr>
              <w:pStyle w:val="105"/>
              <w:rPr>
                <w:lang w:eastAsia="ja-JP"/>
              </w:rPr>
            </w:pPr>
            <w:r>
              <w:rPr>
                <w:rFonts w:cs="Arial"/>
              </w:rPr>
              <w:t>R.NB.7 FDD</w:t>
            </w:r>
          </w:p>
          <w:p>
            <w:pPr>
              <w:pStyle w:val="105"/>
            </w:pPr>
            <w:r>
              <w:t>(</w:t>
            </w:r>
            <w:r>
              <w:rPr>
                <w:lang w:eastAsia="ja-JP"/>
              </w:rPr>
              <w:t>200kHz, QPSK,1/2</w:t>
            </w:r>
            <w:r>
              <w:t>)</w:t>
            </w:r>
          </w:p>
          <w:p>
            <w:pPr>
              <w:pStyle w:val="105"/>
            </w:pPr>
            <w:r>
              <w:t>(</w:t>
            </w:r>
            <w:r>
              <w:rPr>
                <w:lang w:eastAsia="ja-JP"/>
              </w:rPr>
              <w:t>1</w:t>
            </w:r>
            <w:r>
              <w:t>x1)</w:t>
            </w:r>
          </w:p>
          <w:p>
            <w:pPr>
              <w:pStyle w:val="105"/>
            </w:pPr>
            <w:r>
              <w:t>E</w:t>
            </w:r>
            <w:r>
              <w:rPr>
                <w:lang w:eastAsia="ja-JP"/>
              </w:rPr>
              <w:t>PA5</w:t>
            </w:r>
          </w:p>
        </w:tc>
        <w:tc>
          <w:tcPr>
            <w:tcW w:w="1026" w:type="pct"/>
          </w:tcPr>
          <w:p>
            <w:pPr>
              <w:pStyle w:val="105"/>
              <w:rPr>
                <w:rFonts w:cs="Arial"/>
                <w:lang w:eastAsia="ja-JP"/>
              </w:rPr>
            </w:pPr>
            <w:r>
              <w:rPr>
                <w:rFonts w:cs="Arial"/>
                <w:lang w:eastAsia="ja-JP"/>
              </w:rPr>
              <w:t>3609</w:t>
            </w:r>
          </w:p>
        </w:tc>
        <w:tc>
          <w:tcPr>
            <w:tcW w:w="642" w:type="pct"/>
          </w:tcPr>
          <w:p>
            <w:pPr>
              <w:pStyle w:val="105"/>
              <w:rPr>
                <w:lang w:eastAsia="ja-JP"/>
              </w:rPr>
            </w:pPr>
            <w:r>
              <w:rPr>
                <w:lang w:eastAsia="ja-JP"/>
              </w:rPr>
              <w:t>44000</w:t>
            </w:r>
          </w:p>
        </w:tc>
        <w:tc>
          <w:tcPr>
            <w:tcW w:w="601" w:type="pct"/>
          </w:tcPr>
          <w:p>
            <w:pPr>
              <w:pStyle w:val="105"/>
            </w:pPr>
            <w:r>
              <w:t>N/A</w:t>
            </w:r>
          </w:p>
        </w:tc>
      </w:tr>
    </w:tbl>
    <w:p>
      <w:pPr>
        <w:tabs>
          <w:tab w:val="left" w:pos="726"/>
        </w:tabs>
        <w:rPr>
          <w:lang w:eastAsia="ja-JP"/>
        </w:rPr>
      </w:pPr>
    </w:p>
    <w:bookmarkEnd w:id="2487"/>
    <w:p>
      <w:pPr>
        <w:pStyle w:val="3"/>
        <w:rPr>
          <w:rFonts w:eastAsia="宋体"/>
          <w:lang w:val="en-US" w:eastAsia="zh-CN"/>
        </w:rPr>
      </w:pPr>
      <w:bookmarkStart w:id="2488" w:name="_Toc17711"/>
      <w:bookmarkStart w:id="2489" w:name="_Toc8246"/>
      <w:bookmarkStart w:id="2490" w:name="_Toc7763"/>
      <w:bookmarkStart w:id="2491" w:name="_Toc31099"/>
      <w:bookmarkStart w:id="2492" w:name="_Toc4467"/>
      <w:r>
        <w:t>G.</w:t>
      </w:r>
      <w:r>
        <w:rPr>
          <w:rFonts w:hint="eastAsia" w:eastAsia="宋体"/>
          <w:lang w:val="en-US" w:eastAsia="zh-CN"/>
        </w:rPr>
        <w:t>4</w:t>
      </w:r>
      <w:r>
        <w:tab/>
      </w:r>
      <w:r>
        <w:rPr>
          <w:rFonts w:hint="eastAsia" w:eastAsia="宋体"/>
          <w:lang w:val="en-US" w:eastAsia="zh-CN"/>
        </w:rPr>
        <w:t>[FFS]</w:t>
      </w:r>
      <w:bookmarkEnd w:id="2488"/>
      <w:bookmarkEnd w:id="2489"/>
      <w:bookmarkEnd w:id="2490"/>
      <w:bookmarkEnd w:id="2491"/>
      <w:bookmarkEnd w:id="2492"/>
    </w:p>
    <w:p/>
    <w:p>
      <w:pPr>
        <w:pStyle w:val="3"/>
        <w:rPr>
          <w:rFonts w:eastAsia="宋体"/>
          <w:lang w:val="en-US" w:eastAsia="zh-CN"/>
        </w:rPr>
      </w:pPr>
      <w:bookmarkStart w:id="2493" w:name="_Toc15569"/>
      <w:bookmarkStart w:id="2494" w:name="_Toc9870"/>
      <w:bookmarkStart w:id="2495" w:name="_Toc4677"/>
      <w:bookmarkStart w:id="2496" w:name="_Toc25683"/>
      <w:bookmarkStart w:id="2497" w:name="_Toc18924"/>
      <w:r>
        <w:t>G.</w:t>
      </w:r>
      <w:r>
        <w:rPr>
          <w:rFonts w:hint="eastAsia" w:eastAsia="宋体"/>
          <w:lang w:val="en-US" w:eastAsia="zh-CN"/>
        </w:rPr>
        <w:t>5</w:t>
      </w:r>
      <w:r>
        <w:tab/>
      </w:r>
      <w:r>
        <w:rPr>
          <w:rFonts w:hint="eastAsia" w:eastAsia="宋体"/>
          <w:lang w:val="en-US" w:eastAsia="zh-CN"/>
        </w:rPr>
        <w:t>[FFS]</w:t>
      </w:r>
      <w:bookmarkEnd w:id="2493"/>
      <w:bookmarkEnd w:id="2494"/>
      <w:bookmarkEnd w:id="2495"/>
      <w:bookmarkEnd w:id="2496"/>
      <w:bookmarkEnd w:id="2497"/>
    </w:p>
    <w:p/>
    <w:p>
      <w:pPr>
        <w:pStyle w:val="3"/>
        <w:rPr>
          <w:rFonts w:eastAsia="宋体"/>
          <w:lang w:val="en-US" w:eastAsia="zh-CN"/>
        </w:rPr>
      </w:pPr>
      <w:bookmarkStart w:id="2498" w:name="_Toc6859"/>
      <w:bookmarkStart w:id="2499" w:name="_Toc10383"/>
      <w:bookmarkStart w:id="2500" w:name="_Toc20982"/>
      <w:bookmarkStart w:id="2501" w:name="_Toc1758"/>
      <w:bookmarkStart w:id="2502" w:name="_Toc1116"/>
      <w:r>
        <w:t>G.</w:t>
      </w:r>
      <w:r>
        <w:rPr>
          <w:rFonts w:hint="eastAsia" w:eastAsia="宋体"/>
          <w:lang w:val="en-US" w:eastAsia="zh-CN"/>
        </w:rPr>
        <w:t>6</w:t>
      </w:r>
      <w:r>
        <w:tab/>
      </w:r>
      <w:r>
        <w:rPr>
          <w:rFonts w:hint="eastAsia" w:eastAsia="宋体"/>
          <w:lang w:val="en-US" w:eastAsia="zh-CN"/>
        </w:rPr>
        <w:t>[FFS]</w:t>
      </w:r>
      <w:bookmarkEnd w:id="2498"/>
      <w:bookmarkEnd w:id="2499"/>
      <w:bookmarkEnd w:id="2500"/>
      <w:bookmarkEnd w:id="2501"/>
      <w:bookmarkEnd w:id="2502"/>
    </w:p>
    <w:p/>
    <w:p/>
    <w:p>
      <w:pPr>
        <w:pStyle w:val="3"/>
      </w:pPr>
      <w:bookmarkStart w:id="2503" w:name="_Toc28505"/>
      <w:bookmarkStart w:id="2504" w:name="_Toc5400"/>
      <w:bookmarkStart w:id="2505" w:name="_Toc18309"/>
      <w:bookmarkStart w:id="2506" w:name="_Toc27845"/>
      <w:bookmarkStart w:id="2507" w:name="_Toc3446"/>
      <w:r>
        <w:t>G.7</w:t>
      </w:r>
      <w:r>
        <w:tab/>
      </w:r>
      <w:r>
        <w:t>Theory to derive the numbers in Table G.2.4-1 (Informative)</w:t>
      </w:r>
      <w:bookmarkEnd w:id="2503"/>
      <w:bookmarkEnd w:id="2504"/>
      <w:bookmarkEnd w:id="2505"/>
      <w:bookmarkEnd w:id="2506"/>
      <w:bookmarkEnd w:id="2507"/>
    </w:p>
    <w:p>
      <w:pPr>
        <w:pStyle w:val="112"/>
      </w:pPr>
      <w:r>
        <w:t>Editor's note:</w:t>
      </w:r>
      <w:r>
        <w:tab/>
      </w:r>
      <w:r>
        <w:t>This clause of the Annex G is for information only and it described the background theory and information to derive the entries in the table G.2.4-1.</w:t>
      </w:r>
    </w:p>
    <w:p>
      <w:pPr>
        <w:pStyle w:val="4"/>
      </w:pPr>
      <w:bookmarkStart w:id="2508" w:name="_Toc25223"/>
      <w:bookmarkStart w:id="2509" w:name="_Toc22586"/>
      <w:bookmarkStart w:id="2510" w:name="_Toc26567"/>
      <w:bookmarkStart w:id="2511" w:name="_Toc23666"/>
      <w:bookmarkStart w:id="2512" w:name="_Toc20832"/>
      <w:bookmarkStart w:id="2513" w:name="_Toc232582203"/>
      <w:r>
        <w:t>G.7.1</w:t>
      </w:r>
      <w:r>
        <w:tab/>
      </w:r>
      <w:r>
        <w:t>Error Ratio (ER)</w:t>
      </w:r>
      <w:bookmarkEnd w:id="2508"/>
      <w:bookmarkEnd w:id="2509"/>
      <w:bookmarkEnd w:id="2510"/>
      <w:bookmarkEnd w:id="2511"/>
      <w:bookmarkEnd w:id="2512"/>
      <w:bookmarkEnd w:id="2513"/>
    </w:p>
    <w:p>
      <w:r>
        <w:t>The Error Ratio (ER) is defined as the ratio of number of errors (ne) to all results, number of samples (ns).</w:t>
      </w:r>
    </w:p>
    <w:p>
      <w:r>
        <w:t>(1-ER is the success ratio).</w:t>
      </w:r>
    </w:p>
    <w:p>
      <w:pPr>
        <w:pStyle w:val="4"/>
      </w:pPr>
      <w:bookmarkStart w:id="2514" w:name="_Toc20962"/>
      <w:bookmarkStart w:id="2515" w:name="_Toc29225"/>
      <w:bookmarkStart w:id="2516" w:name="_Toc232582204"/>
      <w:bookmarkStart w:id="2517" w:name="_Toc22390"/>
      <w:bookmarkStart w:id="2518" w:name="_Toc29540"/>
      <w:bookmarkStart w:id="2519" w:name="_Toc1997"/>
      <w:r>
        <w:t>G.7.2</w:t>
      </w:r>
      <w:r>
        <w:tab/>
      </w:r>
      <w:r>
        <w:t>Test Design</w:t>
      </w:r>
      <w:bookmarkEnd w:id="2514"/>
      <w:bookmarkEnd w:id="2515"/>
      <w:bookmarkEnd w:id="2516"/>
      <w:bookmarkEnd w:id="2517"/>
      <w:bookmarkEnd w:id="2518"/>
      <w:bookmarkEnd w:id="2519"/>
    </w:p>
    <w:p>
      <w:r>
        <w:t>A statistical test is characterised by:</w:t>
      </w:r>
    </w:p>
    <w:p>
      <w:r>
        <w:t>Test-time, Selectivity and Confidence level.</w:t>
      </w:r>
    </w:p>
    <w:p>
      <w:pPr>
        <w:pStyle w:val="4"/>
      </w:pPr>
      <w:bookmarkStart w:id="2520" w:name="_Toc232582205"/>
      <w:bookmarkStart w:id="2521" w:name="_Toc26713"/>
      <w:bookmarkStart w:id="2522" w:name="_Toc9331"/>
      <w:bookmarkStart w:id="2523" w:name="_Toc11329"/>
      <w:bookmarkStart w:id="2524" w:name="_Toc4776"/>
      <w:bookmarkStart w:id="2525" w:name="_Toc1780"/>
      <w:r>
        <w:t>G.7.3</w:t>
      </w:r>
      <w:r>
        <w:tab/>
      </w:r>
      <w:r>
        <w:t>Confidence level</w:t>
      </w:r>
      <w:bookmarkEnd w:id="2520"/>
      <w:bookmarkEnd w:id="2521"/>
      <w:bookmarkEnd w:id="2522"/>
      <w:bookmarkEnd w:id="2523"/>
      <w:bookmarkEnd w:id="2524"/>
      <w:bookmarkEnd w:id="2525"/>
    </w:p>
    <w:p>
      <w:r>
        <w:t>The outcome of a statistical test is a decision. This decision may be correct or in-correct. The Confidence Level CL describes the probability that the decision is a correct one. The complement is the wrong decision probability (risk) D = 1-CL</w:t>
      </w:r>
    </w:p>
    <w:p>
      <w:pPr>
        <w:pStyle w:val="4"/>
      </w:pPr>
      <w:bookmarkStart w:id="2526" w:name="_Toc232582206"/>
      <w:bookmarkStart w:id="2527" w:name="_Toc13326"/>
      <w:bookmarkStart w:id="2528" w:name="_Toc28644"/>
      <w:bookmarkStart w:id="2529" w:name="_Toc1806"/>
      <w:bookmarkStart w:id="2530" w:name="_Toc21491"/>
      <w:bookmarkStart w:id="2531" w:name="_Toc31363"/>
      <w:r>
        <w:t>G.7.4</w:t>
      </w:r>
      <w:r>
        <w:tab/>
      </w:r>
      <w:r>
        <w:t>Introduction: Supplier Risk versus Customer Risk</w:t>
      </w:r>
      <w:bookmarkEnd w:id="2526"/>
      <w:bookmarkEnd w:id="2527"/>
      <w:bookmarkEnd w:id="2528"/>
      <w:bookmarkEnd w:id="2529"/>
      <w:bookmarkEnd w:id="2530"/>
      <w:bookmarkEnd w:id="2531"/>
    </w:p>
    <w:p>
      <w:r>
        <w:t>There are two targets of decision:</w:t>
      </w:r>
    </w:p>
    <w:p>
      <w:pPr>
        <w:pStyle w:val="111"/>
      </w:pPr>
      <w:r>
        <w:t>(a)</w:t>
      </w:r>
      <w:r>
        <w:tab/>
      </w:r>
      <w:r>
        <w:t>A measurement on the pass-limit shows, that the DUT has the specified quality or is better with probability CL (CL e.g.95%) This shall lead to a "pass decision"</w:t>
      </w:r>
    </w:p>
    <w:p>
      <w:pPr>
        <w:pStyle w:val="111"/>
      </w:pPr>
      <w:r>
        <w:tab/>
      </w:r>
      <w:r>
        <w:t>The pass-limit is on the good side of the specified DUT-quality. A more stringent CL (CL e.g.99%) shifts the pass-limit farer into the good direction. Given the quality of the DUTs is distributed, a greater CL passes less and better DUTs.</w:t>
      </w:r>
    </w:p>
    <w:p>
      <w:pPr>
        <w:pStyle w:val="111"/>
      </w:pPr>
      <w:r>
        <w:tab/>
      </w:r>
      <w:r>
        <w:t>A measurement on the bad side of the pass-limit is simply “not pass” (undecided or artificial fail).</w:t>
      </w:r>
    </w:p>
    <w:p>
      <w:pPr>
        <w:pStyle w:val="122"/>
      </w:pPr>
      <w:r>
        <w:t>(aa)</w:t>
      </w:r>
      <w:r>
        <w:tab/>
      </w:r>
      <w:r>
        <w:t>Complementary:</w:t>
      </w:r>
    </w:p>
    <w:p>
      <w:pPr>
        <w:pStyle w:val="122"/>
      </w:pPr>
      <w:r>
        <w:tab/>
      </w:r>
      <w:r>
        <w:t>A measurement on the fail-limit shows, that the DUT is worse than the specified quality with probability CL.</w:t>
      </w:r>
    </w:p>
    <w:p>
      <w:pPr>
        <w:pStyle w:val="122"/>
      </w:pPr>
      <w:r>
        <w:tab/>
      </w:r>
      <w:r>
        <w:t>The fail-limit is on the bad side of the specified DUT-quality. A more stringent CL shifts the fail-limit farer into the bad direction. Given the quality of the DUTs is distributed, a greater CL fails less and worse DUTs.</w:t>
      </w:r>
    </w:p>
    <w:p>
      <w:pPr>
        <w:pStyle w:val="122"/>
      </w:pPr>
      <w:r>
        <w:tab/>
      </w:r>
      <w:r>
        <w:t>A measurement on the good side of the fail-limit is simply “not fail”.</w:t>
      </w:r>
    </w:p>
    <w:p>
      <w:pPr>
        <w:pStyle w:val="111"/>
      </w:pPr>
      <w:r>
        <w:t>(b)</w:t>
      </w:r>
      <w:r>
        <w:tab/>
      </w:r>
      <w:r>
        <w:t>A DUT, known to have the specified quality, shall be measured and decided pass with probability CL. This leads to the test limit.</w:t>
      </w:r>
    </w:p>
    <w:p>
      <w:pPr>
        <w:pStyle w:val="111"/>
      </w:pPr>
      <w:r>
        <w:tab/>
      </w:r>
      <w:r>
        <w:t>For CL e.g. 95%, the test limit is on the bad side of the specified DUT-quality. CL e.g.99% shifts the pass-limit farer into the bad direction. Given the DUT-quality is distributed, a greater CL passes more and worse DUTs.</w:t>
      </w:r>
    </w:p>
    <w:p>
      <w:pPr>
        <w:pStyle w:val="122"/>
      </w:pPr>
      <w:r>
        <w:t>(bb)</w:t>
      </w:r>
      <w:r>
        <w:tab/>
      </w:r>
      <w:r>
        <w:t>A DUT, known to be an (ε</w:t>
      </w:r>
      <w:r>
        <w:rPr/>
        <w:sym w:font="Wingdings" w:char="00E0"/>
      </w:r>
      <w:r>
        <w:t>0) beyond the specified quality, shall be measured and decided fail with probability CL.</w:t>
      </w:r>
    </w:p>
    <w:p>
      <w:pPr>
        <w:pStyle w:val="122"/>
      </w:pPr>
      <w:r>
        <w:tab/>
      </w:r>
      <w:r>
        <w:t>For CL e.g.95%, the test limit is on the good side of the specified DUT-quality.</w:t>
      </w:r>
    </w:p>
    <w:p>
      <w:pPr>
        <w:pStyle w:val="100"/>
      </w:pPr>
      <w:r>
        <w:t>NOTE 1:</w:t>
      </w:r>
      <w:r>
        <w:tab/>
      </w:r>
      <w:r>
        <w:t>The different sense for CL in (a), (aa) versus (b), (bb).</w:t>
      </w:r>
    </w:p>
    <w:p>
      <w:pPr>
        <w:pStyle w:val="100"/>
      </w:pPr>
      <w:r>
        <w:t>NOTE 2:</w:t>
      </w:r>
      <w:r>
        <w:tab/>
      </w:r>
      <w:r>
        <w:t>For constant CL in all 4 bullets (a) is equivalent to (bb) and (aa) is equivalent to (b).</w:t>
      </w:r>
    </w:p>
    <w:p>
      <w:pPr>
        <w:pStyle w:val="4"/>
      </w:pPr>
      <w:bookmarkStart w:id="2532" w:name="_Toc1572"/>
      <w:bookmarkStart w:id="2533" w:name="_Toc232582207"/>
      <w:bookmarkStart w:id="2534" w:name="_Toc17230"/>
      <w:bookmarkStart w:id="2535" w:name="_Toc20381"/>
      <w:bookmarkStart w:id="2536" w:name="_Toc11667"/>
      <w:bookmarkStart w:id="2537" w:name="_Toc20551"/>
      <w:r>
        <w:t>G.7.5</w:t>
      </w:r>
      <w:r>
        <w:tab/>
      </w:r>
      <w:r>
        <w:t>Supplier Risk versus Customer Risk</w:t>
      </w:r>
      <w:bookmarkEnd w:id="2532"/>
      <w:bookmarkEnd w:id="2533"/>
      <w:bookmarkEnd w:id="2534"/>
      <w:bookmarkEnd w:id="2535"/>
      <w:bookmarkEnd w:id="2536"/>
      <w:bookmarkEnd w:id="2537"/>
    </w:p>
    <w:p>
      <w:r>
        <w:t>The table below summarizes the different targets of decision.</w:t>
      </w:r>
    </w:p>
    <w:p>
      <w:pPr>
        <w:pStyle w:val="113"/>
      </w:pPr>
      <w:r>
        <w:t>Table G.X.5-1: Equivalent statements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4"/>
        <w:gridCol w:w="2880"/>
        <w:gridCol w:w="2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4" w:type="dxa"/>
            <w:shd w:val="clear" w:color="auto" w:fill="auto"/>
          </w:tcPr>
          <w:p>
            <w:pPr>
              <w:pStyle w:val="104"/>
              <w:rPr>
                <w:lang w:eastAsia="zh-CN"/>
              </w:rPr>
            </w:pPr>
          </w:p>
        </w:tc>
        <w:tc>
          <w:tcPr>
            <w:tcW w:w="5760" w:type="dxa"/>
            <w:gridSpan w:val="2"/>
            <w:shd w:val="clear" w:color="auto" w:fill="auto"/>
          </w:tcPr>
          <w:p>
            <w:pPr>
              <w:pStyle w:val="104"/>
              <w:rPr>
                <w:lang w:eastAsia="ko-KR"/>
              </w:rPr>
            </w:pPr>
            <w:r>
              <w:rPr>
                <w:lang w:eastAsia="zh-CN"/>
              </w:rPr>
              <w:t>Equivalent statements, using different cause-to-effect-directions,</w:t>
            </w:r>
          </w:p>
          <w:p>
            <w:pPr>
              <w:pStyle w:val="104"/>
              <w:rPr>
                <w:lang w:eastAsia="ko-KR"/>
              </w:rPr>
            </w:pPr>
            <w:r>
              <w:rPr>
                <w:lang w:eastAsia="zh-CN"/>
              </w:rPr>
              <w:t xml:space="preserve"> and assuming CL = constant &gt;1/2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4" w:type="dxa"/>
            <w:shd w:val="clear" w:color="auto" w:fill="auto"/>
          </w:tcPr>
          <w:p>
            <w:pPr>
              <w:pStyle w:val="103"/>
              <w:overflowPunct w:val="0"/>
              <w:autoSpaceDE w:val="0"/>
              <w:autoSpaceDN w:val="0"/>
              <w:adjustRightInd w:val="0"/>
              <w:textAlignment w:val="baseline"/>
              <w:rPr>
                <w:lang w:eastAsia="ko-KR"/>
              </w:rPr>
            </w:pPr>
            <w:r>
              <w:t>cause-to-effect-directions</w:t>
            </w:r>
          </w:p>
        </w:tc>
        <w:tc>
          <w:tcPr>
            <w:tcW w:w="2880" w:type="dxa"/>
            <w:shd w:val="clear" w:color="auto" w:fill="auto"/>
          </w:tcPr>
          <w:p>
            <w:pPr>
              <w:pStyle w:val="105"/>
              <w:rPr>
                <w:lang w:eastAsia="ko-KR"/>
              </w:rPr>
            </w:pPr>
            <w:r>
              <w:t xml:space="preserve">Known measurement result </w:t>
            </w:r>
            <w:r>
              <w:rPr/>
              <w:sym w:font="Wingdings" w:char="00E0"/>
            </w:r>
            <w:r>
              <w:t xml:space="preserve"> estimation of the DUT’s quality</w:t>
            </w:r>
          </w:p>
        </w:tc>
        <w:tc>
          <w:tcPr>
            <w:tcW w:w="2880" w:type="dxa"/>
            <w:shd w:val="clear" w:color="auto" w:fill="auto"/>
          </w:tcPr>
          <w:p>
            <w:pPr>
              <w:pStyle w:val="105"/>
              <w:rPr>
                <w:lang w:eastAsia="ko-KR"/>
              </w:rPr>
            </w:pPr>
            <w:r>
              <w:t xml:space="preserve">Known DUT’s quality </w:t>
            </w:r>
            <w:r>
              <w:rPr/>
              <w:sym w:font="Wingdings" w:char="00E0"/>
            </w:r>
            <w:r>
              <w:t xml:space="preserve"> estimation of the measurement’s outcome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4" w:type="dxa"/>
            <w:shd w:val="clear" w:color="auto" w:fill="auto"/>
          </w:tcPr>
          <w:p>
            <w:pPr>
              <w:pStyle w:val="103"/>
              <w:overflowPunct w:val="0"/>
              <w:autoSpaceDE w:val="0"/>
              <w:autoSpaceDN w:val="0"/>
              <w:adjustRightInd w:val="0"/>
              <w:textAlignment w:val="baseline"/>
              <w:rPr>
                <w:lang w:eastAsia="ko-KR"/>
              </w:rPr>
            </w:pPr>
            <w:r>
              <w:t>Supplier Risk</w:t>
            </w:r>
          </w:p>
        </w:tc>
        <w:tc>
          <w:tcPr>
            <w:tcW w:w="2880" w:type="dxa"/>
            <w:shd w:val="clear" w:color="auto" w:fill="E6E6E6"/>
          </w:tcPr>
          <w:p>
            <w:pPr>
              <w:pStyle w:val="105"/>
              <w:rPr>
                <w:lang w:eastAsia="ko-KR"/>
              </w:rPr>
            </w:pPr>
            <w:r>
              <w:t>A measurement on the pass-limit shows, that the DUT has the specified quality or is better (a)</w:t>
            </w:r>
          </w:p>
        </w:tc>
        <w:tc>
          <w:tcPr>
            <w:tcW w:w="2880" w:type="dxa"/>
            <w:shd w:val="clear" w:color="auto" w:fill="auto"/>
          </w:tcPr>
          <w:p>
            <w:pPr>
              <w:pStyle w:val="105"/>
              <w:rPr>
                <w:lang w:eastAsia="ko-KR"/>
              </w:rPr>
            </w:pPr>
            <w:r>
              <w:t>A DUT, known to have an (ε</w:t>
            </w:r>
            <w:r>
              <w:rPr/>
              <w:sym w:font="Wingdings" w:char="00E0"/>
            </w:r>
            <w:r>
              <w:t>0) beyond the specified DUT-quality, shall be measured and decided fail (bb)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4" w:type="dxa"/>
            <w:shd w:val="clear" w:color="auto" w:fill="auto"/>
          </w:tcPr>
          <w:p>
            <w:pPr>
              <w:pStyle w:val="103"/>
              <w:overflowPunct w:val="0"/>
              <w:autoSpaceDE w:val="0"/>
              <w:autoSpaceDN w:val="0"/>
              <w:adjustRightInd w:val="0"/>
              <w:textAlignment w:val="baseline"/>
              <w:rPr>
                <w:lang w:eastAsia="ko-KR"/>
              </w:rPr>
            </w:pPr>
            <w:r>
              <w:t>Customer Risk</w:t>
            </w:r>
          </w:p>
        </w:tc>
        <w:tc>
          <w:tcPr>
            <w:tcW w:w="2880" w:type="dxa"/>
            <w:shd w:val="clear" w:color="auto" w:fill="auto"/>
          </w:tcPr>
          <w:p>
            <w:pPr>
              <w:pStyle w:val="105"/>
              <w:rPr>
                <w:lang w:eastAsia="ko-KR"/>
              </w:rPr>
            </w:pPr>
            <w:r>
              <w:t>A measurement on the fail-limit shall shows, that the DUT is worse than the specified quality (aa)</w:t>
            </w:r>
          </w:p>
        </w:tc>
        <w:tc>
          <w:tcPr>
            <w:tcW w:w="2880" w:type="dxa"/>
            <w:shd w:val="clear" w:color="auto" w:fill="E6E6E6"/>
          </w:tcPr>
          <w:p>
            <w:pPr>
              <w:pStyle w:val="105"/>
              <w:rPr>
                <w:lang w:eastAsia="ko-KR"/>
              </w:rPr>
            </w:pPr>
            <w:r>
              <w:t>A DUT, known to have the specified quality, shall be measured and decided pass (b)</w:t>
            </w:r>
          </w:p>
        </w:tc>
      </w:tr>
    </w:tbl>
    <w:p>
      <w:pPr>
        <w:rPr>
          <w:lang w:eastAsia="ko-KR"/>
        </w:rPr>
      </w:pPr>
    </w:p>
    <w:p>
      <w:r>
        <w:t>The shaded area shown the direct interpretation of Supplier Risk and Customer Risk.</w:t>
      </w:r>
    </w:p>
    <w:p>
      <w:r>
        <w:t>The same statements can be based on other DUT-quality-definitions.</w:t>
      </w:r>
    </w:p>
    <w:p>
      <w:pPr>
        <w:pStyle w:val="4"/>
      </w:pPr>
      <w:bookmarkStart w:id="2538" w:name="_Toc17894"/>
      <w:bookmarkStart w:id="2539" w:name="_Toc27192"/>
      <w:bookmarkStart w:id="2540" w:name="_Toc19785"/>
      <w:bookmarkStart w:id="2541" w:name="_Toc14249"/>
      <w:bookmarkStart w:id="2542" w:name="_Toc232582208"/>
      <w:bookmarkStart w:id="2543" w:name="_Toc24833"/>
      <w:r>
        <w:t>G.7.6</w:t>
      </w:r>
      <w:r>
        <w:tab/>
      </w:r>
      <w:r>
        <w:t>Introduction: Standard test versus early decision concept</w:t>
      </w:r>
      <w:bookmarkEnd w:id="2538"/>
      <w:bookmarkEnd w:id="2539"/>
      <w:bookmarkEnd w:id="2540"/>
      <w:bookmarkEnd w:id="2541"/>
      <w:bookmarkEnd w:id="2542"/>
      <w:bookmarkEnd w:id="2543"/>
    </w:p>
    <w:p>
      <w:r>
        <w:t>In standard statistical tests, a certain number of results (ns) is predefined in advance to the test. After ns results the number of bad results (ne) is counted and the error ratio (ER) is calculated by ne/ns.</w:t>
      </w:r>
    </w:p>
    <w:p>
      <w:r>
        <w:t>Applying statistical theory, a decision limit can be designed, against which the calculated ER is compared to derive the decision. Such a limit is one decision point and is characterised by:</w:t>
      </w:r>
    </w:p>
    <w:p>
      <w:pPr>
        <w:pStyle w:val="111"/>
      </w:pPr>
      <w:r>
        <w:t>-</w:t>
      </w:r>
      <w:r>
        <w:tab/>
      </w:r>
      <w:r>
        <w:t>D: the wrong decision probability (a predefined parameter)</w:t>
      </w:r>
    </w:p>
    <w:p>
      <w:pPr>
        <w:pStyle w:val="111"/>
      </w:pPr>
      <w:r>
        <w:t>-</w:t>
      </w:r>
      <w:r>
        <w:tab/>
      </w:r>
      <w:r>
        <w:t>ns: the number of results (a fixed predefined parameter)</w:t>
      </w:r>
    </w:p>
    <w:p>
      <w:pPr>
        <w:pStyle w:val="111"/>
      </w:pPr>
      <w:r>
        <w:t>-</w:t>
      </w:r>
      <w:r>
        <w:tab/>
      </w:r>
      <w:r>
        <w:t>ne: the number of bad results (the limit based on just ns)</w:t>
      </w:r>
    </w:p>
    <w:p>
      <w:r>
        <w:t>In the formula for the limit, D and ns can be understood as variable parameter and variable. However the standard test execution requires fixed ns and D. The property of such a test is: It discriminate between two states only, depending on the test design:</w:t>
      </w:r>
    </w:p>
    <w:p>
      <w:pPr>
        <w:pStyle w:val="111"/>
      </w:pPr>
      <w:r>
        <w:t>-</w:t>
      </w:r>
      <w:r>
        <w:tab/>
      </w:r>
      <w:r>
        <w:t>pass (with CL) / undecided           (undecided in the sense: finally undecided)</w:t>
      </w:r>
    </w:p>
    <w:p>
      <w:pPr>
        <w:pStyle w:val="111"/>
      </w:pPr>
      <w:r>
        <w:t>-</w:t>
      </w:r>
      <w:r>
        <w:tab/>
      </w:r>
      <w:r>
        <w:t>fail (with CL) / undecided            (undecided in the sense: finally undecided)</w:t>
      </w:r>
    </w:p>
    <w:p>
      <w:pPr>
        <w:pStyle w:val="111"/>
      </w:pPr>
      <w:r>
        <w:t>-</w:t>
      </w:r>
      <w:r>
        <w:tab/>
      </w:r>
      <w:r>
        <w:t>pass(with CL)  / fail (with CL)     (however against two limits).</w:t>
      </w:r>
    </w:p>
    <w:p>
      <w:r>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pPr>
        <w:pStyle w:val="111"/>
      </w:pPr>
      <w:r>
        <w:t>-</w:t>
      </w:r>
      <w:r>
        <w:tab/>
      </w:r>
      <w:r>
        <w:t>D: the wrong decision probability (a predefined parameter)</w:t>
      </w:r>
    </w:p>
    <w:p>
      <w:pPr>
        <w:pStyle w:val="111"/>
      </w:pPr>
      <w:r>
        <w:t>-</w:t>
      </w:r>
      <w:r>
        <w:tab/>
      </w:r>
      <w:r>
        <w:t>ns: the number of results (a variable parameter)</w:t>
      </w:r>
    </w:p>
    <w:p>
      <w:pPr>
        <w:pStyle w:val="111"/>
      </w:pPr>
      <w:r>
        <w:t>-</w:t>
      </w:r>
      <w:r>
        <w:tab/>
      </w:r>
      <w:r>
        <w:t>ne: the number of bad results (the limit. It varies together with ns)</w:t>
      </w:r>
    </w:p>
    <w:p>
      <w:r>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pPr>
        <w:pStyle w:val="4"/>
      </w:pPr>
      <w:bookmarkStart w:id="2544" w:name="_Toc30581"/>
      <w:bookmarkStart w:id="2545" w:name="_Toc8896"/>
      <w:bookmarkStart w:id="2546" w:name="_Toc13903"/>
      <w:bookmarkStart w:id="2547" w:name="_Toc232582209"/>
      <w:bookmarkStart w:id="2548" w:name="_Toc13080"/>
      <w:bookmarkStart w:id="2549" w:name="_Toc27427"/>
      <w:r>
        <w:t>G.7.7</w:t>
      </w:r>
      <w:r>
        <w:tab/>
      </w:r>
      <w:r>
        <w:t>Standard test versus early decision concept</w:t>
      </w:r>
      <w:bookmarkEnd w:id="2544"/>
      <w:bookmarkEnd w:id="2545"/>
      <w:bookmarkEnd w:id="2546"/>
      <w:bookmarkEnd w:id="2547"/>
      <w:bookmarkEnd w:id="2548"/>
      <w:bookmarkEnd w:id="2549"/>
    </w:p>
    <w:p>
      <w:r>
        <w:t>For Supplier Risk:</w:t>
      </w:r>
    </w:p>
    <w:p>
      <w:r>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r>
        <w:t>For Customer Risk:</w:t>
      </w:r>
    </w:p>
    <w:p>
      <w:r>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pPr>
        <w:pStyle w:val="4"/>
      </w:pPr>
      <w:bookmarkStart w:id="2550" w:name="_Toc14400"/>
      <w:bookmarkStart w:id="2551" w:name="_Toc8823"/>
      <w:bookmarkStart w:id="2552" w:name="_Toc30904"/>
      <w:bookmarkStart w:id="2553" w:name="_Toc28535"/>
      <w:bookmarkStart w:id="2554" w:name="_Toc22918"/>
      <w:bookmarkStart w:id="2555" w:name="_Toc232582210"/>
      <w:r>
        <w:t>G.7.8</w:t>
      </w:r>
      <w:r>
        <w:tab/>
      </w:r>
      <w:r>
        <w:t>Selectivity</w:t>
      </w:r>
      <w:bookmarkEnd w:id="2550"/>
      <w:bookmarkEnd w:id="2551"/>
      <w:bookmarkEnd w:id="2552"/>
      <w:bookmarkEnd w:id="2553"/>
      <w:bookmarkEnd w:id="2554"/>
      <w:bookmarkEnd w:id="2555"/>
    </w:p>
    <w:p>
      <w:r>
        <w:t>There is no statistical test which can discriminate between a limit DUT and a DUT which is an (ε</w:t>
      </w:r>
      <w:r>
        <w:rPr/>
        <w:sym w:font="Wingdings" w:char="00E0"/>
      </w:r>
      <w:r>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r>
        <w:t>For CL&gt;1/2, a (measurement-result = specified-DUT-quality), generates undecided in test “supplier risk against pass limit” (a, from above) and also in the test “customer risk against the fail limit “ (aa)</w:t>
      </w:r>
    </w:p>
    <w:p>
      <w:r>
        <w:t>For CL&gt;1/2, a DUT, known to be on the limit, will be decided pass for the test “customer risk against pass limit” (b) and also “supplier risk against fail limit” (bb).</w:t>
      </w:r>
    </w:p>
    <w:p>
      <w:pPr>
        <w:rPr>
          <w:sz w:val="24"/>
          <w:szCs w:val="24"/>
        </w:rPr>
      </w:pPr>
      <w:r>
        <w:t>This overlap or undecided area is not a fault or a contradiction, however it can be avoided by introducing a Bad or a Good DUT quality according to</w:t>
      </w:r>
      <w:r>
        <w:rPr>
          <w:sz w:val="24"/>
          <w:szCs w:val="24"/>
        </w:rPr>
        <w:t>:</w:t>
      </w:r>
    </w:p>
    <w:p>
      <w:pPr>
        <w:pStyle w:val="111"/>
      </w:pPr>
      <w:r>
        <w:t>-</w:t>
      </w:r>
      <w:r>
        <w:tab/>
      </w:r>
      <w:r>
        <w:t>Bad DUT quality: specified DUT-quality * M (M&gt;1)</w:t>
      </w:r>
    </w:p>
    <w:p>
      <w:pPr>
        <w:pStyle w:val="111"/>
      </w:pPr>
      <w:r>
        <w:t>-</w:t>
      </w:r>
      <w:r>
        <w:tab/>
      </w:r>
      <w:r>
        <w:t>Good DUT quality: specified DUT-quality * m (m&lt;1)</w:t>
      </w:r>
    </w:p>
    <w:p>
      <w:r>
        <w:t>Using e.g. M&gt;1 and CL=95% the test for different DUT qualities yield different pass probabilities:</w:t>
      </w:r>
    </w:p>
    <w:p>
      <w:pPr>
        <w:pStyle w:val="113"/>
      </w:pPr>
      <w:bookmarkStart w:id="2556" w:name="_MON_1293025206"/>
      <w:bookmarkEnd w:id="2556"/>
      <w:bookmarkStart w:id="2557" w:name="_MON_1293177945"/>
      <w:bookmarkEnd w:id="2557"/>
      <w:bookmarkStart w:id="2558" w:name="_MON_1293037291"/>
      <w:bookmarkEnd w:id="2558"/>
      <w:r>
        <w:object>
          <v:shape id="_x0000_i1246" o:spt="75" type="#_x0000_t75" style="height:226.8pt;width:482.4pt;" o:ole="t" filled="f" o:preferrelative="t" stroked="f" coordsize="21600,21600">
            <v:path/>
            <v:fill on="f" focussize="0,0"/>
            <v:stroke on="f" joinstyle="miter"/>
            <v:imagedata r:id="rId368" o:title=""/>
            <o:lock v:ext="edit" aspectratio="t"/>
            <w10:wrap type="none"/>
            <w10:anchorlock/>
          </v:shape>
          <o:OLEObject Type="Embed" ProgID="Word.Document.8" ShapeID="_x0000_i1246" DrawAspect="Content" ObjectID="_1468075946" r:id="rId367">
            <o:LockedField>false</o:LockedField>
          </o:OLEObject>
        </w:object>
      </w:r>
    </w:p>
    <w:p>
      <w:pPr>
        <w:pStyle w:val="120"/>
      </w:pPr>
      <w:r>
        <w:t>Figure G.X.8-1: Pass probability versus DUT quality</w:t>
      </w:r>
    </w:p>
    <w:p/>
    <w:p>
      <w:pPr>
        <w:pStyle w:val="4"/>
      </w:pPr>
      <w:bookmarkStart w:id="2559" w:name="_Toc3653"/>
      <w:bookmarkStart w:id="2560" w:name="_Toc13161"/>
      <w:bookmarkStart w:id="2561" w:name="_Toc11716"/>
      <w:bookmarkStart w:id="2562" w:name="_Toc232582211"/>
      <w:bookmarkStart w:id="2563" w:name="_Toc23299"/>
      <w:bookmarkStart w:id="2564" w:name="_Toc13120"/>
      <w:r>
        <w:t>G.7.9</w:t>
      </w:r>
      <w:r>
        <w:tab/>
      </w:r>
      <w:r>
        <w:t>Design of the test</w:t>
      </w:r>
      <w:bookmarkEnd w:id="2559"/>
      <w:bookmarkEnd w:id="2560"/>
      <w:bookmarkEnd w:id="2561"/>
      <w:bookmarkEnd w:id="2562"/>
      <w:bookmarkEnd w:id="2563"/>
      <w:bookmarkEnd w:id="2564"/>
    </w:p>
    <w:p>
      <w:r>
        <w:t>The receiver characteristic test are defined by the following design principles:</w:t>
      </w:r>
    </w:p>
    <w:p>
      <w:pPr>
        <w:pStyle w:val="111"/>
      </w:pPr>
      <w:r>
        <w:t>1.</w:t>
      </w:r>
      <w:r>
        <w:tab/>
      </w:r>
      <w:r>
        <w:t>The early decision concept is applied.</w:t>
      </w:r>
    </w:p>
    <w:p>
      <w:pPr>
        <w:pStyle w:val="111"/>
      </w:pPr>
      <w:r>
        <w:t>2.</w:t>
      </w:r>
      <w:r>
        <w:tab/>
      </w:r>
      <w:r>
        <w:t>A second limit is introduced: Bad DUT factor M&gt;1</w:t>
      </w:r>
    </w:p>
    <w:p>
      <w:pPr>
        <w:pStyle w:val="111"/>
      </w:pPr>
      <w:r>
        <w:t>3.</w:t>
      </w:r>
      <w:r>
        <w:tab/>
      </w:r>
      <w:r>
        <w:t>To decide the test pass:</w:t>
      </w:r>
    </w:p>
    <w:p>
      <w:pPr>
        <w:pStyle w:val="122"/>
        <w:rPr>
          <w:b/>
        </w:rPr>
      </w:pPr>
      <w:r>
        <w:tab/>
      </w:r>
      <w:r>
        <w:t>Supplier risk is applied based on the Bad DUT quality</w:t>
      </w:r>
    </w:p>
    <w:p>
      <w:pPr>
        <w:pStyle w:val="122"/>
      </w:pPr>
      <w:r>
        <w:tab/>
      </w:r>
      <w:r>
        <w:t>To decide the test fail</w:t>
      </w:r>
    </w:p>
    <w:p>
      <w:pPr>
        <w:pStyle w:val="122"/>
      </w:pPr>
      <w:r>
        <w:tab/>
      </w:r>
      <w:r>
        <w:t>Customer Risk is applied based on the specified DUT quality</w:t>
      </w:r>
    </w:p>
    <w:p>
      <w:r>
        <w:t>The receiver characteristic test are defined by the following parameters:</w:t>
      </w:r>
    </w:p>
    <w:p>
      <w:pPr>
        <w:pStyle w:val="111"/>
      </w:pPr>
      <w:r>
        <w:t>1.</w:t>
      </w:r>
      <w:r>
        <w:tab/>
      </w:r>
      <w:r>
        <w:t>Limit ER = 0.05</w:t>
      </w:r>
    </w:p>
    <w:p>
      <w:pPr>
        <w:pStyle w:val="111"/>
      </w:pPr>
      <w:r>
        <w:t>2.</w:t>
      </w:r>
      <w:r>
        <w:tab/>
      </w:r>
      <w:r>
        <w:t>Bad DUT factor M=1.5 (selectivity)</w:t>
      </w:r>
    </w:p>
    <w:p>
      <w:pPr>
        <w:pStyle w:val="111"/>
      </w:pPr>
      <w:r>
        <w:t>3.</w:t>
      </w:r>
      <w:r>
        <w:tab/>
      </w:r>
      <w:r>
        <w:t>Confidence level CL = 95% (for specified DUT and Bad DUT-quality)</w:t>
      </w:r>
    </w:p>
    <w:p>
      <w:r>
        <w:t>This has the following consequences:</w:t>
      </w:r>
    </w:p>
    <w:p>
      <w:pPr>
        <w:pStyle w:val="111"/>
      </w:pPr>
      <w:r>
        <w:t>1.</w:t>
      </w:r>
      <w:r>
        <w:tab/>
      </w:r>
      <w:r>
        <w:t>A measurement on the fail limit is connected with 2 equivalent statements:</w:t>
      </w:r>
    </w:p>
    <w:tbl>
      <w:tblPr>
        <w:tblStyle w:val="89"/>
        <w:tblW w:w="0" w:type="auto"/>
        <w:jc w:val="center"/>
        <w:tblBorders>
          <w:top w:val="single" w:color="auto" w:sz="4" w:space="0"/>
          <w:left w:val="single" w:color="auto" w:sz="18" w:space="0"/>
          <w:bottom w:val="single" w:color="auto" w:sz="4" w:space="0"/>
          <w:right w:val="single" w:color="auto" w:sz="4" w:space="0"/>
          <w:insideH w:val="single" w:color="auto" w:sz="18" w:space="0"/>
          <w:insideV w:val="single" w:color="auto" w:sz="18" w:space="0"/>
        </w:tblBorders>
        <w:tblLayout w:type="autofit"/>
        <w:tblCellMar>
          <w:top w:w="0" w:type="dxa"/>
          <w:left w:w="108" w:type="dxa"/>
          <w:bottom w:w="0" w:type="dxa"/>
          <w:right w:w="108" w:type="dxa"/>
        </w:tblCellMar>
      </w:tblPr>
      <w:tblGrid>
        <w:gridCol w:w="4137"/>
        <w:gridCol w:w="3785"/>
      </w:tblGrid>
      <w:tr>
        <w:tblPrEx>
          <w:tblBorders>
            <w:top w:val="single" w:color="auto" w:sz="4" w:space="0"/>
            <w:left w:val="single" w:color="auto" w:sz="18" w:space="0"/>
            <w:bottom w:val="single" w:color="auto" w:sz="4" w:space="0"/>
            <w:right w:val="single" w:color="auto" w:sz="4" w:space="0"/>
            <w:insideH w:val="single" w:color="auto" w:sz="18" w:space="0"/>
            <w:insideV w:val="single" w:color="auto" w:sz="18" w:space="0"/>
          </w:tblBorders>
        </w:tblPrEx>
        <w:trPr>
          <w:jc w:val="center"/>
        </w:trPr>
        <w:tc>
          <w:tcPr>
            <w:tcW w:w="4137" w:type="dxa"/>
            <w:tcBorders>
              <w:top w:val="single" w:color="auto" w:sz="4" w:space="0"/>
              <w:left w:val="single" w:color="auto" w:sz="2" w:space="0"/>
              <w:bottom w:val="single" w:color="auto" w:sz="4" w:space="0"/>
              <w:right w:val="single" w:color="auto" w:sz="2" w:space="0"/>
            </w:tcBorders>
            <w:shd w:val="clear" w:color="auto" w:fill="auto"/>
          </w:tcPr>
          <w:p>
            <w:pPr>
              <w:pStyle w:val="103"/>
              <w:rPr>
                <w:lang w:eastAsia="ko-KR"/>
              </w:rPr>
            </w:pPr>
            <w:r>
              <w:t>A measurement on the fail-limit shows, that the DUT is worse than the specified DUT-quality</w:t>
            </w:r>
          </w:p>
        </w:tc>
        <w:tc>
          <w:tcPr>
            <w:tcW w:w="3785" w:type="dxa"/>
            <w:tcBorders>
              <w:top w:val="single" w:color="auto" w:sz="4" w:space="0"/>
              <w:left w:val="single" w:color="auto" w:sz="2" w:space="0"/>
              <w:bottom w:val="single" w:color="auto" w:sz="4" w:space="0"/>
              <w:right w:val="single" w:color="auto" w:sz="4" w:space="0"/>
            </w:tcBorders>
            <w:shd w:val="clear" w:color="auto" w:fill="auto"/>
          </w:tcPr>
          <w:p>
            <w:pPr>
              <w:pStyle w:val="103"/>
              <w:rPr>
                <w:lang w:eastAsia="ko-KR"/>
              </w:rPr>
            </w:pPr>
            <w:r>
              <w:t>A DUT, known have the specified quality, shall be measured and decided pass</w:t>
            </w:r>
          </w:p>
        </w:tc>
      </w:tr>
    </w:tbl>
    <w:p>
      <w:pPr>
        <w:pStyle w:val="111"/>
      </w:pPr>
    </w:p>
    <w:p>
      <w:pPr>
        <w:pStyle w:val="111"/>
      </w:pPr>
      <w:r>
        <w:t>2.</w:t>
      </w:r>
      <w:r>
        <w:tab/>
      </w:r>
      <w:r>
        <w:t>A measurement on the pass limit is connected with the complementary statements: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21"/>
        <w:gridCol w:w="37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1" w:type="dxa"/>
            <w:tcBorders>
              <w:top w:val="single" w:color="auto" w:sz="4" w:space="0"/>
              <w:left w:val="single" w:color="auto" w:sz="2" w:space="0"/>
              <w:bottom w:val="single" w:color="auto" w:sz="4" w:space="0"/>
              <w:right w:val="single" w:color="auto" w:sz="2" w:space="0"/>
            </w:tcBorders>
            <w:shd w:val="clear" w:color="auto" w:fill="auto"/>
          </w:tcPr>
          <w:p>
            <w:pPr>
              <w:pStyle w:val="103"/>
              <w:rPr>
                <w:lang w:eastAsia="ko-KR"/>
              </w:rPr>
            </w:pPr>
            <w:r>
              <w:t>A measurement on the pass limit shows, that the DUT is better than the Bad DUT-quality.</w:t>
            </w:r>
          </w:p>
        </w:tc>
        <w:tc>
          <w:tcPr>
            <w:tcW w:w="3731" w:type="dxa"/>
            <w:tcBorders>
              <w:top w:val="single" w:color="auto" w:sz="4" w:space="0"/>
              <w:left w:val="single" w:color="auto" w:sz="2" w:space="0"/>
              <w:bottom w:val="single" w:color="auto" w:sz="4" w:space="0"/>
              <w:right w:val="single" w:color="auto" w:sz="4" w:space="0"/>
            </w:tcBorders>
            <w:shd w:val="clear" w:color="auto" w:fill="auto"/>
          </w:tcPr>
          <w:p>
            <w:pPr>
              <w:pStyle w:val="103"/>
              <w:rPr>
                <w:lang w:eastAsia="ko-KR"/>
              </w:rPr>
            </w:pPr>
            <w:r>
              <w:t>A DUT, known to have the Bad DUT quality, shall be measured and decided fail</w:t>
            </w:r>
          </w:p>
        </w:tc>
      </w:tr>
    </w:tbl>
    <w:p>
      <w:pPr>
        <w:pStyle w:val="111"/>
      </w:pPr>
    </w:p>
    <w:p>
      <w:pPr>
        <w:pStyle w:val="111"/>
        <w:rPr>
          <w:lang w:eastAsia="ko-KR"/>
        </w:rPr>
      </w:pPr>
      <w:r>
        <w:tab/>
      </w:r>
      <w:r>
        <w:t>The left column is used to decide the measurement.</w:t>
      </w:r>
    </w:p>
    <w:p>
      <w:pPr>
        <w:pStyle w:val="111"/>
      </w:pPr>
      <w:r>
        <w:tab/>
      </w:r>
      <w:r>
        <w:t>The right column is used to verify the design of the test by simulation.</w:t>
      </w:r>
    </w:p>
    <w:p>
      <w:pPr>
        <w:pStyle w:val="111"/>
      </w:pPr>
      <w:r>
        <w:tab/>
      </w:r>
      <w:r>
        <w:t>The simulation is based on the two fulcrums A and B only in Figure G.x.8-1</w:t>
      </w:r>
    </w:p>
    <w:p>
      <w:pPr>
        <w:pStyle w:val="111"/>
      </w:pPr>
      <w:r>
        <w:t>3.</w:t>
      </w:r>
      <w:r>
        <w:tab/>
      </w:r>
      <w:r>
        <w:t>Test time</w:t>
      </w:r>
    </w:p>
    <w:p>
      <w:pPr>
        <w:pStyle w:val="111"/>
      </w:pPr>
      <w:r>
        <w:tab/>
      </w:r>
      <w:r>
        <w:t>The minimum and maximum test time is fixed.</w:t>
      </w:r>
    </w:p>
    <w:p>
      <w:pPr>
        <w:pStyle w:val="111"/>
      </w:pPr>
      <w:r>
        <w:tab/>
      </w:r>
      <w:r>
        <w:t>The average test time is a function of the DUT’s quality.</w:t>
      </w:r>
    </w:p>
    <w:p>
      <w:pPr>
        <w:pStyle w:val="111"/>
      </w:pPr>
      <w:r>
        <w:tab/>
      </w:r>
      <w:r>
        <w:t>The individual test time is not predictable.</w:t>
      </w:r>
    </w:p>
    <w:p>
      <w:pPr>
        <w:pStyle w:val="111"/>
      </w:pPr>
      <w:r>
        <w:t>4.</w:t>
      </w:r>
      <w:r>
        <w:tab/>
      </w:r>
      <w:r>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pPr>
        <w:pStyle w:val="4"/>
      </w:pPr>
      <w:bookmarkStart w:id="2565" w:name="_Toc3372"/>
      <w:bookmarkStart w:id="2566" w:name="_Toc17487"/>
      <w:bookmarkStart w:id="2567" w:name="_Toc6691"/>
      <w:bookmarkStart w:id="2568" w:name="_Toc2761"/>
      <w:bookmarkStart w:id="2569" w:name="_Toc232582212"/>
      <w:bookmarkStart w:id="2570" w:name="_Toc12336"/>
      <w:r>
        <w:t>G.7.10</w:t>
      </w:r>
      <w:r>
        <w:tab/>
      </w:r>
      <w:r>
        <w:t>Simulation to derive the pass fail limits in Table G.2.4-1</w:t>
      </w:r>
      <w:bookmarkEnd w:id="2565"/>
      <w:bookmarkEnd w:id="2566"/>
      <w:bookmarkEnd w:id="2567"/>
      <w:bookmarkEnd w:id="2568"/>
      <w:bookmarkEnd w:id="2569"/>
      <w:bookmarkEnd w:id="2570"/>
    </w:p>
    <w:p>
      <w:r>
        <w:t>There is freedom to design the decision co-ordinates (ne,ns).</w:t>
      </w:r>
    </w:p>
    <w:p>
      <w:r>
        <w:t>The binomial distribution and its inverse is used to design the pass and fail limits. Note that this method is not unique and that other methods exist.</w:t>
      </w:r>
    </w:p>
    <w:p>
      <w:pPr>
        <w:pStyle w:val="95"/>
      </w:pPr>
      <w:r>
        <w:rPr>
          <w:lang w:eastAsia="en-GB"/>
        </w:rPr>
        <w:tab/>
      </w:r>
      <w:r>
        <w:rPr>
          <w:lang w:eastAsia="en-GB"/>
        </w:rPr>
        <w:object>
          <v:shape id="_x0000_i1247" o:spt="75" type="#_x0000_t75" style="height:115.2pt;width:262.8pt;" o:ole="t" filled="f" o:preferrelative="t" stroked="f" coordsize="21600,21600">
            <v:path/>
            <v:fill on="f" focussize="0,0"/>
            <v:stroke on="f" joinstyle="miter"/>
            <v:imagedata r:id="rId370" o:title=""/>
            <o:lock v:ext="edit" aspectratio="t"/>
            <w10:wrap type="none"/>
            <w10:anchorlock/>
          </v:shape>
          <o:OLEObject Type="Embed" ProgID="Mathcad" ShapeID="_x0000_i1247" DrawAspect="Content" ObjectID="_1468075947" r:id="rId369">
            <o:LockedField>false</o:LockedField>
          </o:OLEObject>
        </w:object>
      </w:r>
    </w:p>
    <w:p>
      <w:r>
        <w:t>Where</w:t>
      </w:r>
    </w:p>
    <w:p>
      <w:pPr>
        <w:pStyle w:val="111"/>
      </w:pPr>
      <w:r>
        <w:t>-</w:t>
      </w:r>
      <w:r>
        <w:tab/>
      </w:r>
      <w:r>
        <w:t>fail(..) is the error ratio for the fail limit</w:t>
      </w:r>
    </w:p>
    <w:p>
      <w:pPr>
        <w:pStyle w:val="111"/>
      </w:pPr>
      <w:r>
        <w:t>-</w:t>
      </w:r>
      <w:r>
        <w:tab/>
      </w:r>
      <w:r>
        <w:t>pass(..) is the error ratio for the pass limit</w:t>
      </w:r>
    </w:p>
    <w:p>
      <w:pPr>
        <w:pStyle w:val="111"/>
      </w:pPr>
      <w:r>
        <w:t>-</w:t>
      </w:r>
      <w:r>
        <w:tab/>
      </w:r>
      <w:r>
        <w:t>ER is the specified error ratio 0.05</w:t>
      </w:r>
    </w:p>
    <w:p>
      <w:pPr>
        <w:pStyle w:val="111"/>
      </w:pPr>
      <w:r>
        <w:t>-</w:t>
      </w:r>
      <w:r>
        <w:tab/>
      </w:r>
      <w:r>
        <w:t>ne is the number of bad results. This is the variable in both equations</w:t>
      </w:r>
    </w:p>
    <w:p>
      <w:pPr>
        <w:pStyle w:val="111"/>
      </w:pPr>
      <w:r>
        <w:t>-</w:t>
      </w:r>
      <w:r>
        <w:tab/>
      </w:r>
      <w:r>
        <w:t>M is the Bad DUT factor M=1.5</w:t>
      </w:r>
    </w:p>
    <w:p>
      <w:pPr>
        <w:pStyle w:val="111"/>
      </w:pPr>
      <w:r>
        <w:t>-</w:t>
      </w:r>
      <w:r>
        <w:tab/>
      </w:r>
      <w:r>
        <w:t>d</w:t>
      </w:r>
      <w:r>
        <w:rPr>
          <w:vertAlign w:val="subscript"/>
        </w:rPr>
        <w:t>f</w:t>
      </w:r>
      <w:r>
        <w:t xml:space="preserve"> is the wrong decision probability of a single (ne,ns) co-ordinate for the fail limit. </w:t>
      </w:r>
      <w:r>
        <w:br w:type="textWrapping"/>
      </w:r>
      <w:r>
        <w:tab/>
      </w:r>
      <w:r>
        <w:t>It is found by simulation to be d</w:t>
      </w:r>
      <w:r>
        <w:rPr>
          <w:vertAlign w:val="subscript"/>
        </w:rPr>
        <w:t>f</w:t>
      </w:r>
      <w:r>
        <w:t xml:space="preserve"> = 0.004</w:t>
      </w:r>
    </w:p>
    <w:p>
      <w:pPr>
        <w:pStyle w:val="111"/>
      </w:pPr>
      <w:r>
        <w:t>-</w:t>
      </w:r>
      <w:r>
        <w:tab/>
      </w:r>
      <w:r>
        <w:t>cl</w:t>
      </w:r>
      <w:r>
        <w:rPr>
          <w:vertAlign w:val="subscript"/>
        </w:rPr>
        <w:t>p</w:t>
      </w:r>
      <w:r>
        <w:t xml:space="preserve"> is the confidence level of a single (ne,ns) co-ordinate for the pass limit.</w:t>
      </w:r>
      <w:r>
        <w:br w:type="textWrapping"/>
      </w:r>
      <w:r>
        <w:t>It is found by simulation to be cl</w:t>
      </w:r>
      <w:r>
        <w:rPr>
          <w:vertAlign w:val="subscript"/>
        </w:rPr>
        <w:t>p</w:t>
      </w:r>
      <w:r>
        <w:t xml:space="preserve"> = 0.9975</w:t>
      </w:r>
    </w:p>
    <w:p>
      <w:pPr>
        <w:pStyle w:val="111"/>
      </w:pPr>
      <w:r>
        <w:t>-</w:t>
      </w:r>
      <w:r>
        <w:tab/>
      </w:r>
      <w:r>
        <w:t>qnbinom(..): The inverse cumulative function of the negative binomial distribution</w:t>
      </w:r>
    </w:p>
    <w:p>
      <w:r>
        <w:t>The simulation works as follows:</w:t>
      </w:r>
    </w:p>
    <w:p>
      <w:pPr>
        <w:pStyle w:val="111"/>
      </w:pPr>
      <w:r>
        <w:t>-</w:t>
      </w:r>
      <w:r>
        <w:tab/>
      </w:r>
      <w:r>
        <w:t>A large population of limit DUTs with true ER = 0.05 is decided against the pass and fail limits.</w:t>
      </w:r>
    </w:p>
    <w:p>
      <w:pPr>
        <w:pStyle w:val="111"/>
      </w:pPr>
      <w:r>
        <w:t>-</w:t>
      </w:r>
      <w:r>
        <w:tab/>
      </w:r>
      <w:r>
        <w:t>cl</w:t>
      </w:r>
      <w:r>
        <w:rPr>
          <w:vertAlign w:val="subscript"/>
        </w:rPr>
        <w:t xml:space="preserve">p    </w:t>
      </w:r>
      <w:r>
        <w:t>and d</w:t>
      </w:r>
      <w:r>
        <w:rPr>
          <w:vertAlign w:val="subscript"/>
        </w:rPr>
        <w:t>f</w:t>
      </w:r>
      <w:r>
        <w:t xml:space="preserve">   are tuned such that CL (95%) of the population passes and D (5%) of the population fails.</w:t>
      </w:r>
    </w:p>
    <w:p>
      <w:pPr>
        <w:pStyle w:val="111"/>
      </w:pPr>
      <w:r>
        <w:t>-</w:t>
      </w:r>
      <w:r>
        <w:tab/>
      </w:r>
      <w:r>
        <w:t>A population of Bad DUTs with true ER = M*0.05 is decided against the same pass and fail limits.</w:t>
      </w:r>
    </w:p>
    <w:p>
      <w:pPr>
        <w:pStyle w:val="111"/>
      </w:pPr>
      <w:r>
        <w:t>-</w:t>
      </w:r>
      <w:r>
        <w:tab/>
      </w:r>
      <w:r>
        <w:t>cl</w:t>
      </w:r>
      <w:r>
        <w:rPr>
          <w:vertAlign w:val="subscript"/>
        </w:rPr>
        <w:t xml:space="preserve">p    </w:t>
      </w:r>
      <w:r>
        <w:t>and d</w:t>
      </w:r>
      <w:r>
        <w:rPr>
          <w:vertAlign w:val="subscript"/>
        </w:rPr>
        <w:t>f</w:t>
      </w:r>
      <w:r>
        <w:t xml:space="preserve">   are tuned such that CL (95%) of the population fails and D (5%) of the population passes.</w:t>
      </w:r>
    </w:p>
    <w:p>
      <w:pPr>
        <w:pStyle w:val="111"/>
      </w:pPr>
      <w:r>
        <w:t>-</w:t>
      </w:r>
      <w:r>
        <w:tab/>
      </w:r>
      <w:r>
        <w:t>This procedure and the relationship to the measurement is justified in clause G.x.9. The number of DUTs decrease during the simulation, as the decided DUTs leave the population. That number decreases with an approximately exponential characteristics. After 169 bad results all DUTs of the population are decided.</w:t>
      </w:r>
    </w:p>
    <w:p>
      <w:pPr>
        <w:pStyle w:val="100"/>
      </w:pPr>
      <w:r>
        <w:t>NOTE:</w:t>
      </w:r>
      <w:r>
        <w:tab/>
      </w:r>
      <w:r>
        <w:t>The exponential decrease of the population is an optimal design goal for the decision co-ordinates (ne,ns), which can be achieved with other formulas or methods as well.</w:t>
      </w:r>
    </w:p>
    <w:p>
      <w:pPr>
        <w:pStyle w:val="11"/>
      </w:pPr>
      <w:bookmarkStart w:id="2571" w:name="_Toc13049"/>
      <w:bookmarkStart w:id="2572" w:name="_Toc7150"/>
      <w:bookmarkStart w:id="2573" w:name="_Toc21132"/>
      <w:bookmarkStart w:id="2574" w:name="_Toc30693"/>
      <w:bookmarkStart w:id="2575" w:name="_Toc18756"/>
      <w:r>
        <w:t>Annex H (</w:t>
      </w:r>
      <w:r>
        <w:rPr>
          <w:lang w:eastAsia="en-GB"/>
        </w:rPr>
        <w:t>normative</w:t>
      </w:r>
      <w:r>
        <w:t>):</w:t>
      </w:r>
      <w:r>
        <w:br w:type="textWrapping"/>
      </w:r>
      <w:r>
        <w:t>Uplink Physical Channels</w:t>
      </w:r>
      <w:bookmarkEnd w:id="2571"/>
      <w:bookmarkEnd w:id="2572"/>
      <w:bookmarkEnd w:id="2573"/>
      <w:bookmarkEnd w:id="2574"/>
      <w:bookmarkEnd w:id="2575"/>
    </w:p>
    <w:p>
      <w:pPr>
        <w:pStyle w:val="3"/>
      </w:pPr>
      <w:bookmarkStart w:id="2576" w:name="_Toc232582214"/>
      <w:bookmarkStart w:id="2577" w:name="_Toc16515"/>
      <w:bookmarkStart w:id="2578" w:name="_Toc24561"/>
      <w:bookmarkStart w:id="2579" w:name="_Toc12197"/>
      <w:bookmarkStart w:id="2580" w:name="_Toc22742"/>
      <w:bookmarkStart w:id="2581" w:name="_Toc19159"/>
      <w:r>
        <w:t>H.0</w:t>
      </w:r>
      <w:r>
        <w:tab/>
      </w:r>
      <w:r>
        <w:t>Uplink Signal Levels</w:t>
      </w:r>
      <w:bookmarkEnd w:id="2576"/>
      <w:bookmarkEnd w:id="2577"/>
      <w:bookmarkEnd w:id="2578"/>
      <w:bookmarkEnd w:id="2579"/>
      <w:bookmarkEnd w:id="2580"/>
      <w:bookmarkEnd w:id="2581"/>
    </w:p>
    <w:p>
      <w:pPr>
        <w:rPr>
          <w:lang w:eastAsia="ja-JP"/>
        </w:rPr>
      </w:pPr>
      <w:r>
        <w:rPr>
          <w:lang w:eastAsia="ja-JP"/>
        </w:rPr>
        <w:t>Uplink signal power is a UE figure, which is configured by the Test System by means of:</w:t>
      </w:r>
    </w:p>
    <w:p>
      <w:pPr>
        <w:pStyle w:val="111"/>
      </w:pPr>
      <w:r>
        <w:t>RRC messages (IE-s), such as:</w:t>
      </w:r>
    </w:p>
    <w:p>
      <w:pPr>
        <w:pStyle w:val="122"/>
      </w:pPr>
      <w:r>
        <w:t>-</w:t>
      </w:r>
      <w:r>
        <w:tab/>
      </w:r>
      <w:r>
        <w:t>IE-s affecting directly or indirectly the uplink power,</w:t>
      </w:r>
    </w:p>
    <w:p>
      <w:pPr>
        <w:pStyle w:val="111"/>
      </w:pPr>
      <w:r>
        <w:t>and L1/2 Power control commands (TPC).</w:t>
      </w:r>
    </w:p>
    <w:p>
      <w:pPr>
        <w:rPr>
          <w:lang w:eastAsia="ja-JP"/>
        </w:rPr>
      </w:pPr>
      <w:r>
        <w:rPr>
          <w:lang w:eastAsia="ja-JP"/>
        </w:rPr>
        <w:t>The uplink power settings are specified in the test case.</w:t>
      </w:r>
    </w:p>
    <w:p>
      <w:r>
        <w:rPr>
          <w:lang w:eastAsia="ja-JP"/>
        </w:rPr>
        <w:t>Otherwise, the uplink power settings result from</w:t>
      </w:r>
      <w:r>
        <w:t xml:space="preserve"> the default RRC messages described in 3GPP </w:t>
      </w:r>
      <w:r>
        <w:rPr>
          <w:rFonts w:hint="eastAsia" w:eastAsia="宋体"/>
          <w:lang w:eastAsia="zh-CN"/>
        </w:rPr>
        <w:t>TS 36.508 [12]</w:t>
      </w:r>
      <w:r>
        <w:t>, and appropriate TPC-s, which are sent to the UE to transmit with an UL power level necessary for maintaining the call during the test.</w:t>
      </w:r>
    </w:p>
    <w:p>
      <w:pPr>
        <w:pStyle w:val="4"/>
      </w:pPr>
      <w:bookmarkStart w:id="2582" w:name="_Toc3204"/>
      <w:bookmarkStart w:id="2583" w:name="_Toc32626"/>
      <w:bookmarkStart w:id="2584" w:name="_Toc24860"/>
      <w:bookmarkStart w:id="2585" w:name="_Toc16307"/>
      <w:bookmarkStart w:id="2586" w:name="_Toc12678"/>
      <w:r>
        <w:t>H.0.1</w:t>
      </w:r>
      <w:r>
        <w:tab/>
      </w:r>
      <w:r>
        <w:t>Uplink Signal Levels for NB1</w:t>
      </w:r>
      <w:bookmarkEnd w:id="2582"/>
      <w:bookmarkEnd w:id="2583"/>
      <w:bookmarkEnd w:id="2584"/>
      <w:bookmarkEnd w:id="2585"/>
      <w:bookmarkEnd w:id="2586"/>
    </w:p>
    <w:p>
      <w:pPr>
        <w:rPr>
          <w:lang w:eastAsia="ja-JP"/>
        </w:rPr>
      </w:pPr>
      <w:r>
        <w:rPr>
          <w:lang w:eastAsia="ja-JP"/>
        </w:rPr>
        <w:t>Uplink signal power is a UE figure, which is configured by the Test System by means of:</w:t>
      </w:r>
    </w:p>
    <w:p>
      <w:pPr>
        <w:pStyle w:val="111"/>
      </w:pPr>
      <w:r>
        <w:t>RRC messages (IE-s), such as:</w:t>
      </w:r>
    </w:p>
    <w:p>
      <w:pPr>
        <w:pStyle w:val="122"/>
      </w:pPr>
      <w:r>
        <w:t>-</w:t>
      </w:r>
      <w:r>
        <w:tab/>
      </w:r>
      <w:r>
        <w:rPr>
          <w:color w:val="000000"/>
        </w:rPr>
        <w:t>NPUSCH-ConfigCommon-NB</w:t>
      </w:r>
    </w:p>
    <w:p>
      <w:pPr>
        <w:pStyle w:val="122"/>
        <w:rPr>
          <w:color w:val="000000"/>
        </w:rPr>
      </w:pPr>
      <w:r>
        <w:t>-</w:t>
      </w:r>
      <w:r>
        <w:tab/>
      </w:r>
      <w:r>
        <w:rPr>
          <w:color w:val="000000"/>
        </w:rPr>
        <w:t>NPUSCH-ConfigDedicated-NB</w:t>
      </w:r>
    </w:p>
    <w:p>
      <w:pPr>
        <w:pStyle w:val="122"/>
      </w:pPr>
      <w:r>
        <w:t>-</w:t>
      </w:r>
      <w:r>
        <w:tab/>
      </w:r>
      <w:r>
        <w:t>UplinkPowerControl-NB</w:t>
      </w:r>
    </w:p>
    <w:p>
      <w:pPr>
        <w:pStyle w:val="122"/>
      </w:pPr>
      <w:r>
        <w:t>-</w:t>
      </w:r>
      <w:r>
        <w:tab/>
      </w:r>
      <w:r>
        <w:t>Other IE-s affecting directly or indirectly the uplink power,</w:t>
      </w:r>
    </w:p>
    <w:p>
      <w:pPr>
        <w:rPr>
          <w:lang w:eastAsia="ja-JP"/>
        </w:rPr>
      </w:pPr>
      <w:r>
        <w:rPr>
          <w:lang w:eastAsia="ja-JP"/>
        </w:rPr>
        <w:t>The uplink power settings are specified in the test case.</w:t>
      </w:r>
    </w:p>
    <w:p>
      <w:pPr>
        <w:rPr>
          <w:lang w:eastAsia="ja-JP"/>
        </w:rPr>
      </w:pPr>
      <w:r>
        <w:rPr>
          <w:lang w:eastAsia="ja-JP"/>
        </w:rPr>
        <w:t>Otherwise, the uplink power settings result from</w:t>
      </w:r>
      <w:r>
        <w:t xml:space="preserve"> the default RRC messages described in 3GPP </w:t>
      </w:r>
      <w:r>
        <w:rPr>
          <w:rFonts w:hint="eastAsia" w:eastAsia="宋体"/>
          <w:lang w:eastAsia="zh-CN"/>
        </w:rPr>
        <w:t>TS 36.508 [12]</w:t>
      </w:r>
      <w:r>
        <w:t>, which are sent to the UE to transmit with an UL power level necessary for maintaining the call during the test.</w:t>
      </w:r>
    </w:p>
    <w:p>
      <w:pPr>
        <w:pStyle w:val="3"/>
      </w:pPr>
      <w:bookmarkStart w:id="2587" w:name="_Toc16668"/>
      <w:bookmarkStart w:id="2588" w:name="_Toc12778"/>
      <w:bookmarkStart w:id="2589" w:name="_Toc232582215"/>
      <w:bookmarkStart w:id="2590" w:name="_Toc6169"/>
      <w:bookmarkStart w:id="2591" w:name="_Toc31465"/>
      <w:bookmarkStart w:id="2592" w:name="_Toc28316"/>
      <w:r>
        <w:t>H.1</w:t>
      </w:r>
      <w:r>
        <w:tab/>
      </w:r>
      <w:r>
        <w:t>General</w:t>
      </w:r>
      <w:bookmarkEnd w:id="2587"/>
      <w:bookmarkEnd w:id="2588"/>
      <w:bookmarkEnd w:id="2589"/>
      <w:bookmarkEnd w:id="2590"/>
      <w:bookmarkEnd w:id="2591"/>
      <w:bookmarkEnd w:id="2592"/>
    </w:p>
    <w:p>
      <w:pPr>
        <w:rPr>
          <w:rFonts w:eastAsia="宋体" w:cs="v5.0.0"/>
          <w:lang w:eastAsia="zh-CN"/>
        </w:rPr>
      </w:pPr>
      <w:r>
        <w:rPr>
          <w:rFonts w:cs="v5.0.0"/>
        </w:rPr>
        <w:t xml:space="preserve">This annex specifies the uplink physical channels that are needed for setting a connection and channels that are needed during a connection. Table </w:t>
      </w:r>
      <w:r>
        <w:rPr>
          <w:rFonts w:cs="v5.0.0"/>
          <w:lang w:eastAsia="ja-JP"/>
        </w:rPr>
        <w:t>H.1-1</w:t>
      </w:r>
      <w:r>
        <w:rPr>
          <w:rFonts w:cs="v5.0.0"/>
        </w:rPr>
        <w:t xml:space="preserve"> describes the mapping of uplink physical channels and signals to physical resources for FDD. </w:t>
      </w:r>
    </w:p>
    <w:p>
      <w:pPr>
        <w:pStyle w:val="113"/>
        <w:rPr>
          <w:lang w:eastAsia="ja-JP"/>
        </w:rPr>
      </w:pPr>
      <w:r>
        <w:t xml:space="preserve">Table H.1-1: </w:t>
      </w:r>
      <w:r>
        <w:rPr>
          <w:lang w:eastAsia="ja-JP"/>
        </w:rPr>
        <w:t>M</w:t>
      </w:r>
      <w:r>
        <w:t xml:space="preserve">apping of </w:t>
      </w:r>
      <w:r>
        <w:rPr>
          <w:lang w:eastAsia="ja-JP"/>
        </w:rPr>
        <w:t>uplink</w:t>
      </w:r>
      <w:r>
        <w:t xml:space="preserve"> physical channels and signals to physical resources</w:t>
      </w:r>
      <w:r>
        <w:rPr>
          <w:lang w:eastAsia="ja-JP"/>
        </w:rPr>
        <w:t xml:space="preserve"> for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7"/>
        <w:gridCol w:w="2881"/>
        <w:gridCol w:w="3118"/>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4"/>
              <w:rPr>
                <w:lang w:eastAsia="zh-CN"/>
              </w:rPr>
            </w:pPr>
            <w:r>
              <w:rPr>
                <w:lang w:eastAsia="zh-CN"/>
              </w:rPr>
              <w:t>Physical channel</w:t>
            </w:r>
          </w:p>
        </w:tc>
        <w:tc>
          <w:tcPr>
            <w:tcW w:w="2881" w:type="dxa"/>
          </w:tcPr>
          <w:p>
            <w:pPr>
              <w:pStyle w:val="104"/>
              <w:rPr>
                <w:lang w:eastAsia="zh-CN"/>
              </w:rPr>
            </w:pPr>
            <w:r>
              <w:rPr>
                <w:lang w:eastAsia="zh-CN"/>
              </w:rPr>
              <w:t>Time Domain Location</w:t>
            </w:r>
          </w:p>
        </w:tc>
        <w:tc>
          <w:tcPr>
            <w:tcW w:w="3118" w:type="dxa"/>
          </w:tcPr>
          <w:p>
            <w:pPr>
              <w:pStyle w:val="104"/>
              <w:rPr>
                <w:lang w:eastAsia="zh-CN"/>
              </w:rPr>
            </w:pPr>
            <w:r>
              <w:rPr>
                <w:lang w:eastAsia="zh-CN"/>
              </w:rPr>
              <w:t>Frequency Domain Location</w:t>
            </w:r>
          </w:p>
        </w:tc>
        <w:tc>
          <w:tcPr>
            <w:tcW w:w="2552" w:type="dxa"/>
          </w:tcPr>
          <w:p>
            <w:pPr>
              <w:pStyle w:val="104"/>
              <w:rPr>
                <w:lang w:eastAsia="zh-CN"/>
              </w:rPr>
            </w:pPr>
            <w:r>
              <w:rPr>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3"/>
            </w:pPr>
            <w:r>
              <w:rPr>
                <w:rFonts w:cs="v5.0.0"/>
              </w:rPr>
              <w:t>PRACH</w:t>
            </w:r>
          </w:p>
        </w:tc>
        <w:tc>
          <w:tcPr>
            <w:tcW w:w="2881" w:type="dxa"/>
          </w:tcPr>
          <w:p>
            <w:pPr>
              <w:pStyle w:val="103"/>
              <w:rPr>
                <w:lang w:eastAsia="ja-JP"/>
              </w:rPr>
            </w:pPr>
            <w:r>
              <w:rPr>
                <w:lang w:eastAsia="ja-JP"/>
              </w:rPr>
              <w:t xml:space="preserve">Allowed for the parameter </w:t>
            </w:r>
            <w:r>
              <w:rPr>
                <w:i/>
                <w:iCs/>
                <w:lang w:eastAsia="ja-JP"/>
              </w:rPr>
              <w:t>prach-Configuration Index</w:t>
            </w:r>
            <w:r>
              <w:rPr>
                <w:lang w:eastAsia="ja-JP"/>
              </w:rPr>
              <w:t xml:space="preserve"> provided by higher layers</w:t>
            </w:r>
          </w:p>
        </w:tc>
        <w:tc>
          <w:tcPr>
            <w:tcW w:w="3118" w:type="dxa"/>
          </w:tcPr>
          <w:p>
            <w:pPr>
              <w:pStyle w:val="103"/>
            </w:pPr>
            <w:r>
              <w:rPr>
                <w:lang w:eastAsia="ja-JP"/>
              </w:rPr>
              <w:t xml:space="preserve">Allowed for the parameter </w:t>
            </w:r>
            <w:r>
              <w:rPr>
                <w:i/>
                <w:iCs/>
                <w:lang w:eastAsia="ja-JP"/>
              </w:rPr>
              <w:t>prach-FrequencyOffset</w:t>
            </w:r>
            <w:r>
              <w:rPr>
                <w:lang w:eastAsia="ja-JP"/>
              </w:rPr>
              <w:t xml:space="preserve"> provided by higher layers</w:t>
            </w:r>
          </w:p>
        </w:tc>
        <w:tc>
          <w:tcPr>
            <w:tcW w:w="2552" w:type="dxa"/>
          </w:tcPr>
          <w:p>
            <w:pPr>
              <w:pStyle w:val="103"/>
              <w:rPr>
                <w:lang w:eastAsia="ja-JP"/>
              </w:rPr>
            </w:pPr>
            <w:r>
              <w:t>Mapping rule is specified in TS 36.211 [</w:t>
            </w:r>
            <w:r>
              <w:rPr>
                <w:rFonts w:hint="eastAsia" w:eastAsia="宋体"/>
                <w:lang w:val="en-US" w:eastAsia="zh-CN"/>
              </w:rPr>
              <w:t>3</w:t>
            </w:r>
            <w:r>
              <w:t>] Section 5.7.1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3"/>
              <w:rPr>
                <w:lang w:eastAsia="ja-JP"/>
              </w:rPr>
            </w:pPr>
            <w:r>
              <w:rPr>
                <w:rFonts w:cs="v5.0.0"/>
                <w:snapToGrid w:val="0"/>
              </w:rPr>
              <w:t>DMRS</w:t>
            </w:r>
          </w:p>
        </w:tc>
        <w:tc>
          <w:tcPr>
            <w:tcW w:w="2881" w:type="dxa"/>
          </w:tcPr>
          <w:p>
            <w:pPr>
              <w:pStyle w:val="103"/>
              <w:rPr>
                <w:lang w:eastAsia="ja-JP"/>
              </w:rPr>
            </w:pPr>
            <w:r>
              <w:rPr>
                <w:lang w:eastAsia="ja-JP"/>
              </w:rPr>
              <w:t>For PUCCH:</w:t>
            </w:r>
          </w:p>
          <w:p>
            <w:pPr>
              <w:pStyle w:val="103"/>
              <w:rPr>
                <w:lang w:eastAsia="ja-JP"/>
              </w:rPr>
            </w:pPr>
            <w:r>
              <w:t>Symbol</w:t>
            </w:r>
            <w:r>
              <w:rPr>
                <w:lang w:eastAsia="ja-JP"/>
              </w:rPr>
              <w:t>s</w:t>
            </w:r>
            <w:r>
              <w:t xml:space="preserve"> </w:t>
            </w:r>
            <w:r>
              <w:rPr>
                <w:lang w:eastAsia="ja-JP"/>
              </w:rPr>
              <w:t>2 to 4</w:t>
            </w:r>
            <w:r>
              <w:t xml:space="preserve"> of </w:t>
            </w:r>
            <w:r>
              <w:rPr>
                <w:lang w:eastAsia="ja-JP"/>
              </w:rPr>
              <w:t xml:space="preserve">each </w:t>
            </w:r>
            <w:r>
              <w:t>slot</w:t>
            </w:r>
            <w:r>
              <w:rPr>
                <w:lang w:eastAsia="ja-JP"/>
              </w:rPr>
              <w:t xml:space="preserve"> (PUCCH format: 1, 1a, 1b)</w:t>
            </w:r>
          </w:p>
          <w:p>
            <w:pPr>
              <w:pStyle w:val="103"/>
              <w:rPr>
                <w:lang w:eastAsia="ja-JP"/>
              </w:rPr>
            </w:pPr>
          </w:p>
          <w:p>
            <w:pPr>
              <w:pStyle w:val="103"/>
              <w:rPr>
                <w:lang w:eastAsia="ja-JP"/>
              </w:rPr>
            </w:pPr>
            <w:r>
              <w:t xml:space="preserve">Symbol </w:t>
            </w:r>
            <w:r>
              <w:rPr>
                <w:lang w:eastAsia="ja-JP"/>
              </w:rPr>
              <w:t>1 and 5</w:t>
            </w:r>
            <w:r>
              <w:t xml:space="preserve"> of </w:t>
            </w:r>
            <w:r>
              <w:rPr>
                <w:lang w:eastAsia="ja-JP"/>
              </w:rPr>
              <w:t xml:space="preserve">each </w:t>
            </w:r>
            <w:r>
              <w:t>slot</w:t>
            </w:r>
            <w:r>
              <w:rPr>
                <w:lang w:eastAsia="ja-JP"/>
              </w:rPr>
              <w:t xml:space="preserve"> (PUCCH format: 2, 2a, 2b)</w:t>
            </w:r>
          </w:p>
          <w:p>
            <w:pPr>
              <w:pStyle w:val="103"/>
              <w:rPr>
                <w:lang w:eastAsia="ja-JP"/>
              </w:rPr>
            </w:pPr>
          </w:p>
          <w:p>
            <w:pPr>
              <w:pStyle w:val="103"/>
              <w:rPr>
                <w:lang w:eastAsia="ja-JP"/>
              </w:rPr>
            </w:pPr>
            <w:r>
              <w:rPr>
                <w:lang w:eastAsia="ja-JP"/>
              </w:rPr>
              <w:t>For PUSCH:</w:t>
            </w:r>
          </w:p>
          <w:p>
            <w:pPr>
              <w:pStyle w:val="103"/>
              <w:rPr>
                <w:lang w:eastAsia="ja-JP"/>
              </w:rPr>
            </w:pPr>
            <w:r>
              <w:t xml:space="preserve">Symbol </w:t>
            </w:r>
            <w:r>
              <w:rPr>
                <w:lang w:eastAsia="ja-JP"/>
              </w:rPr>
              <w:t>3</w:t>
            </w:r>
            <w:r>
              <w:t xml:space="preserve"> of </w:t>
            </w:r>
            <w:r>
              <w:rPr>
                <w:lang w:eastAsia="ja-JP"/>
              </w:rPr>
              <w:t xml:space="preserve">each </w:t>
            </w:r>
            <w:r>
              <w:t>slot</w:t>
            </w:r>
            <w:r>
              <w:rPr>
                <w:lang w:eastAsia="ja-JP"/>
              </w:rPr>
              <w:t xml:space="preserve"> </w:t>
            </w:r>
          </w:p>
        </w:tc>
        <w:tc>
          <w:tcPr>
            <w:tcW w:w="3118" w:type="dxa"/>
          </w:tcPr>
          <w:p>
            <w:pPr>
              <w:pStyle w:val="103"/>
              <w:rPr>
                <w:lang w:eastAsia="ja-JP"/>
              </w:rPr>
            </w:pPr>
            <w:r>
              <w:rPr>
                <w:lang w:eastAsia="ja-JP"/>
              </w:rPr>
              <w:t>Up</w:t>
            </w:r>
            <w:r>
              <w:t>link system bandwidth dependent</w:t>
            </w:r>
            <w:r>
              <w:rPr>
                <w:lang w:eastAsia="ja-JP"/>
              </w:rPr>
              <w:t>.</w:t>
            </w:r>
          </w:p>
        </w:tc>
        <w:tc>
          <w:tcPr>
            <w:tcW w:w="2552" w:type="dxa"/>
          </w:tcPr>
          <w:p>
            <w:pPr>
              <w:pStyle w:val="103"/>
            </w:pPr>
            <w:r>
              <w:t xml:space="preserve">Mapping rule </w:t>
            </w:r>
            <w:r>
              <w:rPr>
                <w:lang w:eastAsia="ja-JP"/>
              </w:rPr>
              <w:t xml:space="preserve">of DMRS for PUCCH </w:t>
            </w:r>
            <w:r>
              <w:t>is specified in TS 36.211 [</w:t>
            </w:r>
            <w:r>
              <w:rPr>
                <w:rFonts w:hint="eastAsia" w:eastAsia="宋体"/>
                <w:lang w:val="en-US" w:eastAsia="zh-CN"/>
              </w:rPr>
              <w:t>3</w:t>
            </w:r>
            <w:r>
              <w:t xml:space="preserve">] </w:t>
            </w:r>
            <w:r>
              <w:rPr>
                <w:lang w:eastAsia="ja-JP"/>
              </w:rPr>
              <w:t>5.5.2.2.2</w:t>
            </w:r>
          </w:p>
          <w:p>
            <w:pPr>
              <w:pStyle w:val="103"/>
              <w:rPr>
                <w:lang w:eastAsia="ja-JP"/>
              </w:rPr>
            </w:pPr>
          </w:p>
          <w:p>
            <w:pPr>
              <w:pStyle w:val="103"/>
              <w:rPr>
                <w:lang w:eastAsia="ja-JP"/>
              </w:rPr>
            </w:pPr>
            <w:r>
              <w:t xml:space="preserve">Mapping rule </w:t>
            </w:r>
            <w:r>
              <w:rPr>
                <w:lang w:eastAsia="ja-JP"/>
              </w:rPr>
              <w:t xml:space="preserve">of DMRS for PUSCH </w:t>
            </w:r>
            <w:r>
              <w:t>is specified in TS 36.211 [</w:t>
            </w:r>
            <w:r>
              <w:rPr>
                <w:rFonts w:hint="eastAsia" w:eastAsia="宋体"/>
                <w:lang w:val="en-US" w:eastAsia="zh-CN"/>
              </w:rPr>
              <w:t>3</w:t>
            </w:r>
            <w:r>
              <w:t xml:space="preserve">] </w:t>
            </w:r>
            <w:r>
              <w:rPr>
                <w:lang w:eastAsia="ja-JP"/>
              </w:rPr>
              <w:t>5.5.2.1.2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3"/>
            </w:pPr>
            <w:r>
              <w:rPr>
                <w:rFonts w:cs="v5.0.0"/>
                <w:snapToGrid w:val="0"/>
              </w:rPr>
              <w:t>PUCCH</w:t>
            </w:r>
          </w:p>
        </w:tc>
        <w:tc>
          <w:tcPr>
            <w:tcW w:w="2881" w:type="dxa"/>
          </w:tcPr>
          <w:p>
            <w:pPr>
              <w:pStyle w:val="103"/>
            </w:pPr>
            <w:r>
              <w:rPr>
                <w:lang w:eastAsia="ja-JP"/>
              </w:rPr>
              <w:t>Slot 0 and 1 of each subframe</w:t>
            </w:r>
          </w:p>
        </w:tc>
        <w:tc>
          <w:tcPr>
            <w:tcW w:w="3118" w:type="dxa"/>
          </w:tcPr>
          <w:p>
            <w:pPr>
              <w:pStyle w:val="103"/>
            </w:pPr>
            <w:r>
              <w:rPr>
                <w:lang w:eastAsia="ja-JP"/>
              </w:rPr>
              <w:t>Each 12 subcarriers of both ends of the bandwidth</w:t>
            </w:r>
          </w:p>
        </w:tc>
        <w:tc>
          <w:tcPr>
            <w:tcW w:w="2552" w:type="dxa"/>
          </w:tcPr>
          <w:p>
            <w:pPr>
              <w:pStyle w:val="103"/>
              <w:rPr>
                <w:lang w:eastAsia="ja-JP"/>
              </w:rPr>
            </w:pPr>
            <w:r>
              <w:t>Mapping rule is specified in TS 36.211 [</w:t>
            </w:r>
            <w:r>
              <w:rPr>
                <w:rFonts w:hint="eastAsia" w:eastAsia="宋体"/>
                <w:lang w:val="en-US" w:eastAsia="zh-CN"/>
              </w:rPr>
              <w:t>3</w:t>
            </w:r>
            <w:r>
              <w:t xml:space="preserve">] Section </w:t>
            </w:r>
            <w:r>
              <w:rPr>
                <w:lang w:eastAsia="ja-JP"/>
              </w:rPr>
              <w:t>5</w:t>
            </w:r>
            <w:r>
              <w:t>.4.</w:t>
            </w:r>
            <w:r>
              <w:rPr>
                <w:lang w:eastAsia="ja-JP"/>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3"/>
            </w:pPr>
            <w:r>
              <w:rPr>
                <w:rFonts w:cs="v5.0.0"/>
                <w:snapToGrid w:val="0"/>
              </w:rPr>
              <w:t>PUSCH</w:t>
            </w:r>
          </w:p>
        </w:tc>
        <w:tc>
          <w:tcPr>
            <w:tcW w:w="2881" w:type="dxa"/>
          </w:tcPr>
          <w:p>
            <w:pPr>
              <w:pStyle w:val="103"/>
              <w:rPr>
                <w:lang w:eastAsia="ja-JP"/>
              </w:rPr>
            </w:pPr>
            <w:r>
              <w:t xml:space="preserve">All remaining </w:t>
            </w:r>
            <w:r>
              <w:rPr>
                <w:lang w:eastAsia="ja-JP"/>
              </w:rPr>
              <w:t>SC-FDMA</w:t>
            </w:r>
            <w:r>
              <w:t xml:space="preserve"> symbols of each subframe not allocated to DMRS</w:t>
            </w:r>
          </w:p>
        </w:tc>
        <w:tc>
          <w:tcPr>
            <w:tcW w:w="3118" w:type="dxa"/>
          </w:tcPr>
          <w:p>
            <w:pPr>
              <w:pStyle w:val="103"/>
              <w:rPr>
                <w:lang w:eastAsia="ja-JP"/>
              </w:rPr>
            </w:pPr>
            <w:r>
              <w:rPr>
                <w:rFonts w:eastAsia="MS PGothic" w:cs="Arial"/>
              </w:rPr>
              <w:t>RBs allocated</w:t>
            </w:r>
            <w:r>
              <w:rPr>
                <w:rFonts w:eastAsia="MS PGothic" w:cs="Arial"/>
                <w:lang w:eastAsia="ja-JP"/>
              </w:rPr>
              <w:t xml:space="preserve"> a</w:t>
            </w:r>
            <w:r>
              <w:rPr>
                <w:rFonts w:eastAsia="MS PGothic" w:cs="Arial"/>
              </w:rPr>
              <w:t>ccording to Reference Measurement channel in Annex A.2</w:t>
            </w:r>
          </w:p>
        </w:tc>
        <w:tc>
          <w:tcPr>
            <w:tcW w:w="2552" w:type="dxa"/>
          </w:tcPr>
          <w:p>
            <w:pPr>
              <w:pStyle w:val="103"/>
            </w:pPr>
            <w:r>
              <w:t>Mapping rule is specified in TS 36.211 [</w:t>
            </w:r>
            <w:r>
              <w:rPr>
                <w:rFonts w:hint="eastAsia" w:eastAsia="宋体"/>
                <w:lang w:val="en-US" w:eastAsia="zh-CN"/>
              </w:rPr>
              <w:t>3</w:t>
            </w:r>
            <w:r>
              <w:t xml:space="preserve">] Section </w:t>
            </w:r>
            <w:r>
              <w:rPr>
                <w:lang w:eastAsia="ja-JP"/>
              </w:rPr>
              <w:t>5</w:t>
            </w:r>
            <w:r>
              <w:t>.4.</w:t>
            </w:r>
            <w:r>
              <w:rPr>
                <w:lang w:eastAsia="ja-JP"/>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3"/>
              <w:rPr>
                <w:rFonts w:cs="v5.0.0"/>
                <w:snapToGrid w:val="0"/>
              </w:rPr>
            </w:pPr>
            <w:r>
              <w:rPr>
                <w:rFonts w:cs="v5.0.0"/>
                <w:snapToGrid w:val="0"/>
              </w:rPr>
              <w:t>SRS</w:t>
            </w:r>
          </w:p>
        </w:tc>
        <w:tc>
          <w:tcPr>
            <w:tcW w:w="2881" w:type="dxa"/>
          </w:tcPr>
          <w:p>
            <w:pPr>
              <w:pStyle w:val="103"/>
            </w:pPr>
            <w:r>
              <w:rPr>
                <w:lang w:eastAsia="ja-JP"/>
              </w:rPr>
              <w:t xml:space="preserve">Allowed for the cell-specific parameter </w:t>
            </w:r>
            <w:r>
              <w:rPr>
                <w:i/>
                <w:iCs/>
                <w:lang w:eastAsia="ja-JP"/>
              </w:rPr>
              <w:t xml:space="preserve">srs-BandwidthConfig </w:t>
            </w:r>
            <w:r>
              <w:rPr>
                <w:iCs/>
                <w:lang w:eastAsia="ja-JP"/>
              </w:rPr>
              <w:t xml:space="preserve">and the UE-specific parameter </w:t>
            </w:r>
            <w:r>
              <w:rPr>
                <w:i/>
                <w:iCs/>
                <w:lang w:eastAsia="ja-JP"/>
              </w:rPr>
              <w:t xml:space="preserve">srs-Bandwidth </w:t>
            </w:r>
            <w:r>
              <w:rPr>
                <w:lang w:eastAsia="ja-JP"/>
              </w:rPr>
              <w:t>provided by higher layers</w:t>
            </w:r>
          </w:p>
        </w:tc>
        <w:tc>
          <w:tcPr>
            <w:tcW w:w="3118" w:type="dxa"/>
          </w:tcPr>
          <w:p>
            <w:pPr>
              <w:pStyle w:val="103"/>
              <w:rPr>
                <w:rFonts w:eastAsia="MS PGothic" w:cs="Arial"/>
              </w:rPr>
            </w:pPr>
            <w:r>
              <w:rPr>
                <w:lang w:eastAsia="ja-JP"/>
              </w:rPr>
              <w:t xml:space="preserve">Allowed for the cell-specific parameter </w:t>
            </w:r>
            <w:r>
              <w:rPr>
                <w:i/>
                <w:lang w:eastAsia="zh-CN"/>
              </w:rPr>
              <w:t xml:space="preserve">srsMaxUpPt </w:t>
            </w:r>
            <w:r>
              <w:rPr>
                <w:lang w:eastAsia="zh-CN"/>
              </w:rPr>
              <w:t>and the UE-specific parameter</w:t>
            </w:r>
            <w:r>
              <w:rPr>
                <w:i/>
                <w:lang w:eastAsia="zh-CN"/>
              </w:rPr>
              <w:t xml:space="preserve"> </w:t>
            </w:r>
            <w:r>
              <w:rPr>
                <w:i/>
                <w:iCs/>
                <w:color w:val="000000"/>
              </w:rPr>
              <w:t xml:space="preserve">transmissionComb </w:t>
            </w:r>
            <w:r>
              <w:rPr>
                <w:iCs/>
                <w:color w:val="000000"/>
              </w:rPr>
              <w:t xml:space="preserve">or </w:t>
            </w:r>
            <w:r>
              <w:rPr>
                <w:i/>
                <w:iCs/>
                <w:color w:val="000000"/>
              </w:rPr>
              <w:t xml:space="preserve">transmissionComb-ap </w:t>
            </w:r>
            <w:r>
              <w:rPr>
                <w:lang w:eastAsia="ja-JP"/>
              </w:rPr>
              <w:t>provided by higher layers</w:t>
            </w:r>
          </w:p>
        </w:tc>
        <w:tc>
          <w:tcPr>
            <w:tcW w:w="2552" w:type="dxa"/>
          </w:tcPr>
          <w:p>
            <w:pPr>
              <w:pStyle w:val="103"/>
            </w:pPr>
            <w:r>
              <w:t>Mapping rule is specified in TS 36.211 [</w:t>
            </w:r>
            <w:r>
              <w:rPr>
                <w:rFonts w:hint="eastAsia" w:eastAsia="宋体"/>
                <w:lang w:val="en-US" w:eastAsia="zh-CN"/>
              </w:rPr>
              <w:t>3</w:t>
            </w:r>
            <w:r>
              <w:t xml:space="preserve">] Section </w:t>
            </w:r>
            <w:r>
              <w:rPr>
                <w:lang w:eastAsia="ja-JP"/>
              </w:rPr>
              <w:t>5</w:t>
            </w:r>
            <w:r>
              <w:t>.5.</w:t>
            </w:r>
            <w:r>
              <w:rPr>
                <w:lang w:eastAsia="ja-JP"/>
              </w:rPr>
              <w:t>3.2</w:t>
            </w:r>
          </w:p>
        </w:tc>
      </w:tr>
    </w:tbl>
    <w:p>
      <w:pPr>
        <w:rPr>
          <w:rFonts w:cs="v5.0.0"/>
          <w:lang w:eastAsia="ja-JP"/>
        </w:rPr>
      </w:pPr>
    </w:p>
    <w:p>
      <w:pPr>
        <w:pStyle w:val="4"/>
      </w:pPr>
      <w:bookmarkStart w:id="2593" w:name="_Toc6113"/>
      <w:bookmarkStart w:id="2594" w:name="_Toc29851"/>
      <w:bookmarkStart w:id="2595" w:name="_Toc20072"/>
      <w:bookmarkStart w:id="2596" w:name="_Toc30170"/>
      <w:bookmarkStart w:id="2597" w:name="_Toc14799"/>
      <w:r>
        <w:t>H.1.1</w:t>
      </w:r>
      <w:r>
        <w:tab/>
      </w:r>
      <w:r>
        <w:t>General for NB1</w:t>
      </w:r>
      <w:bookmarkEnd w:id="2593"/>
      <w:bookmarkEnd w:id="2594"/>
      <w:bookmarkEnd w:id="2595"/>
      <w:bookmarkEnd w:id="2596"/>
      <w:bookmarkEnd w:id="2597"/>
    </w:p>
    <w:p>
      <w:pPr>
        <w:rPr>
          <w:rFonts w:eastAsia="宋体" w:cs="v5.0.0"/>
          <w:lang w:eastAsia="zh-CN"/>
        </w:rPr>
      </w:pPr>
      <w:r>
        <w:rPr>
          <w:rFonts w:cs="v5.0.0"/>
        </w:rPr>
        <w:t xml:space="preserve">This annex specifies the uplink physical channels that are needed for setting a connection and channels that are needed during a connection. Table </w:t>
      </w:r>
      <w:r>
        <w:rPr>
          <w:rFonts w:cs="v5.0.0"/>
          <w:lang w:eastAsia="ja-JP"/>
        </w:rPr>
        <w:t>H.1.1-1</w:t>
      </w:r>
      <w:r>
        <w:rPr>
          <w:rFonts w:cs="v5.0.0"/>
        </w:rPr>
        <w:t xml:space="preserve"> describes the mapping of uplink physical channels and signals to physical resources for NB1 UE. </w:t>
      </w:r>
    </w:p>
    <w:p>
      <w:pPr>
        <w:pStyle w:val="113"/>
        <w:rPr>
          <w:lang w:eastAsia="ja-JP"/>
        </w:rPr>
      </w:pPr>
      <w:r>
        <w:t xml:space="preserve">Table H.1.1-1: </w:t>
      </w:r>
      <w:r>
        <w:rPr>
          <w:lang w:eastAsia="ja-JP"/>
        </w:rPr>
        <w:t>M</w:t>
      </w:r>
      <w:r>
        <w:t xml:space="preserve">apping of </w:t>
      </w:r>
      <w:r>
        <w:rPr>
          <w:lang w:eastAsia="ja-JP"/>
        </w:rPr>
        <w:t>uplink</w:t>
      </w:r>
      <w:r>
        <w:t xml:space="preserve"> physical channels and signals to physical resources</w:t>
      </w:r>
      <w:r>
        <w:rPr>
          <w:lang w:eastAsia="ja-JP"/>
        </w:rPr>
        <w:t xml:space="preserve"> for NB1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7"/>
        <w:gridCol w:w="2881"/>
        <w:gridCol w:w="3118"/>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4"/>
              <w:rPr>
                <w:lang w:eastAsia="zh-CN"/>
              </w:rPr>
            </w:pPr>
            <w:r>
              <w:rPr>
                <w:lang w:eastAsia="zh-CN"/>
              </w:rPr>
              <w:t>Physical channel</w:t>
            </w:r>
          </w:p>
        </w:tc>
        <w:tc>
          <w:tcPr>
            <w:tcW w:w="2881" w:type="dxa"/>
          </w:tcPr>
          <w:p>
            <w:pPr>
              <w:pStyle w:val="104"/>
              <w:rPr>
                <w:lang w:eastAsia="zh-CN"/>
              </w:rPr>
            </w:pPr>
            <w:r>
              <w:rPr>
                <w:lang w:eastAsia="zh-CN"/>
              </w:rPr>
              <w:t>Time Domain Location</w:t>
            </w:r>
          </w:p>
        </w:tc>
        <w:tc>
          <w:tcPr>
            <w:tcW w:w="3118" w:type="dxa"/>
          </w:tcPr>
          <w:p>
            <w:pPr>
              <w:pStyle w:val="104"/>
              <w:rPr>
                <w:lang w:eastAsia="zh-CN"/>
              </w:rPr>
            </w:pPr>
            <w:r>
              <w:rPr>
                <w:lang w:eastAsia="zh-CN"/>
              </w:rPr>
              <w:t>Frequency Domain Location</w:t>
            </w:r>
          </w:p>
        </w:tc>
        <w:tc>
          <w:tcPr>
            <w:tcW w:w="2552" w:type="dxa"/>
          </w:tcPr>
          <w:p>
            <w:pPr>
              <w:pStyle w:val="104"/>
              <w:rPr>
                <w:lang w:eastAsia="zh-CN"/>
              </w:rPr>
            </w:pPr>
            <w:r>
              <w:rPr>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3"/>
            </w:pPr>
            <w:r>
              <w:rPr>
                <w:rFonts w:cs="v5.0.0"/>
              </w:rPr>
              <w:t>NPRACH</w:t>
            </w:r>
          </w:p>
        </w:tc>
        <w:tc>
          <w:tcPr>
            <w:tcW w:w="2881" w:type="dxa"/>
          </w:tcPr>
          <w:p>
            <w:pPr>
              <w:pStyle w:val="103"/>
              <w:rPr>
                <w:lang w:eastAsia="ja-JP"/>
              </w:rPr>
            </w:pPr>
            <w:r>
              <w:rPr>
                <w:lang w:eastAsia="ja-JP"/>
              </w:rPr>
              <w:t>Allowed for the parameter n</w:t>
            </w:r>
            <w:r>
              <w:rPr>
                <w:i/>
                <w:iCs/>
                <w:lang w:eastAsia="ja-JP"/>
              </w:rPr>
              <w:t>prach-Configuration Index</w:t>
            </w:r>
            <w:r>
              <w:rPr>
                <w:lang w:eastAsia="ja-JP"/>
              </w:rPr>
              <w:t xml:space="preserve"> provided by higher layers</w:t>
            </w:r>
          </w:p>
        </w:tc>
        <w:tc>
          <w:tcPr>
            <w:tcW w:w="3118" w:type="dxa"/>
          </w:tcPr>
          <w:p>
            <w:pPr>
              <w:pStyle w:val="103"/>
            </w:pPr>
            <w:r>
              <w:rPr>
                <w:lang w:eastAsia="ja-JP"/>
              </w:rPr>
              <w:t xml:space="preserve">Allowed for the parameter </w:t>
            </w:r>
            <w:r>
              <w:rPr>
                <w:i/>
                <w:iCs/>
                <w:lang w:eastAsia="ja-JP"/>
              </w:rPr>
              <w:t xml:space="preserve">nprach-SubcarrierOffset </w:t>
            </w:r>
            <w:r>
              <w:rPr>
                <w:lang w:eastAsia="ja-JP"/>
              </w:rPr>
              <w:t>provided by higher layers</w:t>
            </w:r>
          </w:p>
        </w:tc>
        <w:tc>
          <w:tcPr>
            <w:tcW w:w="2552" w:type="dxa"/>
          </w:tcPr>
          <w:p>
            <w:pPr>
              <w:pStyle w:val="103"/>
              <w:rPr>
                <w:lang w:eastAsia="ja-JP"/>
              </w:rPr>
            </w:pPr>
            <w:r>
              <w:t>Mapping rule is specified in TS 36.211 [</w:t>
            </w:r>
            <w:r>
              <w:rPr>
                <w:rFonts w:hint="eastAsia" w:eastAsia="宋体"/>
                <w:lang w:val="en-US" w:eastAsia="zh-CN"/>
              </w:rPr>
              <w:t>3</w:t>
            </w:r>
            <w:r>
              <w:t>] Section 10.1.6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3"/>
            </w:pPr>
            <w:r>
              <w:rPr>
                <w:rFonts w:cs="v5.0.0"/>
                <w:snapToGrid w:val="0"/>
              </w:rPr>
              <w:t>NPUSCH</w:t>
            </w:r>
          </w:p>
        </w:tc>
        <w:tc>
          <w:tcPr>
            <w:tcW w:w="2881" w:type="dxa"/>
          </w:tcPr>
          <w:p>
            <w:pPr>
              <w:pStyle w:val="103"/>
              <w:rPr>
                <w:lang w:eastAsia="ja-JP"/>
              </w:rPr>
            </w:pPr>
            <w:r>
              <w:t xml:space="preserve">All the </w:t>
            </w:r>
            <w:r>
              <w:rPr>
                <w:lang w:eastAsia="ja-JP"/>
              </w:rPr>
              <w:t>SC-FDMA</w:t>
            </w:r>
            <w:r>
              <w:t xml:space="preserve"> symbols of each subframe.</w:t>
            </w:r>
          </w:p>
        </w:tc>
        <w:tc>
          <w:tcPr>
            <w:tcW w:w="3118" w:type="dxa"/>
          </w:tcPr>
          <w:p>
            <w:pPr>
              <w:pStyle w:val="103"/>
              <w:rPr>
                <w:lang w:eastAsia="ja-JP"/>
              </w:rPr>
            </w:pPr>
            <w:r>
              <w:rPr>
                <w:rFonts w:eastAsia="MS PGothic" w:cs="Arial"/>
              </w:rPr>
              <w:t>RUs allocated</w:t>
            </w:r>
            <w:r>
              <w:rPr>
                <w:rFonts w:eastAsia="MS PGothic" w:cs="Arial"/>
                <w:lang w:eastAsia="ja-JP"/>
              </w:rPr>
              <w:t xml:space="preserve"> a</w:t>
            </w:r>
            <w:r>
              <w:rPr>
                <w:rFonts w:eastAsia="MS PGothic" w:cs="Arial"/>
              </w:rPr>
              <w:t>ccording to Reference Measurement channel in Annex A.2</w:t>
            </w:r>
          </w:p>
        </w:tc>
        <w:tc>
          <w:tcPr>
            <w:tcW w:w="2552" w:type="dxa"/>
          </w:tcPr>
          <w:p>
            <w:pPr>
              <w:pStyle w:val="103"/>
            </w:pPr>
            <w:r>
              <w:t>Mapping rule is specified in TS 36.211 [</w:t>
            </w:r>
            <w:r>
              <w:rPr>
                <w:rFonts w:hint="eastAsia" w:eastAsia="宋体"/>
                <w:lang w:val="en-US" w:eastAsia="zh-CN"/>
              </w:rPr>
              <w:t>3</w:t>
            </w:r>
            <w:r>
              <w:t xml:space="preserve">] Section </w:t>
            </w:r>
            <w:r>
              <w:rPr>
                <w:lang w:eastAsia="ja-JP"/>
              </w:rPr>
              <w:t>10.1.3</w:t>
            </w:r>
          </w:p>
        </w:tc>
      </w:tr>
    </w:tbl>
    <w:p/>
    <w:p>
      <w:pPr>
        <w:pStyle w:val="3"/>
      </w:pPr>
      <w:bookmarkStart w:id="2598" w:name="_Toc655"/>
      <w:bookmarkStart w:id="2599" w:name="_Toc29560"/>
      <w:bookmarkStart w:id="2600" w:name="_Toc232582216"/>
      <w:bookmarkStart w:id="2601" w:name="_Toc32218"/>
      <w:bookmarkStart w:id="2602" w:name="_Toc30545"/>
      <w:bookmarkStart w:id="2603" w:name="_Toc30263"/>
      <w:r>
        <w:t>H.2</w:t>
      </w:r>
      <w:r>
        <w:tab/>
      </w:r>
      <w:r>
        <w:t>Set-up</w:t>
      </w:r>
      <w:bookmarkEnd w:id="2598"/>
      <w:bookmarkEnd w:id="2599"/>
      <w:bookmarkEnd w:id="2600"/>
      <w:bookmarkEnd w:id="2601"/>
      <w:bookmarkEnd w:id="2602"/>
      <w:bookmarkEnd w:id="2603"/>
    </w:p>
    <w:p>
      <w:pPr>
        <w:rPr>
          <w:rFonts w:cs="v5.0.0"/>
        </w:rPr>
      </w:pPr>
      <w:r>
        <w:rPr>
          <w:rFonts w:cs="v5.0.0"/>
        </w:rPr>
        <w:t>Table H.2-1 describes the uplink physical channels that are required for connection set up.</w:t>
      </w:r>
    </w:p>
    <w:p>
      <w:pPr>
        <w:pStyle w:val="113"/>
      </w:pPr>
      <w:r>
        <w:t>Table H.2-1: Uplink Physical Channels required for connection set-up</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single" w:color="auto" w:sz="4" w:space="0"/>
              <w:left w:val="single" w:color="auto" w:sz="4" w:space="0"/>
              <w:bottom w:val="single" w:color="auto" w:sz="4" w:space="0"/>
              <w:right w:val="single" w:color="auto" w:sz="4" w:space="0"/>
            </w:tcBorders>
          </w:tcPr>
          <w:p>
            <w:pPr>
              <w:pStyle w:val="104"/>
              <w:rPr>
                <w:lang w:eastAsia="zh-CN"/>
              </w:rPr>
            </w:pPr>
            <w:r>
              <w:rPr>
                <w:lang w:eastAsia="zh-CN"/>
              </w:rPr>
              <w:t>Physical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nil"/>
            </w:tcBorders>
          </w:tcPr>
          <w:p>
            <w:pPr>
              <w:pStyle w:val="103"/>
              <w:ind w:firstLine="822"/>
              <w:rPr>
                <w:rFonts w:cs="v5.0.0"/>
              </w:rPr>
            </w:pPr>
            <w:r>
              <w:rPr>
                <w:rFonts w:cs="v5.0.0"/>
              </w:rPr>
              <w:t>PRACH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3"/>
              <w:ind w:firstLine="822"/>
              <w:rPr>
                <w:rFonts w:cs="v5.0.0"/>
              </w:rPr>
            </w:pPr>
            <w:r>
              <w:rPr>
                <w:rFonts w:cs="v5.0.0"/>
                <w:snapToGrid w:val="0"/>
              </w:rPr>
              <w:t>DMRS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3"/>
              <w:ind w:firstLine="822"/>
              <w:rPr>
                <w:rFonts w:cs="v5.0.0"/>
                <w:snapToGrid w:val="0"/>
              </w:rPr>
            </w:pPr>
            <w:r>
              <w:rPr>
                <w:rFonts w:cs="v5.0.0"/>
                <w:snapToGrid w:val="0"/>
              </w:rPr>
              <w:t>PUCCH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3"/>
              <w:ind w:firstLine="822"/>
              <w:rPr>
                <w:rFonts w:cs="v5.0.0"/>
                <w:snapToGrid w:val="0"/>
              </w:rPr>
            </w:pPr>
            <w:r>
              <w:rPr>
                <w:rFonts w:cs="v5.0.0"/>
                <w:snapToGrid w:val="0"/>
              </w:rPr>
              <w:t>PUSCH</w:t>
            </w:r>
          </w:p>
        </w:tc>
      </w:tr>
    </w:tbl>
    <w:p/>
    <w:p>
      <w:pPr>
        <w:pStyle w:val="4"/>
      </w:pPr>
      <w:bookmarkStart w:id="2604" w:name="_Toc17106"/>
      <w:bookmarkStart w:id="2605" w:name="_Toc16642"/>
      <w:bookmarkStart w:id="2606" w:name="_Toc9344"/>
      <w:bookmarkStart w:id="2607" w:name="_Toc3061"/>
      <w:bookmarkStart w:id="2608" w:name="_Toc13425"/>
      <w:r>
        <w:t>H.2.1</w:t>
      </w:r>
      <w:r>
        <w:tab/>
      </w:r>
      <w:r>
        <w:t>Set-up for NB1</w:t>
      </w:r>
      <w:bookmarkEnd w:id="2604"/>
      <w:bookmarkEnd w:id="2605"/>
      <w:bookmarkEnd w:id="2606"/>
      <w:bookmarkEnd w:id="2607"/>
      <w:bookmarkEnd w:id="2608"/>
    </w:p>
    <w:p>
      <w:pPr>
        <w:rPr>
          <w:rFonts w:cs="v5.0.0"/>
        </w:rPr>
      </w:pPr>
      <w:r>
        <w:rPr>
          <w:rFonts w:cs="v5.0.0"/>
        </w:rPr>
        <w:t>Table H.2.1-1 describes the uplink physical channels that are required for connection set up.</w:t>
      </w:r>
    </w:p>
    <w:p>
      <w:pPr>
        <w:pStyle w:val="113"/>
      </w:pPr>
      <w:r>
        <w:t>Table H.2.1-1: Uplink Physical Channels required for connection set-up</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single" w:color="auto" w:sz="4" w:space="0"/>
              <w:left w:val="single" w:color="auto" w:sz="4" w:space="0"/>
              <w:bottom w:val="single" w:color="auto" w:sz="4" w:space="0"/>
              <w:right w:val="single" w:color="auto" w:sz="4" w:space="0"/>
            </w:tcBorders>
          </w:tcPr>
          <w:p>
            <w:pPr>
              <w:pStyle w:val="104"/>
              <w:rPr>
                <w:lang w:eastAsia="zh-CN"/>
              </w:rPr>
            </w:pPr>
            <w:r>
              <w:rPr>
                <w:lang w:eastAsia="zh-CN"/>
              </w:rPr>
              <w:t>Physical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nil"/>
            </w:tcBorders>
          </w:tcPr>
          <w:p>
            <w:pPr>
              <w:pStyle w:val="103"/>
              <w:ind w:firstLine="822"/>
              <w:rPr>
                <w:rFonts w:cs="v5.0.0"/>
              </w:rPr>
            </w:pPr>
            <w:r>
              <w:rPr>
                <w:rFonts w:cs="v5.0.0"/>
              </w:rPr>
              <w:t>NPRACH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3"/>
              <w:ind w:firstLine="822"/>
              <w:rPr>
                <w:rFonts w:cs="v5.0.0"/>
                <w:snapToGrid w:val="0"/>
              </w:rPr>
            </w:pPr>
            <w:r>
              <w:rPr>
                <w:rFonts w:cs="v5.0.0"/>
                <w:snapToGrid w:val="0"/>
              </w:rPr>
              <w:t>NPUSCH</w:t>
            </w:r>
          </w:p>
        </w:tc>
      </w:tr>
    </w:tbl>
    <w:p/>
    <w:p>
      <w:pPr>
        <w:pStyle w:val="3"/>
      </w:pPr>
      <w:bookmarkStart w:id="2609" w:name="_Toc23748"/>
      <w:bookmarkStart w:id="2610" w:name="_Toc23547"/>
      <w:bookmarkStart w:id="2611" w:name="_Toc31724"/>
      <w:bookmarkStart w:id="2612" w:name="_Toc232582217"/>
      <w:bookmarkStart w:id="2613" w:name="_Toc26948"/>
      <w:bookmarkStart w:id="2614" w:name="_Toc20511"/>
      <w:r>
        <w:t>H.3</w:t>
      </w:r>
      <w:r>
        <w:tab/>
      </w:r>
      <w:r>
        <w:t>Connection</w:t>
      </w:r>
      <w:bookmarkEnd w:id="2609"/>
      <w:bookmarkEnd w:id="2610"/>
      <w:bookmarkEnd w:id="2611"/>
      <w:bookmarkEnd w:id="2612"/>
      <w:bookmarkEnd w:id="2613"/>
      <w:bookmarkEnd w:id="2614"/>
    </w:p>
    <w:p>
      <w:pPr>
        <w:rPr>
          <w:rFonts w:cs="v5.0.0"/>
        </w:rPr>
      </w:pPr>
      <w:r>
        <w:rPr>
          <w:rFonts w:cs="v5.0.0"/>
        </w:rPr>
        <w:t>The following clauses describes the uplink physical channels that are transmitted during a connection i.e., when measurements are done.</w:t>
      </w:r>
    </w:p>
    <w:p>
      <w:pPr>
        <w:pStyle w:val="4"/>
      </w:pPr>
      <w:bookmarkStart w:id="2615" w:name="_Toc7046"/>
      <w:bookmarkStart w:id="2616" w:name="_Toc7155"/>
      <w:bookmarkStart w:id="2617" w:name="_Toc20924"/>
      <w:bookmarkStart w:id="2618" w:name="_Toc232582218"/>
      <w:bookmarkStart w:id="2619" w:name="_Toc20815"/>
      <w:bookmarkStart w:id="2620" w:name="_Toc13546"/>
      <w:r>
        <w:t>H.3.0</w:t>
      </w:r>
      <w:r>
        <w:tab/>
      </w:r>
      <w:r>
        <w:t>Measurement of Transmitter Characteristics</w:t>
      </w:r>
      <w:bookmarkEnd w:id="2615"/>
      <w:bookmarkEnd w:id="2616"/>
      <w:bookmarkEnd w:id="2617"/>
      <w:bookmarkEnd w:id="2618"/>
      <w:bookmarkEnd w:id="2619"/>
      <w:bookmarkEnd w:id="2620"/>
    </w:p>
    <w:p>
      <w:pPr>
        <w:rPr>
          <w:rFonts w:eastAsia="宋体"/>
        </w:rPr>
      </w:pPr>
      <w:r>
        <w:rPr>
          <w:rFonts w:eastAsia="宋体"/>
        </w:rPr>
        <w:t>As specified in the test case. Otherwise:</w:t>
      </w:r>
    </w:p>
    <w:p>
      <w:pPr>
        <w:pStyle w:val="111"/>
        <w:rPr>
          <w:rFonts w:eastAsia="宋体"/>
        </w:rPr>
      </w:pPr>
      <w:r>
        <w:rPr>
          <w:rFonts w:eastAsia="宋体"/>
        </w:rPr>
        <w:t>-</w:t>
      </w:r>
      <w:r>
        <w:rPr>
          <w:rFonts w:eastAsia="宋体"/>
        </w:rPr>
        <w:tab/>
      </w:r>
      <w:r>
        <w:rPr>
          <w:rFonts w:eastAsia="宋体"/>
        </w:rPr>
        <w:t>PUSCH + DMRS for PUSCH (and DMRS) measurements.</w:t>
      </w:r>
    </w:p>
    <w:p>
      <w:pPr>
        <w:pStyle w:val="111"/>
        <w:rPr>
          <w:rFonts w:eastAsia="宋体"/>
        </w:rPr>
      </w:pPr>
      <w:r>
        <w:rPr>
          <w:rFonts w:eastAsia="宋体"/>
        </w:rPr>
        <w:t>-</w:t>
      </w:r>
      <w:r>
        <w:rPr>
          <w:rFonts w:eastAsia="宋体"/>
        </w:rPr>
        <w:tab/>
      </w:r>
      <w:r>
        <w:rPr>
          <w:rFonts w:eastAsia="宋体"/>
        </w:rPr>
        <w:t>PUCCH + DMRS for PUCCH (and DMRS) measurements.</w:t>
      </w:r>
    </w:p>
    <w:p>
      <w:pPr>
        <w:pStyle w:val="111"/>
        <w:rPr>
          <w:rFonts w:eastAsia="宋体"/>
        </w:rPr>
      </w:pPr>
      <w:r>
        <w:rPr>
          <w:rFonts w:eastAsia="宋体"/>
        </w:rPr>
        <w:t>-</w:t>
      </w:r>
      <w:r>
        <w:rPr>
          <w:rFonts w:eastAsia="宋体"/>
        </w:rPr>
        <w:tab/>
      </w:r>
      <w:r>
        <w:rPr>
          <w:rFonts w:eastAsia="宋体"/>
        </w:rPr>
        <w:t>PRACH for PRACH measurements.</w:t>
      </w:r>
    </w:p>
    <w:p>
      <w:pPr>
        <w:pStyle w:val="111"/>
        <w:rPr>
          <w:rFonts w:eastAsia="宋体"/>
        </w:rPr>
      </w:pPr>
      <w:r>
        <w:rPr>
          <w:rFonts w:eastAsia="宋体"/>
        </w:rPr>
        <w:t>-</w:t>
      </w:r>
      <w:r>
        <w:rPr>
          <w:rFonts w:eastAsia="宋体"/>
        </w:rPr>
        <w:tab/>
      </w:r>
      <w:r>
        <w:rPr>
          <w:rFonts w:eastAsia="宋体"/>
        </w:rPr>
        <w:t>SRS for SRS measurements.</w:t>
      </w:r>
    </w:p>
    <w:p>
      <w:pPr>
        <w:pStyle w:val="4"/>
      </w:pPr>
      <w:bookmarkStart w:id="2621" w:name="_Toc16237"/>
      <w:bookmarkStart w:id="2622" w:name="_Toc20140"/>
      <w:bookmarkStart w:id="2623" w:name="_Toc2858"/>
      <w:bookmarkStart w:id="2624" w:name="_Toc232582219"/>
      <w:bookmarkStart w:id="2625" w:name="_Toc4423"/>
      <w:bookmarkStart w:id="2626" w:name="_Toc8994"/>
      <w:r>
        <w:t>H.3.1</w:t>
      </w:r>
      <w:r>
        <w:tab/>
      </w:r>
      <w:r>
        <w:t>Measurement of Receiver Characteristics</w:t>
      </w:r>
      <w:bookmarkEnd w:id="2621"/>
      <w:bookmarkEnd w:id="2622"/>
      <w:bookmarkEnd w:id="2623"/>
      <w:bookmarkEnd w:id="2624"/>
      <w:bookmarkEnd w:id="2625"/>
      <w:bookmarkEnd w:id="2626"/>
    </w:p>
    <w:p>
      <w:pPr>
        <w:rPr>
          <w:rFonts w:eastAsia="宋体"/>
        </w:rPr>
      </w:pPr>
      <w:r>
        <w:rPr>
          <w:rFonts w:eastAsia="宋体"/>
        </w:rPr>
        <w:t>As specified in the test case. Otherwise:</w:t>
      </w:r>
    </w:p>
    <w:p>
      <w:pPr>
        <w:numPr>
          <w:ilvl w:val="0"/>
          <w:numId w:val="13"/>
        </w:numPr>
        <w:rPr>
          <w:rFonts w:eastAsia="宋体"/>
        </w:rPr>
      </w:pPr>
      <w:r>
        <w:rPr>
          <w:rFonts w:eastAsia="宋体"/>
        </w:rPr>
        <w:t>PUSCH + DMRS for measurements with uplink interference configured.</w:t>
      </w:r>
    </w:p>
    <w:p>
      <w:pPr>
        <w:numPr>
          <w:ilvl w:val="0"/>
          <w:numId w:val="13"/>
        </w:numPr>
        <w:rPr>
          <w:rFonts w:eastAsia="宋体"/>
        </w:rPr>
      </w:pPr>
      <w:r>
        <w:rPr>
          <w:rFonts w:eastAsia="宋体"/>
        </w:rPr>
        <w:t>PUCCH + DMRS for measurements without uplink interference configured.</w:t>
      </w:r>
    </w:p>
    <w:p>
      <w:pPr>
        <w:pStyle w:val="4"/>
      </w:pPr>
      <w:bookmarkStart w:id="2627" w:name="_Toc6696"/>
      <w:bookmarkStart w:id="2628" w:name="_Toc9983"/>
      <w:bookmarkStart w:id="2629" w:name="_Toc20930"/>
      <w:bookmarkStart w:id="2630" w:name="_Toc232582220"/>
      <w:bookmarkStart w:id="2631" w:name="_Toc15171"/>
      <w:bookmarkStart w:id="2632" w:name="_Toc31319"/>
      <w:r>
        <w:t>H.3.2</w:t>
      </w:r>
      <w:r>
        <w:tab/>
      </w:r>
      <w:r>
        <w:t>Measurement of Performance Requirements</w:t>
      </w:r>
      <w:bookmarkEnd w:id="2627"/>
      <w:bookmarkEnd w:id="2628"/>
      <w:bookmarkEnd w:id="2629"/>
      <w:bookmarkEnd w:id="2630"/>
      <w:bookmarkEnd w:id="2631"/>
      <w:bookmarkEnd w:id="2632"/>
    </w:p>
    <w:p>
      <w:pPr>
        <w:rPr>
          <w:rFonts w:eastAsia="宋体"/>
        </w:rPr>
      </w:pPr>
      <w:r>
        <w:rPr>
          <w:rFonts w:eastAsia="宋体"/>
        </w:rPr>
        <w:t>As specified in the test case. Otherwise:</w:t>
      </w:r>
    </w:p>
    <w:p>
      <w:pPr>
        <w:numPr>
          <w:ilvl w:val="0"/>
          <w:numId w:val="13"/>
        </w:numPr>
        <w:rPr>
          <w:rFonts w:eastAsia="宋体"/>
        </w:rPr>
      </w:pPr>
      <w:r>
        <w:rPr>
          <w:rFonts w:eastAsia="宋体"/>
        </w:rPr>
        <w:t>PUCCH + DMRS for measurements without CSI feedback, or with CSI feedback in PUCCH mode.</w:t>
      </w:r>
    </w:p>
    <w:p>
      <w:pPr>
        <w:numPr>
          <w:ilvl w:val="0"/>
          <w:numId w:val="13"/>
        </w:numPr>
        <w:rPr>
          <w:rFonts w:eastAsia="宋体"/>
        </w:rPr>
      </w:pPr>
      <w:r>
        <w:rPr>
          <w:rFonts w:eastAsia="宋体"/>
        </w:rPr>
        <w:t>PUSCH + DMRS for measurements with CSI feedback in PUSCH mode.</w:t>
      </w:r>
    </w:p>
    <w:p>
      <w:pPr>
        <w:pStyle w:val="3"/>
      </w:pPr>
      <w:bookmarkStart w:id="2633" w:name="_Toc9269"/>
      <w:bookmarkStart w:id="2634" w:name="_Toc4138"/>
      <w:bookmarkStart w:id="2635" w:name="_Toc15759"/>
      <w:bookmarkStart w:id="2636" w:name="_Toc6683"/>
      <w:bookmarkStart w:id="2637" w:name="_Toc5424"/>
      <w:r>
        <w:t>H.4</w:t>
      </w:r>
      <w:r>
        <w:tab/>
      </w:r>
      <w:r>
        <w:t>Connection for NB1</w:t>
      </w:r>
      <w:bookmarkEnd w:id="2633"/>
      <w:bookmarkEnd w:id="2634"/>
      <w:bookmarkEnd w:id="2635"/>
      <w:bookmarkEnd w:id="2636"/>
      <w:bookmarkEnd w:id="2637"/>
    </w:p>
    <w:p>
      <w:pPr>
        <w:rPr>
          <w:rFonts w:cs="v5.0.0"/>
        </w:rPr>
      </w:pPr>
      <w:r>
        <w:rPr>
          <w:rFonts w:cs="v5.0.0"/>
        </w:rPr>
        <w:t>The following clauses describes the uplink physical channels that are transmitted during a connection i.e., when measurements are done.</w:t>
      </w:r>
    </w:p>
    <w:p>
      <w:pPr>
        <w:pStyle w:val="4"/>
      </w:pPr>
      <w:bookmarkStart w:id="2638" w:name="_Toc8335"/>
      <w:bookmarkStart w:id="2639" w:name="_Toc10061"/>
      <w:bookmarkStart w:id="2640" w:name="_Toc11520"/>
      <w:bookmarkStart w:id="2641" w:name="_Toc21250"/>
      <w:bookmarkStart w:id="2642" w:name="_Toc30134"/>
      <w:r>
        <w:t>H.4.0</w:t>
      </w:r>
      <w:r>
        <w:tab/>
      </w:r>
      <w:r>
        <w:t>Measurement of Transmitter Characteristics</w:t>
      </w:r>
      <w:bookmarkEnd w:id="2638"/>
      <w:bookmarkEnd w:id="2639"/>
      <w:bookmarkEnd w:id="2640"/>
      <w:bookmarkEnd w:id="2641"/>
      <w:bookmarkEnd w:id="2642"/>
    </w:p>
    <w:p>
      <w:pPr>
        <w:rPr>
          <w:rFonts w:eastAsia="宋体"/>
        </w:rPr>
      </w:pPr>
      <w:r>
        <w:rPr>
          <w:rFonts w:eastAsia="宋体"/>
        </w:rPr>
        <w:t>As specified in the test case. Otherwise:</w:t>
      </w:r>
    </w:p>
    <w:p>
      <w:pPr>
        <w:pStyle w:val="111"/>
        <w:rPr>
          <w:rFonts w:eastAsia="宋体"/>
        </w:rPr>
      </w:pPr>
      <w:r>
        <w:rPr>
          <w:rFonts w:eastAsia="宋体"/>
        </w:rPr>
        <w:t>-</w:t>
      </w:r>
      <w:r>
        <w:rPr>
          <w:rFonts w:eastAsia="宋体"/>
        </w:rPr>
        <w:tab/>
      </w:r>
      <w:r>
        <w:rPr>
          <w:rFonts w:eastAsia="宋体"/>
        </w:rPr>
        <w:t>NPUSCH for measurements.</w:t>
      </w:r>
    </w:p>
    <w:p>
      <w:pPr>
        <w:pStyle w:val="111"/>
        <w:rPr>
          <w:rFonts w:eastAsia="宋体"/>
        </w:rPr>
      </w:pPr>
      <w:r>
        <w:rPr>
          <w:rFonts w:eastAsia="宋体"/>
        </w:rPr>
        <w:t>-</w:t>
      </w:r>
      <w:r>
        <w:rPr>
          <w:rFonts w:eastAsia="宋体"/>
        </w:rPr>
        <w:tab/>
      </w:r>
      <w:r>
        <w:rPr>
          <w:rFonts w:eastAsia="宋体"/>
        </w:rPr>
        <w:t>NPRACH for PRACH measurements.</w:t>
      </w:r>
    </w:p>
    <w:p>
      <w:pPr>
        <w:pStyle w:val="4"/>
      </w:pPr>
      <w:bookmarkStart w:id="2643" w:name="_Toc7175"/>
      <w:bookmarkStart w:id="2644" w:name="_Toc26464"/>
      <w:bookmarkStart w:id="2645" w:name="_Toc19645"/>
      <w:bookmarkStart w:id="2646" w:name="_Toc4110"/>
      <w:bookmarkStart w:id="2647" w:name="_Toc20036"/>
      <w:r>
        <w:t>H.4.1</w:t>
      </w:r>
      <w:r>
        <w:tab/>
      </w:r>
      <w:r>
        <w:t>Measurement of Receiver Characteristics</w:t>
      </w:r>
      <w:bookmarkEnd w:id="2643"/>
      <w:bookmarkEnd w:id="2644"/>
      <w:bookmarkEnd w:id="2645"/>
      <w:bookmarkEnd w:id="2646"/>
      <w:bookmarkEnd w:id="2647"/>
    </w:p>
    <w:p>
      <w:pPr>
        <w:rPr>
          <w:rFonts w:eastAsia="宋体"/>
        </w:rPr>
      </w:pPr>
      <w:r>
        <w:rPr>
          <w:rFonts w:eastAsia="宋体"/>
        </w:rPr>
        <w:t>As specified in the test case. Otherwise:</w:t>
      </w:r>
    </w:p>
    <w:p>
      <w:pPr>
        <w:numPr>
          <w:ilvl w:val="0"/>
          <w:numId w:val="13"/>
        </w:numPr>
        <w:rPr>
          <w:rFonts w:eastAsia="宋体"/>
        </w:rPr>
      </w:pPr>
      <w:r>
        <w:rPr>
          <w:rFonts w:eastAsia="宋体"/>
        </w:rPr>
        <w:t>NPUSCH (format 2) for measurements.</w:t>
      </w:r>
    </w:p>
    <w:p>
      <w:pPr>
        <w:pStyle w:val="4"/>
      </w:pPr>
      <w:bookmarkStart w:id="2648" w:name="_Toc23966"/>
      <w:bookmarkStart w:id="2649" w:name="_Toc15427"/>
      <w:bookmarkStart w:id="2650" w:name="_Toc31973"/>
      <w:bookmarkStart w:id="2651" w:name="_Toc26126"/>
      <w:bookmarkStart w:id="2652" w:name="_Toc8409"/>
      <w:r>
        <w:t>H.4.2</w:t>
      </w:r>
      <w:r>
        <w:tab/>
      </w:r>
      <w:r>
        <w:t>Measurement of Performance Requirements</w:t>
      </w:r>
      <w:bookmarkEnd w:id="2648"/>
      <w:bookmarkEnd w:id="2649"/>
      <w:bookmarkEnd w:id="2650"/>
      <w:bookmarkEnd w:id="2651"/>
      <w:bookmarkEnd w:id="2652"/>
    </w:p>
    <w:p>
      <w:pPr>
        <w:rPr>
          <w:rFonts w:eastAsia="宋体"/>
        </w:rPr>
      </w:pPr>
      <w:r>
        <w:rPr>
          <w:rFonts w:eastAsia="宋体"/>
        </w:rPr>
        <w:t>As specified in the test case. Otherwise:</w:t>
      </w:r>
    </w:p>
    <w:p>
      <w:pPr>
        <w:numPr>
          <w:ilvl w:val="0"/>
          <w:numId w:val="13"/>
        </w:numPr>
        <w:rPr>
          <w:rFonts w:eastAsia="宋体"/>
        </w:rPr>
      </w:pPr>
      <w:r>
        <w:rPr>
          <w:rFonts w:eastAsia="宋体"/>
        </w:rPr>
        <w:t>NPUSCH (format 2) for measurements.</w:t>
      </w:r>
    </w:p>
    <w:p>
      <w:pPr>
        <w:pStyle w:val="11"/>
        <w:rPr>
          <w:rFonts w:eastAsia="宋体"/>
          <w:lang w:val="en-US" w:eastAsia="zh-CN"/>
        </w:rPr>
      </w:pPr>
      <w:r>
        <w:br w:type="page"/>
      </w:r>
      <w:bookmarkStart w:id="2653" w:name="_Toc20384"/>
      <w:bookmarkStart w:id="2654" w:name="_Toc29030"/>
      <w:bookmarkStart w:id="2655" w:name="_Toc16895"/>
      <w:bookmarkStart w:id="2656" w:name="_Toc9614"/>
      <w:bookmarkStart w:id="2657" w:name="_Toc24167"/>
      <w:r>
        <w:t>Annex I (</w:t>
      </w:r>
      <w:r>
        <w:rPr>
          <w:rFonts w:hint="eastAsia" w:eastAsia="宋体"/>
          <w:lang w:val="en-US" w:eastAsia="zh-CN"/>
        </w:rPr>
        <w:t>reserved</w:t>
      </w:r>
      <w:r>
        <w:t>):</w:t>
      </w:r>
      <w:bookmarkEnd w:id="2653"/>
      <w:bookmarkEnd w:id="2654"/>
      <w:bookmarkEnd w:id="2655"/>
      <w:bookmarkEnd w:id="2656"/>
      <w:bookmarkEnd w:id="2657"/>
    </w:p>
    <w:p/>
    <w:p>
      <w:pPr>
        <w:pStyle w:val="11"/>
        <w:rPr>
          <w:rFonts w:eastAsia="MS Mincho"/>
        </w:rPr>
      </w:pPr>
      <w:bookmarkStart w:id="2658" w:name="_Toc29629"/>
      <w:bookmarkStart w:id="2659" w:name="_Toc21769"/>
      <w:bookmarkStart w:id="2660" w:name="_Toc7460"/>
      <w:bookmarkStart w:id="2661" w:name="_Toc23572"/>
      <w:bookmarkStart w:id="2662" w:name="_Toc1409"/>
      <w:r>
        <w:rPr>
          <w:rFonts w:hint="eastAsia" w:eastAsia="宋体"/>
          <w:lang w:val="en-US" w:eastAsia="zh-CN"/>
        </w:rPr>
        <w:t>A</w:t>
      </w:r>
      <w:r>
        <w:t>nnex J (</w:t>
      </w:r>
      <w:r>
        <w:rPr>
          <w:rFonts w:hint="eastAsia" w:eastAsia="宋体"/>
          <w:lang w:val="en-US" w:eastAsia="zh-CN"/>
        </w:rPr>
        <w:t>reserved</w:t>
      </w:r>
      <w:r>
        <w:t>):</w:t>
      </w:r>
      <w:r>
        <w:br w:type="textWrapping"/>
      </w:r>
      <w:bookmarkEnd w:id="2658"/>
      <w:bookmarkEnd w:id="2659"/>
      <w:bookmarkEnd w:id="2660"/>
      <w:bookmarkEnd w:id="2661"/>
      <w:bookmarkEnd w:id="2662"/>
    </w:p>
    <w:p>
      <w:pPr>
        <w:pStyle w:val="11"/>
        <w:rPr>
          <w:rFonts w:eastAsia="MS Mincho"/>
        </w:rPr>
      </w:pPr>
      <w:bookmarkStart w:id="2663" w:name="_Toc2021"/>
      <w:bookmarkStart w:id="2664" w:name="_Toc29590"/>
      <w:bookmarkStart w:id="2665" w:name="_Toc6939"/>
      <w:bookmarkStart w:id="2666" w:name="_Toc16291"/>
      <w:bookmarkStart w:id="2667" w:name="_Toc3882"/>
      <w:r>
        <w:t>Annex K (normative):</w:t>
      </w:r>
      <w:r>
        <w:br w:type="textWrapping"/>
      </w:r>
      <w:r>
        <w:t>NB-IoT Test Frequencies</w:t>
      </w:r>
      <w:bookmarkEnd w:id="2663"/>
      <w:bookmarkEnd w:id="2664"/>
      <w:bookmarkEnd w:id="2665"/>
      <w:bookmarkEnd w:id="2666"/>
      <w:bookmarkEnd w:id="2667"/>
    </w:p>
    <w:p>
      <w:pPr>
        <w:pStyle w:val="3"/>
      </w:pPr>
      <w:bookmarkStart w:id="2668" w:name="_Toc3014"/>
      <w:bookmarkStart w:id="2669" w:name="_Toc5294"/>
      <w:bookmarkStart w:id="2670" w:name="_Toc5453"/>
      <w:bookmarkStart w:id="2671" w:name="_Toc18019"/>
      <w:bookmarkStart w:id="2672" w:name="_Toc11310"/>
      <w:r>
        <w:rPr>
          <w:rFonts w:eastAsia="MS Mincho"/>
        </w:rPr>
        <w:t>K</w:t>
      </w:r>
      <w:r>
        <w:t>.1</w:t>
      </w:r>
      <w:r>
        <w:tab/>
      </w:r>
      <w:r>
        <w:t>NB-IoT Test frequencies for TRx Tests</w:t>
      </w:r>
      <w:bookmarkEnd w:id="2668"/>
      <w:bookmarkEnd w:id="2669"/>
      <w:bookmarkEnd w:id="2670"/>
      <w:bookmarkEnd w:id="2671"/>
      <w:bookmarkEnd w:id="2672"/>
    </w:p>
    <w:p>
      <w:r>
        <w:t>Testing frequencies for all NB-IoT TRx test cases (sections 6 and 7 in TS 36.521-</w:t>
      </w:r>
      <w:r>
        <w:rPr>
          <w:rFonts w:hint="eastAsia" w:eastAsia="宋体"/>
          <w:lang w:val="en-US" w:eastAsia="zh-CN"/>
        </w:rPr>
        <w:t>4</w:t>
      </w:r>
      <w:r>
        <w:t>) should be selected across the bands UE supports from any of the following subclauses indicated by each test case.</w:t>
      </w:r>
    </w:p>
    <w:p>
      <w:r>
        <w:t>For transmitter test cases (section 6 in TS 36.521-</w:t>
      </w:r>
      <w:r>
        <w:rPr>
          <w:rFonts w:hint="eastAsia" w:eastAsia="宋体"/>
          <w:lang w:val="en-US" w:eastAsia="zh-CN"/>
        </w:rPr>
        <w:t>4</w:t>
      </w:r>
      <w:r>
        <w:t>), UL frequencies should be considered on the test frequency selection algorithm described above, while DL frequencies should be used for receiver test cases (section 7 in TS 36.521-</w:t>
      </w:r>
      <w:r>
        <w:rPr>
          <w:rFonts w:hint="eastAsia" w:eastAsia="宋体"/>
          <w:lang w:val="en-US" w:eastAsia="zh-CN"/>
        </w:rPr>
        <w:t>4</w:t>
      </w:r>
      <w:r>
        <w:t>).</w:t>
      </w:r>
    </w:p>
    <w:p>
      <w:r>
        <w:t>Refer to TS 36.508 [</w:t>
      </w:r>
      <w:r>
        <w:rPr>
          <w:rFonts w:hint="eastAsia" w:eastAsia="宋体"/>
          <w:lang w:val="en-US" w:eastAsia="zh-CN"/>
        </w:rPr>
        <w:t>12</w:t>
      </w:r>
      <w:r>
        <w:t>] section 8.1.3.1 for testing frequencies associated to each frequency band and each operation mode.</w:t>
      </w:r>
    </w:p>
    <w:p>
      <w:pPr>
        <w:pStyle w:val="4"/>
      </w:pPr>
      <w:bookmarkStart w:id="2673" w:name="_Toc13040"/>
      <w:bookmarkStart w:id="2674" w:name="_Toc618"/>
      <w:bookmarkStart w:id="2675" w:name="_Toc31348"/>
      <w:bookmarkStart w:id="2676" w:name="_Toc6882"/>
      <w:bookmarkStart w:id="2677" w:name="_Toc20021"/>
      <w:r>
        <w:t>K.1.1</w:t>
      </w:r>
      <w:r>
        <w:tab/>
      </w:r>
      <w:r>
        <w:t>Test frequencies selection criteria 1</w:t>
      </w:r>
      <w:bookmarkEnd w:id="2673"/>
      <w:bookmarkEnd w:id="2674"/>
      <w:bookmarkEnd w:id="2675"/>
      <w:bookmarkEnd w:id="2676"/>
      <w:bookmarkEnd w:id="2677"/>
    </w:p>
    <w:p>
      <w:r>
        <w:t>Among all frequency bands ranges above 1GHz supported by the UE, testing points are defined as:</w:t>
      </w:r>
    </w:p>
    <w:p>
      <w:pPr>
        <w:pStyle w:val="111"/>
      </w:pPr>
      <w:r>
        <w:t>-</w:t>
      </w:r>
      <w:r>
        <w:tab/>
      </w:r>
      <w:r>
        <w:t>@ low range of the lowest supported band</w:t>
      </w:r>
    </w:p>
    <w:p>
      <w:pPr>
        <w:pStyle w:val="111"/>
      </w:pPr>
      <w:r>
        <w:t>-</w:t>
      </w:r>
      <w:r>
        <w:tab/>
      </w:r>
      <w:r>
        <w:t>@ high range of the highest supported band</w:t>
      </w:r>
    </w:p>
    <w:p>
      <w:pPr>
        <w:pStyle w:val="4"/>
      </w:pPr>
      <w:bookmarkStart w:id="2678" w:name="_Toc19746"/>
      <w:bookmarkStart w:id="2679" w:name="_Toc29268"/>
      <w:bookmarkStart w:id="2680" w:name="_Toc32703"/>
      <w:bookmarkStart w:id="2681" w:name="_Toc16953"/>
      <w:bookmarkStart w:id="2682" w:name="_Toc11275"/>
      <w:r>
        <w:t>K.1.2</w:t>
      </w:r>
      <w:r>
        <w:tab/>
      </w:r>
      <w:r>
        <w:t>Test frequencies selection criteria 2</w:t>
      </w:r>
      <w:bookmarkEnd w:id="2678"/>
      <w:bookmarkEnd w:id="2679"/>
      <w:bookmarkEnd w:id="2680"/>
      <w:bookmarkEnd w:id="2681"/>
      <w:bookmarkEnd w:id="2682"/>
    </w:p>
    <w:p>
      <w:r>
        <w:t>Among all frequency bands ranges above 1GHz supported by the UE, testing points are defined as:</w:t>
      </w:r>
    </w:p>
    <w:p>
      <w:pPr>
        <w:pStyle w:val="111"/>
      </w:pPr>
      <w:r>
        <w:t>-</w:t>
      </w:r>
      <w:r>
        <w:tab/>
      </w:r>
      <w:r>
        <w:t>@ low range of the lowest supported band</w:t>
      </w:r>
    </w:p>
    <w:p>
      <w:pPr>
        <w:pStyle w:val="111"/>
      </w:pPr>
      <w:r>
        <w:t>-</w:t>
      </w:r>
      <w:r>
        <w:tab/>
      </w:r>
      <w:r>
        <w:t>@ high range of the highest supported band</w:t>
      </w:r>
    </w:p>
    <w:p>
      <w:pPr>
        <w:pStyle w:val="111"/>
      </w:pPr>
      <w:r>
        <w:t>-</w:t>
      </w:r>
      <w:r>
        <w:tab/>
      </w:r>
      <w:r>
        <w:t>All mid range of all supported mid bands (supported bands between lowest supported band and highest supported band above 1GHz)</w:t>
      </w:r>
    </w:p>
    <w:p>
      <w:pPr>
        <w:pStyle w:val="4"/>
      </w:pPr>
      <w:bookmarkStart w:id="2683" w:name="_Toc25575"/>
      <w:bookmarkStart w:id="2684" w:name="_Toc163"/>
      <w:bookmarkStart w:id="2685" w:name="_Toc16207"/>
      <w:bookmarkStart w:id="2686" w:name="_Toc22415"/>
      <w:bookmarkStart w:id="2687" w:name="_Toc18981"/>
      <w:r>
        <w:t>K.1.3</w:t>
      </w:r>
      <w:r>
        <w:tab/>
      </w:r>
      <w:r>
        <w:t>Test frequencies selection criteria 3</w:t>
      </w:r>
      <w:bookmarkEnd w:id="2683"/>
      <w:bookmarkEnd w:id="2684"/>
      <w:bookmarkEnd w:id="2685"/>
      <w:bookmarkEnd w:id="2686"/>
      <w:bookmarkEnd w:id="2687"/>
    </w:p>
    <w:p>
      <w:r>
        <w:t>Among all frequency bands ranges supported by the UE, testing points are defined as:</w:t>
      </w:r>
    </w:p>
    <w:p>
      <w:pPr>
        <w:pStyle w:val="111"/>
      </w:pPr>
      <w:r>
        <w:t>-</w:t>
      </w:r>
      <w:r>
        <w:tab/>
      </w:r>
      <w:r>
        <w:t>@ low range of each supported band</w:t>
      </w:r>
    </w:p>
    <w:p>
      <w:pPr>
        <w:pStyle w:val="111"/>
      </w:pPr>
      <w:r>
        <w:t>-</w:t>
      </w:r>
      <w:r>
        <w:tab/>
      </w:r>
      <w:r>
        <w:t>@ high range of each supported band</w:t>
      </w:r>
    </w:p>
    <w:p>
      <w:pPr>
        <w:pStyle w:val="3"/>
      </w:pPr>
      <w:bookmarkStart w:id="2688" w:name="_Toc21705"/>
      <w:bookmarkStart w:id="2689" w:name="_Toc2362"/>
      <w:bookmarkStart w:id="2690" w:name="_Toc22329"/>
      <w:bookmarkStart w:id="2691" w:name="_Toc31956"/>
      <w:bookmarkStart w:id="2692" w:name="_Toc28600"/>
      <w:r>
        <w:rPr>
          <w:rFonts w:eastAsia="MS Mincho"/>
        </w:rPr>
        <w:t>K</w:t>
      </w:r>
      <w:r>
        <w:t>.2</w:t>
      </w:r>
      <w:r>
        <w:tab/>
      </w:r>
      <w:r>
        <w:t>NB-IoT Test frequencies for Demodulation Tests</w:t>
      </w:r>
      <w:bookmarkEnd w:id="2688"/>
      <w:bookmarkEnd w:id="2689"/>
      <w:bookmarkEnd w:id="2690"/>
      <w:bookmarkEnd w:id="2691"/>
      <w:bookmarkEnd w:id="2692"/>
    </w:p>
    <w:p>
      <w:r>
        <w:t>Testing frequencies for all NB-IOT demodulation (Section 8 in TS 36.521-</w:t>
      </w:r>
      <w:r>
        <w:rPr>
          <w:rFonts w:hint="eastAsia" w:eastAsia="宋体"/>
          <w:lang w:val="en-US" w:eastAsia="zh-CN"/>
        </w:rPr>
        <w:t>4</w:t>
      </w:r>
      <w:r>
        <w:t>) should be selected across the bands UE supports from any of the following subclauses indicated by each test case.</w:t>
      </w:r>
    </w:p>
    <w:p>
      <w:r>
        <w:t>For NB-IOT demodulation (section 8 in TS 36.521-</w:t>
      </w:r>
      <w:r>
        <w:rPr>
          <w:rFonts w:hint="eastAsia" w:eastAsia="宋体"/>
          <w:lang w:val="en-US" w:eastAsia="zh-CN"/>
        </w:rPr>
        <w:t>4</w:t>
      </w:r>
      <w:r>
        <w:t>) DL frequencies should be used from the frequency selection algorithm described below.</w:t>
      </w:r>
    </w:p>
    <w:p>
      <w:r>
        <w:t>Refer to section 8.1.3.1 in TS 36.508 [</w:t>
      </w:r>
      <w:r>
        <w:rPr>
          <w:rFonts w:hint="eastAsia" w:eastAsia="宋体"/>
          <w:lang w:val="en-US" w:eastAsia="zh-CN"/>
        </w:rPr>
        <w:t>12</w:t>
      </w:r>
      <w:r>
        <w:t>] for testing frequencies associated to each frequency band and each operation mode.</w:t>
      </w:r>
    </w:p>
    <w:p>
      <w:pPr>
        <w:pStyle w:val="5"/>
      </w:pPr>
      <w:bookmarkStart w:id="2693" w:name="_Toc3857"/>
      <w:bookmarkStart w:id="2694" w:name="_Toc11379"/>
      <w:bookmarkStart w:id="2695" w:name="_Toc13322"/>
      <w:bookmarkStart w:id="2696" w:name="_Toc27368"/>
      <w:bookmarkStart w:id="2697" w:name="_Toc21245"/>
      <w:r>
        <w:t>K.2.1</w:t>
      </w:r>
      <w:r>
        <w:tab/>
      </w:r>
      <w:r>
        <w:t>Test frequencies selection criteria 1</w:t>
      </w:r>
      <w:bookmarkEnd w:id="2693"/>
      <w:bookmarkEnd w:id="2694"/>
      <w:bookmarkEnd w:id="2695"/>
      <w:bookmarkEnd w:id="2696"/>
      <w:bookmarkEnd w:id="2697"/>
    </w:p>
    <w:p>
      <w:r>
        <w:t>Among all frequency bands ranges supported by the UE, testing points are defined as:</w:t>
      </w:r>
    </w:p>
    <w:p>
      <w:pPr>
        <w:pStyle w:val="111"/>
      </w:pPr>
      <w:r>
        <w:t>-</w:t>
      </w:r>
      <w:r>
        <w:tab/>
      </w:r>
      <w:r>
        <w:t>@ mid range of any one of the NB1 and NB2 UE supported band</w:t>
      </w:r>
    </w:p>
    <w:p>
      <w:pPr>
        <w:pStyle w:val="11"/>
      </w:pPr>
      <w:bookmarkStart w:id="2698" w:name="_Toc25358"/>
      <w:bookmarkStart w:id="2699" w:name="_Toc8924"/>
      <w:bookmarkStart w:id="2700" w:name="_Toc2513"/>
      <w:bookmarkStart w:id="2701" w:name="_Toc8992"/>
      <w:bookmarkStart w:id="2702" w:name="_Toc16580"/>
      <w:r>
        <w:t xml:space="preserve">Annex </w:t>
      </w:r>
      <w:r>
        <w:rPr>
          <w:rFonts w:hint="eastAsia" w:eastAsia="宋体"/>
          <w:lang w:val="en-US" w:eastAsia="zh-CN"/>
        </w:rPr>
        <w:t>L</w:t>
      </w:r>
      <w:r>
        <w:t xml:space="preserve"> (informative):</w:t>
      </w:r>
      <w:bookmarkEnd w:id="1870"/>
      <w:bookmarkEnd w:id="1871"/>
      <w:r>
        <w:t xml:space="preserve"> </w:t>
      </w:r>
      <w:bookmarkStart w:id="2703" w:name="historyclause"/>
      <w:r>
        <w:t>Change history</w:t>
      </w:r>
      <w:bookmarkEnd w:id="1872"/>
      <w:bookmarkEnd w:id="1873"/>
      <w:bookmarkEnd w:id="1874"/>
      <w:bookmarkEnd w:id="2698"/>
      <w:bookmarkEnd w:id="2699"/>
      <w:bookmarkEnd w:id="2700"/>
      <w:bookmarkEnd w:id="2701"/>
      <w:bookmarkEnd w:id="2702"/>
      <w:bookmarkEnd w:id="2703"/>
    </w:p>
    <w:p/>
    <w:tbl>
      <w:tblPr>
        <w:tblStyle w:val="8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jc w:val="center"/>
        </w:trPr>
        <w:tc>
          <w:tcPr>
            <w:tcW w:w="9639" w:type="dxa"/>
            <w:gridSpan w:val="8"/>
            <w:tcBorders>
              <w:bottom w:val="nil"/>
            </w:tcBorders>
            <w:shd w:val="solid" w:color="FFFFFF" w:fill="auto"/>
          </w:tcPr>
          <w:p>
            <w:pPr>
              <w:pStyle w:val="104"/>
              <w:rPr>
                <w:sz w:val="16"/>
              </w:rPr>
            </w:pPr>
            <w: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pct10" w:color="auto" w:fill="FFFFFF"/>
          </w:tcPr>
          <w:p>
            <w:pPr>
              <w:pStyle w:val="104"/>
              <w:rPr>
                <w:sz w:val="16"/>
                <w:szCs w:val="16"/>
              </w:rPr>
            </w:pPr>
            <w:r>
              <w:rPr>
                <w:sz w:val="16"/>
                <w:szCs w:val="16"/>
              </w:rPr>
              <w:t>Date</w:t>
            </w:r>
          </w:p>
        </w:tc>
        <w:tc>
          <w:tcPr>
            <w:tcW w:w="901" w:type="dxa"/>
            <w:shd w:val="pct10" w:color="auto" w:fill="FFFFFF"/>
          </w:tcPr>
          <w:p>
            <w:pPr>
              <w:pStyle w:val="104"/>
              <w:rPr>
                <w:sz w:val="16"/>
                <w:szCs w:val="16"/>
              </w:rPr>
            </w:pPr>
            <w:r>
              <w:rPr>
                <w:sz w:val="16"/>
                <w:szCs w:val="16"/>
              </w:rPr>
              <w:t>Meeting</w:t>
            </w:r>
          </w:p>
        </w:tc>
        <w:tc>
          <w:tcPr>
            <w:tcW w:w="1134" w:type="dxa"/>
            <w:shd w:val="pct10" w:color="auto" w:fill="FFFFFF"/>
          </w:tcPr>
          <w:p>
            <w:pPr>
              <w:pStyle w:val="104"/>
              <w:rPr>
                <w:sz w:val="16"/>
                <w:szCs w:val="16"/>
              </w:rPr>
            </w:pPr>
            <w:r>
              <w:rPr>
                <w:sz w:val="16"/>
                <w:szCs w:val="16"/>
              </w:rPr>
              <w:t>TDoc</w:t>
            </w:r>
          </w:p>
        </w:tc>
        <w:tc>
          <w:tcPr>
            <w:tcW w:w="567" w:type="dxa"/>
            <w:shd w:val="pct10" w:color="auto" w:fill="FFFFFF"/>
          </w:tcPr>
          <w:p>
            <w:pPr>
              <w:pStyle w:val="104"/>
              <w:rPr>
                <w:sz w:val="16"/>
                <w:szCs w:val="16"/>
              </w:rPr>
            </w:pPr>
            <w:r>
              <w:rPr>
                <w:sz w:val="16"/>
                <w:szCs w:val="16"/>
              </w:rPr>
              <w:t>CR</w:t>
            </w:r>
          </w:p>
        </w:tc>
        <w:tc>
          <w:tcPr>
            <w:tcW w:w="426" w:type="dxa"/>
            <w:shd w:val="pct10" w:color="auto" w:fill="FFFFFF"/>
          </w:tcPr>
          <w:p>
            <w:pPr>
              <w:pStyle w:val="104"/>
              <w:rPr>
                <w:sz w:val="16"/>
                <w:szCs w:val="16"/>
              </w:rPr>
            </w:pPr>
            <w:r>
              <w:rPr>
                <w:sz w:val="16"/>
                <w:szCs w:val="16"/>
              </w:rPr>
              <w:t>Rev</w:t>
            </w:r>
          </w:p>
        </w:tc>
        <w:tc>
          <w:tcPr>
            <w:tcW w:w="425" w:type="dxa"/>
            <w:shd w:val="pct10" w:color="auto" w:fill="FFFFFF"/>
          </w:tcPr>
          <w:p>
            <w:pPr>
              <w:pStyle w:val="104"/>
              <w:rPr>
                <w:sz w:val="16"/>
                <w:szCs w:val="16"/>
              </w:rPr>
            </w:pPr>
            <w:r>
              <w:rPr>
                <w:sz w:val="16"/>
                <w:szCs w:val="16"/>
              </w:rPr>
              <w:t>Cat</w:t>
            </w:r>
          </w:p>
        </w:tc>
        <w:tc>
          <w:tcPr>
            <w:tcW w:w="4678" w:type="dxa"/>
            <w:shd w:val="pct10" w:color="auto" w:fill="FFFFFF"/>
          </w:tcPr>
          <w:p>
            <w:pPr>
              <w:pStyle w:val="104"/>
              <w:rPr>
                <w:sz w:val="16"/>
                <w:szCs w:val="16"/>
              </w:rPr>
            </w:pPr>
            <w:r>
              <w:rPr>
                <w:sz w:val="16"/>
                <w:szCs w:val="16"/>
              </w:rPr>
              <w:t>Subject/Comment</w:t>
            </w:r>
          </w:p>
        </w:tc>
        <w:tc>
          <w:tcPr>
            <w:tcW w:w="708" w:type="dxa"/>
            <w:shd w:val="pct10" w:color="auto" w:fill="FFFFFF"/>
          </w:tcPr>
          <w:p>
            <w:pPr>
              <w:pStyle w:val="104"/>
              <w:rPr>
                <w:sz w:val="16"/>
                <w:szCs w:val="16"/>
              </w:rPr>
            </w:pPr>
            <w:r>
              <w:rPr>
                <w:sz w:val="16"/>
                <w:szCs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R5-230406</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eastAsia="zh-TW"/>
              </w:rPr>
            </w:pPr>
            <w:r>
              <w:rPr>
                <w:rFonts w:hint="eastAsia"/>
                <w:sz w:val="16"/>
                <w:szCs w:val="16"/>
                <w:lang w:val="en-US" w:eastAsia="zh-CN"/>
              </w:rPr>
              <w:t>TP to add Foreword and Introduction to TS 36.521-4</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R5-230407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TP to add clause 1-3 to TS 36.521-4</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R5-230408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TP to add clause 4 to TS 36.521-4</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R5-230409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TP to add clause 5 to TS 36.521-4</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w:t>
            </w:r>
            <w:r>
              <w:rPr>
                <w:sz w:val="16"/>
                <w:szCs w:val="16"/>
                <w:lang w:val="en-US" w:eastAsia="zh-TW"/>
              </w:rPr>
              <w:t>5</w:t>
            </w:r>
            <w:r>
              <w:rPr>
                <w:sz w:val="16"/>
                <w:szCs w:val="16"/>
                <w:lang w:eastAsia="zh-TW"/>
              </w:rPr>
              <w:t>-2</w:t>
            </w:r>
            <w:r>
              <w:rPr>
                <w:sz w:val="16"/>
                <w:szCs w:val="16"/>
                <w:lang w:val="en-US" w:eastAsia="zh-TW"/>
              </w:rPr>
              <w:t>3</w:t>
            </w:r>
            <w:r>
              <w:rPr>
                <w:rFonts w:hint="eastAsia" w:eastAsia="宋体"/>
                <w:sz w:val="16"/>
                <w:szCs w:val="16"/>
                <w:lang w:val="en-US" w:eastAsia="zh-CN"/>
              </w:rPr>
              <w:t>041</w:t>
            </w:r>
            <w:r>
              <w:rPr>
                <w:rFonts w:eastAsia="宋体"/>
                <w:sz w:val="16"/>
                <w:szCs w:val="16"/>
                <w:lang w:val="en-US" w:eastAsia="zh-CN"/>
              </w:rPr>
              <w:t>0</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Skeleton for TS 36.521-4 v0.1.0</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R5-231824</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New addition of RX test case of Maximum input level for category M1 with NTN</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R5-23182</w:t>
            </w:r>
            <w:r>
              <w:rPr>
                <w:sz w:val="16"/>
                <w:szCs w:val="16"/>
                <w:lang w:val="en-US" w:eastAsia="zh-TW"/>
              </w:rPr>
              <w:t>5</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New addition of RX test case of Maximum input level for category NB1 and NB2 with NTN</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R5-23182</w:t>
            </w:r>
            <w:r>
              <w:rPr>
                <w:sz w:val="16"/>
                <w:szCs w:val="16"/>
                <w:lang w:val="en-US" w:eastAsia="zh-TW"/>
              </w:rPr>
              <w:t>6</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New addition of RX test case of Adjacent Channel Selectivity for category M1 with NTN</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R5-23182</w:t>
            </w:r>
            <w:r>
              <w:rPr>
                <w:sz w:val="16"/>
                <w:szCs w:val="16"/>
                <w:lang w:val="en-US" w:eastAsia="zh-TW"/>
              </w:rPr>
              <w:t>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New addition of RX test case of Adjacent Channel Selectivity for category NB1 and NB2 with NTN</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R5-231868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Adding new test cases for 36.521-4 transmit power of category M1</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val="en-US" w:eastAsia="zh-TW"/>
              </w:rPr>
              <w:t>R5-231869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Adding new test cases for 36.521-4 transmit power of category NB1 and NB2</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"file:///D:\\工作\\项目资料\\2013-2017%20标准化会议\\2017-2019%203GPP标准化\\RAN5\\2018-2023%20RAN5会议\\%2399-2023年5月@Incheon,%20South%20Korea\\CMCC文稿-52篇\\%2336%25（+9%25）-R18%20LTE_IoT_NTN_req-UEConTest%20-%208篇\\Tdoc\\R5-232367.zip" </w:instrText>
            </w:r>
            <w:r>
              <w:fldChar w:fldCharType="separate"/>
            </w:r>
            <w:r>
              <w:rPr>
                <w:rFonts w:cs="Arial"/>
                <w:sz w:val="16"/>
                <w:szCs w:val="16"/>
                <w:lang w:val="en-US"/>
              </w:rPr>
              <w:t>R5-232367</w:t>
            </w:r>
            <w:r>
              <w:rPr>
                <w:rFonts w:cs="Arial"/>
                <w:sz w:val="16"/>
                <w:szCs w:val="16"/>
                <w:lang w:val="en-US"/>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new test case 7.6A.2 In-band blocking for category M1</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"file:///D:\\工作\\项目资料\\2013-2017%20标准化会议\\2017-2019%203GPP标准化\\RAN5\\2018-2023%20RAN5会议\\%2399-2023年5月@Incheon,%20South%20Korea\\CMCC文稿-52篇\\%2336%25（+9%25）-R18%20LTE_IoT_NTN_req-UEConTest%20-%208篇\\Tdoc\\R5-232368.zip" </w:instrText>
            </w:r>
            <w:r>
              <w:fldChar w:fldCharType="separate"/>
            </w:r>
            <w:r>
              <w:rPr>
                <w:rFonts w:cs="Arial"/>
                <w:sz w:val="16"/>
                <w:szCs w:val="16"/>
                <w:lang w:val="en-US"/>
              </w:rPr>
              <w:t>R5-232368</w:t>
            </w:r>
            <w:r>
              <w:rPr>
                <w:rFonts w:cs="Arial"/>
                <w:sz w:val="16"/>
                <w:szCs w:val="16"/>
                <w:lang w:val="en-US"/>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new test case 7.6B.2 In-band blocking for category NB1 and NB2</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"file:///D:\\工作\\项目资料\\2013-2017%20标准化会议\\2017-2019%203GPP标准化\\RAN5\\2018-2023%20RAN5会议\\%2399-2023年5月@Incheon,%20South%20Korea\\CMCC文稿-52篇\\%2336%25（+9%25）-R18%20LTE_IoT_NTN_req-UEConTest%20-%208篇\\Tdoc\\R5-232369.zip" </w:instrText>
            </w:r>
            <w:r>
              <w:fldChar w:fldCharType="separate"/>
            </w:r>
            <w:r>
              <w:rPr>
                <w:rFonts w:cs="Arial"/>
                <w:sz w:val="16"/>
                <w:szCs w:val="16"/>
                <w:lang w:val="en-US"/>
              </w:rPr>
              <w:t>R5-232369</w:t>
            </w:r>
            <w:r>
              <w:rPr>
                <w:rFonts w:cs="Arial"/>
                <w:sz w:val="16"/>
                <w:szCs w:val="16"/>
                <w:lang w:val="en-US"/>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new test case 7.9A Spurious emissions for category M1</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"file:///D:\\工作\\项目资料\\2013-2017%20标准化会议\\2017-2019%203GPP标准化\\RAN5\\2018-2023%20RAN5会议\\%2399-2023年5月@Incheon,%20South%20Korea\\CMCC文稿-52篇\\%2336%25（+9%25）-R18%20LTE_IoT_NTN_req-UEConTest%20-%208篇\\Tdoc\\R5-232370.zip" </w:instrText>
            </w:r>
            <w:r>
              <w:fldChar w:fldCharType="separate"/>
            </w:r>
            <w:r>
              <w:rPr>
                <w:rFonts w:cs="Arial"/>
                <w:sz w:val="16"/>
                <w:szCs w:val="16"/>
                <w:lang w:val="en-US"/>
              </w:rPr>
              <w:t>R5-232370</w:t>
            </w:r>
            <w:r>
              <w:rPr>
                <w:rFonts w:cs="Arial"/>
                <w:sz w:val="16"/>
                <w:szCs w:val="16"/>
                <w:lang w:val="en-US"/>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Correction of title of TS 36.521-1 in clause 2 References</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"file:///D:\\工作\\项目资料\\2013-2017%20标准化会议\\2017-2019%203GPP标准化\\RAN5\\2018-2023%20RAN5会议\\%2399-2023年5月@Incheon,%20South%20Korea\\CMCC文稿-52篇\\%2336%25（+9%25）-R18%20LTE_IoT_NTN_req-UEConTest%20-%208篇\\Tdoc\\R5-232382.zip" </w:instrText>
            </w:r>
            <w:r>
              <w:fldChar w:fldCharType="separate"/>
            </w:r>
            <w:r>
              <w:rPr>
                <w:rFonts w:cs="Arial"/>
                <w:sz w:val="16"/>
                <w:szCs w:val="16"/>
                <w:lang w:val="en-US" w:eastAsia="zh-CN"/>
              </w:rPr>
              <w:t>R5-232382</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new test case 7.9B Spurious emissions for category NB1 and NB2</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"file:///D:\\工作\\项目资料\\2013-2017%20标准化会议\\2017-2019%203GPP标准化\\RAN5\\2018-2023%20RAN5会议\\%2399-2023年5月@Incheon,%20South%20Korea\\CMCC文稿-52篇\\%2336%25（+9%25）-R18%20LTE_IoT_NTN_req-UEConTest%20-%208篇\\Tdoc\\R5-232521.zip" </w:instrText>
            </w:r>
            <w:r>
              <w:fldChar w:fldCharType="separate"/>
            </w:r>
            <w:r>
              <w:rPr>
                <w:rFonts w:cs="Arial"/>
                <w:sz w:val="16"/>
                <w:szCs w:val="16"/>
                <w:lang w:val="en-US" w:eastAsia="zh-CN"/>
              </w:rPr>
              <w:t>R5-232521</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Editorial correction for some type error in 6.2A</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"file:///D:\\工作\\项目资料\\2013-2017%20标准化会议\\2017-2019%203GPP标准化\\RAN5\\2018-2023%20RAN5会议\\%2399-2023年5月@Incheon,%20South%20Korea\\CMCC文稿-52篇\\%2336%25（+9%25）-R18%20LTE_IoT_NTN_req-UEConTest%20-%208篇\\Tdoc\\R5-232522.zip" </w:instrText>
            </w:r>
            <w:r>
              <w:fldChar w:fldCharType="separate"/>
            </w:r>
            <w:r>
              <w:rPr>
                <w:rFonts w:cs="Arial"/>
                <w:sz w:val="16"/>
                <w:szCs w:val="16"/>
                <w:lang w:val="en-US" w:eastAsia="zh-CN"/>
              </w:rPr>
              <w:t>R5-232522</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6.2B.3 for UE A-MPR for category NB1 and NB2 UE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"file:///D:\\工作\\项目资料\\2013-2017%20标准化会议\\2017-2019%203GPP标准化\\RAN5\\2018-2023%20RAN5会议\\%2399-2023年5月@Incheon,%20South%20Korea\\CMCC文稿-52篇\\%2336%25（+9%25）-R18%20LTE_IoT_NTN_req-UEConTest%20-%208篇\\Tdoc\\R5-232523.zip" </w:instrText>
            </w:r>
            <w:r>
              <w:fldChar w:fldCharType="separate"/>
            </w:r>
            <w:r>
              <w:rPr>
                <w:rFonts w:cs="Arial"/>
                <w:sz w:val="16"/>
                <w:szCs w:val="16"/>
                <w:lang w:val="en-US" w:eastAsia="zh-CN"/>
              </w:rPr>
              <w:t>R5-232523</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 xml:space="preserve">Adding test case 6.3A.1 for UE Minimum output power for category M1 </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"file:///D:\\工作\\项目资料\\2013-2017%20标准化会议\\2017-2019%203GPP标准化\\RAN5\\2018-2023%20RAN5会议\\%2399-2023年5月@Incheon,%20South%20Korea\\CMCC文稿-52篇\\%2336%25（+9%25）-R18%20LTE_IoT_NTN_req-UEConTest%20-%208篇\\Tdoc\\R5-232524.zip" </w:instrText>
            </w:r>
            <w:r>
              <w:fldChar w:fldCharType="separate"/>
            </w:r>
            <w:r>
              <w:rPr>
                <w:rFonts w:cs="Arial"/>
                <w:sz w:val="16"/>
                <w:szCs w:val="16"/>
                <w:lang w:val="en-US" w:eastAsia="zh-CN"/>
              </w:rPr>
              <w:t>R5-232524</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6.3A.2 for Transmit OFF power for category M1</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"file:///D:\\工作\\项目资料\\2013-2017%20标准化会议\\2017-2019%203GPP标准化\\RAN5\\2018-2023%20RAN5会议\\%2399-2023年5月@Incheon,%20South%20Korea\\CMCC文稿-52篇\\%2336%25（+9%25）-R18%20LTE_IoT_NTN_req-UEConTest%20-%208篇\\Tdoc\\R5-232525.zip" </w:instrText>
            </w:r>
            <w:r>
              <w:fldChar w:fldCharType="separate"/>
            </w:r>
            <w:r>
              <w:rPr>
                <w:rFonts w:cs="Arial"/>
                <w:sz w:val="16"/>
                <w:szCs w:val="16"/>
                <w:lang w:val="en-US" w:eastAsia="zh-CN"/>
              </w:rPr>
              <w:t>R5-232525</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 xml:space="preserve">Adding test case 6.3A.3.1 for General ON/OFF time mask </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"file:///D:\\工作\\项目资料\\2013-2017%20标准化会议\\2017-2019%203GPP标准化\\RAN5\\2018-2023%20RAN5会议\\%2399-2023年5月@Incheon,%20South%20Korea\\CMCC文稿-52篇\\%2336%25（+9%25）-R18%20LTE_IoT_NTN_req-UEConTest%20-%208篇\\Tdoc\\R5-232526.zip" </w:instrText>
            </w:r>
            <w:r>
              <w:fldChar w:fldCharType="separate"/>
            </w:r>
            <w:r>
              <w:rPr>
                <w:rFonts w:cs="Arial"/>
                <w:sz w:val="16"/>
                <w:szCs w:val="16"/>
                <w:lang w:val="en-US" w:eastAsia="zh-CN"/>
              </w:rPr>
              <w:t>R5-232526</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 xml:space="preserve">Adding test case 6.3A.3.2.1 for PRACH time mask </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"file:///D:\\工作\\项目资料\\2013-2017%20标准化会议\\2017-2019%203GPP标准化\\RAN5\\2018-2023%20RAN5会议\\%2399-2023年5月@Incheon,%20South%20Korea\\CMCC文稿-52篇\\%2336%25（+9%25）-R18%20LTE_IoT_NTN_req-UEConTest%20-%208篇\\Tdoc\\R5-232527.zip" </w:instrText>
            </w:r>
            <w:r>
              <w:fldChar w:fldCharType="separate"/>
            </w:r>
            <w:r>
              <w:rPr>
                <w:rFonts w:cs="Arial"/>
                <w:sz w:val="16"/>
                <w:szCs w:val="16"/>
                <w:lang w:val="en-US" w:eastAsia="zh-CN"/>
              </w:rPr>
              <w:t>R5-232527</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6.3A.3.2.2 for SRS time mask</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"file:///D:\\工作\\项目资料\\2013-2017%20标准化会议\\2017-2019%203GPP标准化\\RAN5\\2018-2023%20RAN5会议\\%2399-2023年5月@Incheon,%20South%20Korea\\CMCC文稿-52篇\\%2336%25（+9%25）-R18%20LTE_IoT_NTN_req-UEConTest%20-%208篇\\Tdoc\\R5-232549.zip" </w:instrText>
            </w:r>
            <w:r>
              <w:fldChar w:fldCharType="separate"/>
            </w:r>
            <w:r>
              <w:rPr>
                <w:rFonts w:cs="Arial"/>
                <w:sz w:val="16"/>
                <w:szCs w:val="16"/>
                <w:lang w:val="en-US" w:eastAsia="zh-CN"/>
              </w:rPr>
              <w:t>R5-232549</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6.3A.4.1 for Power Control Absolute power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"file:///D:\\工作\\项目资料\\2013-2017%20标准化会议\\2017-2019%203GPP标准化\\RAN5\\2018-2023%20RAN5会议\\%2399-2023年5月@Incheon,%20South%20Korea\\CMCC文稿-52篇\\%2336%25（+9%25）-R18%20LTE_IoT_NTN_req-UEConTest%20-%208篇\\Tdoc\\R5-232550.zip" </w:instrText>
            </w:r>
            <w:r>
              <w:fldChar w:fldCharType="separate"/>
            </w:r>
            <w:r>
              <w:rPr>
                <w:rFonts w:cs="Arial"/>
                <w:sz w:val="16"/>
                <w:szCs w:val="16"/>
                <w:lang w:val="en-US" w:eastAsia="zh-CN"/>
              </w:rPr>
              <w:t>R5-232550</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6.3A.4.2 Power Control Relative power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"file:///D:\\工作\\项目资料\\2013-2017%20标准化会议\\2017-2019%203GPP标准化\\RAN5\\2018-2023%20RAN5会议\\%2399-2023年5月@Incheon,%20South%20Korea\\CMCC文稿-52篇\\%2336%25（+9%25）-R18%20LTE_IoT_NTN_req-UEConTest%20-%208篇\\Tdoc\\R5-232551.zip" </w:instrText>
            </w:r>
            <w:r>
              <w:fldChar w:fldCharType="separate"/>
            </w:r>
            <w:r>
              <w:rPr>
                <w:rFonts w:cs="Arial"/>
                <w:sz w:val="16"/>
                <w:szCs w:val="16"/>
                <w:lang w:val="en-US" w:eastAsia="zh-CN"/>
              </w:rPr>
              <w:t>R5-232551</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6.3A.4.3 for Aggregate power control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"file:///D:\\工作\\项目资料\\2013-2017%20标准化会议\\2017-2019%203GPP标准化\\RAN5\\2018-2023%20RAN5会议\\%2399-2023年5月@Incheon,%20South%20Korea\\CMCC文稿-52篇\\%2336%25（+9%25）-R18%20LTE_IoT_NTN_req-UEConTest%20-%208篇\\Tdoc\\R5-232552.zip" </w:instrText>
            </w:r>
            <w:r>
              <w:fldChar w:fldCharType="separate"/>
            </w:r>
            <w:r>
              <w:rPr>
                <w:rFonts w:cs="Arial"/>
                <w:sz w:val="16"/>
                <w:szCs w:val="16"/>
                <w:lang w:val="en-US" w:eastAsia="zh-CN"/>
              </w:rPr>
              <w:t>R5-232552</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6.3B.1 for UE Minimum output power</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"file:///D:\\工作\\项目资料\\2013-2017%20标准化会议\\2017-2019%203GPP标准化\\RAN5\\2018-2023%20RAN5会议\\%2399-2023年5月@Incheon,%20South%20Korea\\CMCC文稿-52篇\\%2336%25（+9%25）-R18%20LTE_IoT_NTN_req-UEConTest%20-%208篇\\Tdoc\\R5-232553.zip" </w:instrText>
            </w:r>
            <w:r>
              <w:fldChar w:fldCharType="separate"/>
            </w:r>
            <w:r>
              <w:rPr>
                <w:rFonts w:cs="Arial"/>
                <w:sz w:val="16"/>
                <w:szCs w:val="16"/>
                <w:lang w:val="en-US" w:eastAsia="zh-CN"/>
              </w:rPr>
              <w:t>R5-232553</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6.3B.2  for Transmit OFF power</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"file:///D:\\工作\\项目资料\\2013-2017%20标准化会议\\2017-2019%203GPP标准化\\RAN5\\2018-2023%20RAN5会议\\%2399-2023年5月@Incheon,%20South%20Korea\\CMCC文稿-52篇\\%2336%25（+9%25）-R18%20LTE_IoT_NTN_req-UEConTest%20-%208篇\\Tdoc\\R5-232554.zip" </w:instrText>
            </w:r>
            <w:r>
              <w:fldChar w:fldCharType="separate"/>
            </w:r>
            <w:r>
              <w:rPr>
                <w:rFonts w:cs="Arial"/>
                <w:sz w:val="16"/>
                <w:szCs w:val="16"/>
                <w:lang w:val="en-US" w:eastAsia="zh-CN"/>
              </w:rPr>
              <w:t>R5-232554</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6.3B.3.1 General ON/OFF time mask</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"file:///D:\\工作\\项目资料\\2013-2017%20标准化会议\\2017-2019%203GPP标准化\\RAN5\\2018-2023%20RAN5会议\\%2399-2023年5月@Incheon,%20South%20Korea\\CMCC文稿-52篇\\%2336%25（+9%25）-R18%20LTE_IoT_NTN_req-UEConTest%20-%208篇\\Tdoc\\R5-232555.zip" </w:instrText>
            </w:r>
            <w:r>
              <w:fldChar w:fldCharType="separate"/>
            </w:r>
            <w:r>
              <w:rPr>
                <w:rFonts w:cs="Arial"/>
                <w:sz w:val="16"/>
                <w:szCs w:val="16"/>
                <w:lang w:val="en-US" w:eastAsia="zh-CN"/>
              </w:rPr>
              <w:t>R5-232555</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6.3B.3.2 NPRACH time mask</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"file:///D:\\工作\\项目资料\\2013-2017%20标准化会议\\2017-2019%203GPP标准化\\RAN5\\2018-2023%20RAN5会议\\%2399-2023年5月@Incheon,%20South%20Korea\\CMCC文稿-52篇\\%2336%25（+9%25）-R18%20LTE_IoT_NTN_req-UEConTest%20-%208篇\\Tdoc\\R5-232556.zip" </w:instrText>
            </w:r>
            <w:r>
              <w:fldChar w:fldCharType="separate"/>
            </w:r>
            <w:r>
              <w:rPr>
                <w:rFonts w:cs="Arial"/>
                <w:sz w:val="16"/>
                <w:szCs w:val="16"/>
                <w:lang w:val="en-US" w:eastAsia="zh-CN"/>
              </w:rPr>
              <w:t>R5-232556</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6.3B.4.1 Power Control Absolute power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"file:///D:\\工作\\项目资料\\2013-2017%20标准化会议\\2017-2019%203GPP标准化\\RAN5\\2018-2023%20RAN5会议\\%2399-2023年5月@Incheon,%20South%20Korea\\CMCC文稿-52篇\\%2336%25（+9%25）-R18%20LTE_IoT_NTN_req-UEConTest%20-%208篇\\Tdoc\\R5-232557.zip" </w:instrText>
            </w:r>
            <w:r>
              <w:fldChar w:fldCharType="separate"/>
            </w:r>
            <w:r>
              <w:rPr>
                <w:rFonts w:cs="Arial"/>
                <w:sz w:val="16"/>
                <w:szCs w:val="16"/>
                <w:lang w:val="en-US" w:eastAsia="zh-CN"/>
              </w:rPr>
              <w:t>R5-232557</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6.3B.4.2 Power Control Relative power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"file:///D:\\工作\\项目资料\\2013-2017%20标准化会议\\2017-2019%203GPP标准化\\RAN5\\2018-2023%20RAN5会议\\%2399-2023年5月@Incheon,%20South%20Korea\\CMCC文稿-52篇\\%2336%25（+9%25）-R18%20LTE_IoT_NTN_req-UEConTest%20-%208篇\\Tdoc\\R5-232558.zip" </w:instrText>
            </w:r>
            <w:r>
              <w:fldChar w:fldCharType="separate"/>
            </w:r>
            <w:r>
              <w:rPr>
                <w:rFonts w:cs="Arial"/>
                <w:sz w:val="16"/>
                <w:szCs w:val="16"/>
                <w:lang w:val="en-US" w:eastAsia="zh-CN"/>
              </w:rPr>
              <w:t>R5-232558</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6.3B.4.3 Aggregate power control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"file:///D:\\工作\\项目资料\\2013-2017%20标准化会议\\2017-2019%203GPP标准化\\RAN5\\2018-2023%20RAN5会议\\%2399-2023年5月@Incheon,%20South%20Korea\\CMCC文稿-52篇\\%2336%25（+9%25）-R18%20LTE_IoT_NTN_req-UEConTest%20-%208篇\\Tdoc\\R5-232815.zip" </w:instrText>
            </w:r>
            <w:r>
              <w:fldChar w:fldCharType="separate"/>
            </w:r>
            <w:r>
              <w:rPr>
                <w:rFonts w:cs="Arial"/>
                <w:sz w:val="16"/>
                <w:szCs w:val="16"/>
                <w:lang w:val="en-US" w:eastAsia="zh-CN"/>
              </w:rPr>
              <w:t>R5-232815</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eMTC/NB-IoT NTN Output RF spectrum emissions TC 6.5</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"file:///D:\\工作\\项目资料\\2013-2017%20标准化会议\\2017-2019%203GPP标准化\\RAN5\\2018-2023%20RAN5会议\\%2399-2023年5月@Incheon,%20South%20Korea\\CMCC文稿-52篇\\%2336%25（+9%25）-R18%20LTE_IoT_NTN_req-UEConTest%20-%208篇\\Tdoc\\R5-233574.zip" </w:instrText>
            </w:r>
            <w:r>
              <w:fldChar w:fldCharType="separate"/>
            </w:r>
            <w:r>
              <w:rPr>
                <w:rFonts w:cs="Arial"/>
                <w:sz w:val="16"/>
                <w:szCs w:val="16"/>
                <w:lang w:val="en-US" w:eastAsia="zh-CN"/>
              </w:rPr>
              <w:t>R5-233574</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eMTC NTN Output RF spectrum emissions TC 6.5A</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"file:///D:\\工作\\项目资料\\2013-2017%20标准化会议\\2017-2019%203GPP标准化\\RAN5\\2018-2023%20RAN5会议\\%2399-2023年5月@Incheon,%20South%20Korea\\CMCC文稿-52篇\\%2336%25（+9%25）-R18%20LTE_IoT_NTN_req-UEConTest%20-%208篇\\Tdoc\\R5-232817.zip" </w:instrText>
            </w:r>
            <w:r>
              <w:fldChar w:fldCharType="separate"/>
            </w:r>
            <w:r>
              <w:rPr>
                <w:rFonts w:cs="Arial"/>
                <w:sz w:val="16"/>
                <w:szCs w:val="16"/>
                <w:lang w:val="en-US" w:eastAsia="zh-CN"/>
              </w:rPr>
              <w:t>R5-232817</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NB-IoT NTN Output RF spectrum emissions TC 6.5B</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"file:///D:\\工作\\项目资料\\2013-2017%20标准化会议\\2017-2019%203GPP标准化\\RAN5\\2018-2023%20RAN5会议\\%2399-2023年5月@Incheon,%20South%20Korea\\CMCC文稿-52篇\\%2336%25（+9%25）-R18%20LTE_IoT_NTN_req-UEConTest%20-%208篇\\Tdoc\\R5-233575.zip" </w:instrText>
            </w:r>
            <w:r>
              <w:fldChar w:fldCharType="separate"/>
            </w:r>
            <w:r>
              <w:rPr>
                <w:rFonts w:cs="Arial"/>
                <w:sz w:val="16"/>
                <w:szCs w:val="16"/>
                <w:lang w:val="en-US" w:eastAsia="zh-CN"/>
              </w:rPr>
              <w:t>R5-233575</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Update of editor notes for IoT NTN TCs</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val="en-US"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val="en-US" w:eastAsia="zh-TW"/>
              </w:rPr>
            </w:pPr>
            <w:r>
              <w:rPr>
                <w:rFonts w:hint="eastAsia"/>
              </w:rPr>
              <w:fldChar w:fldCharType="begin"/>
            </w:r>
            <w:r>
              <w:instrText xml:space="preserve"> HYPERLINK "file:///D:\\工作\\项目资料\\2013-2017%20标准化会议\\2017-2019%203GPP标准化\\RAN5\\2018-2023%20RAN5会议\\%2399-2023年5月@Incheon,%20South%20Korea\\CMCC文稿-52篇\\%2336%25（+9%25）-R18%20LTE_IoT_NTN_req-UEConTest%20-%208篇\\Tdoc\\R5-233575.zip" </w:instrText>
            </w:r>
            <w:r>
              <w:rPr>
                <w:rFonts w:hint="eastAsia"/>
              </w:rPr>
              <w:fldChar w:fldCharType="separate"/>
            </w:r>
            <w:r>
              <w:rPr>
                <w:rFonts w:hint="eastAsia"/>
                <w:sz w:val="16"/>
                <w:szCs w:val="16"/>
                <w:lang w:val="en-US" w:eastAsia="zh-TW"/>
              </w:rPr>
              <w:t>R5-23</w:t>
            </w:r>
            <w:r>
              <w:rPr>
                <w:rFonts w:hint="eastAsia"/>
                <w:sz w:val="16"/>
                <w:szCs w:val="16"/>
                <w:lang w:val="en-US" w:eastAsia="zh-TW"/>
              </w:rPr>
              <w:fldChar w:fldCharType="end"/>
            </w:r>
            <w:r>
              <w:rPr>
                <w:rFonts w:hint="eastAsia"/>
                <w:sz w:val="16"/>
                <w:szCs w:val="16"/>
                <w:lang w:val="en-US" w:eastAsia="zh-TW"/>
              </w:rPr>
              <w:t>3923</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clause 8.1 general description for NTN test</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R5-233924</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new test case 8.2.1.1.1 eMTC PDSCH test</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R5-233925</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new test case 8.3.1.1.1 NB-IoT NPDSCH test under NTN fading condition</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R5-233926</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new test case 8.3.1.1.2 NB-IoT NPDSCH test</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R5-233927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new test case 8.3.1.1.3 NB-IoT NPDSCH test for NB2 only</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R5-235757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new test case 8.3.1.2.1 NB-IoT NPDCCH test</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R5-234189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NTN NB-IoT REFSENS test case definition</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R5-234231</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Correction of A-MPR NS value in 6.2A.3</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R5-234232</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Correction of A-MPR NS value in 6.2B.3</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R5-234233</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6.4A.2.1 Error Vector Magnitude (EVM)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val="en-US" w:eastAsia="zh-TW"/>
              </w:rPr>
            </w:pPr>
            <w:r>
              <w:rPr>
                <w:rFonts w:hint="eastAsia"/>
                <w:sz w:val="16"/>
                <w:szCs w:val="16"/>
                <w:lang w:eastAsia="zh-TW"/>
              </w:rPr>
              <w:t>R5-23423</w:t>
            </w:r>
            <w:r>
              <w:rPr>
                <w:rFonts w:hint="eastAsia"/>
                <w:sz w:val="16"/>
                <w:szCs w:val="16"/>
                <w:lang w:val="en-US" w:eastAsia="zh-TW"/>
              </w:rPr>
              <w:t>4</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6.4A.2.2 Carrier leakage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R5-234237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6.4A.2.3 In-band emissions for non allocated RB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R5-234238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6.4A.2.4 EVM equalizer spectrum flatness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R5-234239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6.4B.2.1 Error Vector Magnitude (EVM)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R5-234245</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6.4B.2.2 Carrier leakage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R5-234246</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6.4B.2.3 In-band emissions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R5-23424</w:t>
            </w:r>
            <w:r>
              <w:rPr>
                <w:rFonts w:hint="eastAsia"/>
                <w:sz w:val="16"/>
                <w:szCs w:val="16"/>
                <w:lang w:val="en-US" w:eastAsia="zh-TW"/>
              </w:rPr>
              <w:t>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6.5A.2 Occupied bandwidth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R5-23424</w:t>
            </w:r>
            <w:r>
              <w:rPr>
                <w:rFonts w:hint="eastAsia"/>
                <w:sz w:val="16"/>
                <w:szCs w:val="16"/>
                <w:lang w:val="en-US" w:eastAsia="zh-TW"/>
              </w:rPr>
              <w:t>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6.5A.3.2 Spectrum emission mask</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R5-23424</w:t>
            </w:r>
            <w:r>
              <w:rPr>
                <w:rFonts w:hint="eastAsia"/>
                <w:sz w:val="16"/>
                <w:szCs w:val="16"/>
                <w:lang w:val="en-US" w:eastAsia="zh-TW"/>
              </w:rPr>
              <w:t>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6.5A.3.4 Adjacent Channel Leakage Ratio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R5-234250</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6.5A.4.2 Transmitter Spurious emissions</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R5-23425</w:t>
            </w:r>
            <w:r>
              <w:rPr>
                <w:rFonts w:hint="eastAsia"/>
                <w:sz w:val="16"/>
                <w:szCs w:val="16"/>
                <w:lang w:val="en-US" w:eastAsia="zh-TW"/>
              </w:rPr>
              <w:t>1</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6.5A.4.3 Spurious emission band UE co-existence</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R5-23425</w:t>
            </w:r>
            <w:r>
              <w:rPr>
                <w:rFonts w:hint="eastAsia"/>
                <w:sz w:val="16"/>
                <w:szCs w:val="16"/>
                <w:lang w:val="en-US" w:eastAsia="zh-TW"/>
              </w:rPr>
              <w:t>2</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6.5A.4.4 Additional spurious emissions</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R5-23425</w:t>
            </w:r>
            <w:r>
              <w:rPr>
                <w:rFonts w:hint="eastAsia"/>
                <w:sz w:val="16"/>
                <w:szCs w:val="16"/>
                <w:lang w:val="en-US" w:eastAsia="zh-TW"/>
              </w:rPr>
              <w:t>3</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6.5B.2 Occupied bandwidth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R5-234258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6.5B.3.2 Spectrum emission mask</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R5-23425</w:t>
            </w:r>
            <w:r>
              <w:rPr>
                <w:rFonts w:hint="eastAsia"/>
                <w:sz w:val="16"/>
                <w:szCs w:val="16"/>
                <w:lang w:val="en-US" w:eastAsia="zh-TW"/>
              </w:rPr>
              <w:t>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6.5B.3.4 Adjacent Channel Leakage Ratio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R5-234260</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6.5B.4.2 Transmitter Spurious emissions</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R5-23426</w:t>
            </w:r>
            <w:r>
              <w:rPr>
                <w:rFonts w:hint="eastAsia"/>
                <w:sz w:val="16"/>
                <w:szCs w:val="16"/>
                <w:lang w:val="en-US" w:eastAsia="zh-TW"/>
              </w:rPr>
              <w:t>1</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6.5B.4.3 Spurious emission band UE co-existence</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R5-23426</w:t>
            </w:r>
            <w:r>
              <w:rPr>
                <w:rFonts w:hint="eastAsia"/>
                <w:sz w:val="16"/>
                <w:szCs w:val="16"/>
                <w:lang w:val="en-US" w:eastAsia="zh-TW"/>
              </w:rPr>
              <w:t>2</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6.5B.4.4 Additional spurious emissions</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R5-23426</w:t>
            </w:r>
            <w:r>
              <w:rPr>
                <w:rFonts w:hint="eastAsia"/>
                <w:sz w:val="16"/>
                <w:szCs w:val="16"/>
                <w:lang w:val="en-US" w:eastAsia="zh-TW"/>
              </w:rPr>
              <w:t>3</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6.6B  Transmit intermodulation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R5-234758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Correction of TC 6.3A.4.3 Aggregate power control tolerance for UE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R5-235761</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Editorial changes in References of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R5-23576</w:t>
            </w:r>
            <w:r>
              <w:rPr>
                <w:rFonts w:hint="eastAsia"/>
                <w:sz w:val="16"/>
                <w:szCs w:val="16"/>
                <w:lang w:val="en-US" w:eastAsia="zh-TW"/>
              </w:rPr>
              <w:t>2</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Annex A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R5-234761</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Revise Annex B into Annex L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R5-235774</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Annex B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R5-23577</w:t>
            </w:r>
            <w:r>
              <w:rPr>
                <w:rFonts w:hint="eastAsia"/>
                <w:sz w:val="16"/>
                <w:szCs w:val="16"/>
                <w:lang w:val="en-US" w:eastAsia="zh-TW"/>
              </w:rPr>
              <w:t>5</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Annex C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R5-23577</w:t>
            </w:r>
            <w:r>
              <w:rPr>
                <w:rFonts w:hint="eastAsia"/>
                <w:sz w:val="16"/>
                <w:szCs w:val="16"/>
                <w:lang w:val="en-US" w:eastAsia="zh-TW"/>
              </w:rPr>
              <w:t>6</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Annex D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R5-235942</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Annex E and Annex F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R5-235777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Annex G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R5-23577</w:t>
            </w:r>
            <w:r>
              <w:rPr>
                <w:rFonts w:hint="eastAsia"/>
                <w:sz w:val="16"/>
                <w:szCs w:val="16"/>
                <w:lang w:val="en-US" w:eastAsia="zh-TW"/>
              </w:rPr>
              <w:t>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Annex H and Annex I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R5-23577</w:t>
            </w:r>
            <w:r>
              <w:rPr>
                <w:rFonts w:hint="eastAsia"/>
                <w:sz w:val="16"/>
                <w:szCs w:val="16"/>
                <w:lang w:val="en-US" w:eastAsia="zh-TW"/>
              </w:rPr>
              <w:t>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Annex J and Annex K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val="en-US" w:eastAsia="zh-CN"/>
              </w:rPr>
            </w:pPr>
            <w:r>
              <w:rPr>
                <w:rFonts w:hint="eastAsia"/>
                <w:sz w:val="16"/>
                <w:szCs w:val="16"/>
                <w:lang w:eastAsia="zh-TW"/>
              </w:rPr>
              <w:t>R5-235</w:t>
            </w:r>
            <w:r>
              <w:rPr>
                <w:rFonts w:hint="eastAsia" w:eastAsia="宋体"/>
                <w:sz w:val="16"/>
                <w:szCs w:val="16"/>
                <w:lang w:val="en-US" w:eastAsia="zh-CN"/>
              </w:rPr>
              <w:t>455</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Clarifications to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R5-235943</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Initial conditions update for multiple test cases</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R5-23594</w:t>
            </w:r>
            <w:r>
              <w:rPr>
                <w:rFonts w:hint="eastAsia"/>
                <w:sz w:val="16"/>
                <w:szCs w:val="16"/>
                <w:lang w:val="en-US" w:eastAsia="zh-TW"/>
              </w:rPr>
              <w:t>4</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Editor's note clean-up</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rFonts w:eastAsia="宋体"/>
                <w:sz w:val="16"/>
                <w:szCs w:val="16"/>
                <w:lang w:val="en-US" w:eastAsia="zh-CN"/>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rFonts w:eastAsia="宋体"/>
                <w:sz w:val="16"/>
                <w:szCs w:val="16"/>
                <w:lang w:val="en-US" w:eastAsia="zh-CN"/>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"../../../AppData/Local/Temp/Rar$DIa7852.5955/Tdoc/R5-237675.zip"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R5-237675</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 xml:space="preserve">Correction of performance applicability of requirements in 36.521-4 </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"../../../AppData/Local/Temp/Rar$DIa7852.5955/Tdoc/R5-237676.zip"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R5-237676</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Deletion of several editors notes for IoT NTN Demodulation test cases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"../../../AppData/Local/Temp/Rar$DIa7852.5955/Tdoc/R5-237878.zip"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R5-237878</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Initial condition update for IoT NTN Demod cases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"../../../AppData/Local/Temp/Rar$DIa7852.5955/Tdoc/R5-237870.zip"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R5-237870</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Adding test case 6.4A.1 Frequency Error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"../../../AppData/Local/Temp/Rar$DIa7852.5955/Tdoc/R5-237871.zip"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R5-237871</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Adding test case 6.4B.1 Frequency Error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"../../../AppData/Local/Temp/Rar$DIa7852.5955/Tdoc/R5-237686.zip"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R5-237686</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Adding test case 7.3A Reference sensitivity power level for UE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"../../../AppData/Local/Temp/Rar$DIa7852.5955/Tdoc/R5-237856.zip"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R5-237856</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Initial conditions update for multiple TX test cases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"../../../AppData/Local/Temp/Rar$DIa7852.5955/Tdoc/R5-237857.zip"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R5-237857</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Initial conditions update for multiple RX test cases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"../../../AppData/Local/Temp/Rar$DIa7852.5955/Tdoc/R5-237680.zip"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R5-237680</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Addition of test configuration and error correction for 7.6A.2 In-band blocking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"../../../AppData/Local/Temp/Rar$DIa7852.5955/Tdoc/R5-237691.zip"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R5-237691</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Introduction of new test case 7.6A.3 Out-of-band blocking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"../../../AppData/Local/Temp/Rar$DIa7852.5955/Tdoc/R5-237692.zip"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R5-237692</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Introduction of new test case 7.6A.4 Narrow band blocking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"../../../AppData/Local/Temp/Rar$DIa7852.5955/Tdoc/R5-237681.zip"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R5-237681</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Confirmation of test configuration and error correction for 7.6B.2 In-band blocking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"../../../AppData/Local/Temp/Rar$DIa7852.5955/Tdoc/R5-237693.zip"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R5-237693</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Introduction of new test case 7.6B.3 Out-of-band blocking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"../../../AppData/Local/Temp/Rar$DIa7852.5955/Tdoc/R5-236131.zip"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R5-236131</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Removal of 7.6B.4 Narrow band blocking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"../../../AppData/Local/Temp/Rar$DIa7852.5955/Tdoc/R5-237682.zip"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R5-237682</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Introduction of new test case 7.7A Spurious response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"../../../AppData/Local/Temp/Rar$DIa7852.5955/Tdoc/R5-237683.zip"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R5-237683</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Introduction of new test case 7.7B Spurious response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"../../../AppData/Local/Temp/Rar$DIa7852.5955/Tdoc/R5-237694.zip"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R5-237694</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Introduction of new test case 7.8A Intermodulation characteristics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"../../../AppData/Local/Temp/Rar$DIa7852.5955/Tdoc/R5-237695.zip"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R5-237695</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Introduction of new test case 7.8B Intermodulation characteristics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"../../../AppData/Local/Temp/Rar$DIa7852.5955/Tdoc/R5-237684.zip"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R5-237684</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Update of test configuration for 7.9A Spurious emissions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"../../../AppData/Local/Temp/Rar$DIa7852.5955/Tdoc/R5-237685.zip"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R5-237685</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Update of test configuration for 7.9B Spurious emissions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"../../../AppData/Local/Temp/Rar$DIa7852.5955/Tdoc/R5-236138.zip"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R5-236138</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Introduction of measurement uncertainties and test tolerances for test cases from 7.6 to 7.9</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"../../../AppData/Local/Temp/Rar$DIa7852.5955/Tdoc/R5-236154.zip"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R5-236154</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Addition of downlink physical channels for connection set-up for Cat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"../../../AppData/Local/Temp/Rar$DIa7852.5955/Tdoc/R5-236278.zip"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R5-236278</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 xml:space="preserve">Editor's Note removing for IoT NTN TX test cases </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"../../../AppData/Local/Temp/Rar$DIa7852.5955/Tdoc/R5-237687.zip"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R5-237687</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Update of NTN NB-IoT Maximum input level &amp; ACS test cases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"../../../AppData/Local/Temp/Rar$DIa7852.5955/Tdoc/R5-236634.zip"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R5-236634</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 xml:space="preserve">Correction of Clause 6.2B for IoT NTN </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"../../../AppData/Local/Temp/Rar$DIa7852.5955/Tdoc/R5-237879.zip"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R5-237879</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Clear-up pCR for Editor notes of message exception and MUTT</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"../../../AppData/Local/Temp/Rar$DIa7852.5955/Tdoc/R5-236646.zip"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R5-236646</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Clear-up pCR for Annex references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"../../../AppData/Local/Temp/Rar$DIa7852.5955/Tdoc/R5-236647.zip"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R5-236647</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Update of Annex F Test Tolerances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"../../../AppData/Local/Temp/Rar$DIa7852.5955/Tdoc/R5-236648.zip"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R5-236648</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Update of Annex F Measurement Uncertainties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"../../../AppData/Local/Temp/Rar$DIa7852.5955/Tdoc/R5-236649.zip"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R5-236649</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Editorial correction to TC titles of NB-IoT/eMTC NTN</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"Tdoc\\R5-237965.zip"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R5-237965</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Core requirements alignment for IoT NTN test cases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bl>
    <w:p/>
    <w:p/>
    <w:p/>
    <w:sectPr>
      <w:headerReference r:id="rId10" w:type="default"/>
      <w:footerReference r:id="rId11"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v5.0.0">
    <w:altName w:val="Times New Roman"/>
    <w:panose1 w:val="00000000000000000000"/>
    <w:charset w:val="00"/>
    <w:family w:val="roman"/>
    <w:pitch w:val="default"/>
    <w:sig w:usb0="00000000" w:usb1="00000000" w:usb2="00000000" w:usb3="00000000" w:csb0="00000000" w:csb1="00000000"/>
  </w:font>
  <w:font w:name="MS Mincho">
    <w:panose1 w:val="02020609040205080304"/>
    <w:charset w:val="80"/>
    <w:family w:val="modern"/>
    <w:pitch w:val="default"/>
    <w:sig w:usb0="A00002BF" w:usb1="68C7FCFB" w:usb2="00000010" w:usb3="00000000" w:csb0="4002009F" w:csb1="DFD70000"/>
  </w:font>
  <w:font w:name="PMingLiU">
    <w:altName w:val="Microsoft JhengHei UI"/>
    <w:panose1 w:val="02010601000101010101"/>
    <w:charset w:val="88"/>
    <w:family w:val="roman"/>
    <w:pitch w:val="default"/>
    <w:sig w:usb0="00000000" w:usb1="00000000" w:usb2="00000016" w:usb3="00000000" w:csb0="00100001" w:csb1="00000000"/>
  </w:font>
  <w:font w:name="v4.2.0">
    <w:altName w:val="Times New Roman"/>
    <w:panose1 w:val="00000000000000000000"/>
    <w:charset w:val="00"/>
    <w:family w:val="auto"/>
    <w:pitch w:val="default"/>
    <w:sig w:usb0="00000000" w:usb1="00000000" w:usb2="00000000" w:usb3="00000000" w:csb0="00040001" w:csb1="00000000"/>
  </w:font>
  <w:font w:name="Yu Mincho">
    <w:altName w:val="Yu Gothic"/>
    <w:panose1 w:val="00000000000000000000"/>
    <w:charset w:val="80"/>
    <w:family w:val="roman"/>
    <w:pitch w:val="default"/>
    <w:sig w:usb0="00000000" w:usb1="00000000" w:usb2="00000012" w:usb3="00000000" w:csb0="0002009F" w:csb1="00000000"/>
  </w:font>
  <w:font w:name="Vrinda">
    <w:altName w:val="Segoe Print"/>
    <w:panose1 w:val="00000400000000000000"/>
    <w:charset w:val="00"/>
    <w:family w:val="swiss"/>
    <w:pitch w:val="default"/>
    <w:sig w:usb0="00000000" w:usb1="00000000" w:usb2="00000000" w:usb3="00000000" w:csb0="00000001" w:csb1="00000000"/>
  </w:font>
  <w:font w:name="CG Times (WN)">
    <w:altName w:val="Arial"/>
    <w:panose1 w:val="00000000000000000000"/>
    <w:charset w:val="00"/>
    <w:family w:val="roman"/>
    <w:pitch w:val="default"/>
    <w:sig w:usb0="00000000" w:usb1="00000000" w:usb2="00000000" w:usb3="00000000" w:csb0="00000001" w:csb1="00000000"/>
  </w:font>
  <w:font w:name="微软雅黑">
    <w:panose1 w:val="020B0503020204020204"/>
    <w:charset w:val="86"/>
    <w:family w:val="swiss"/>
    <w:pitch w:val="default"/>
    <w:sig w:usb0="80000287" w:usb1="2ACF3C50" w:usb2="00000016" w:usb3="00000000" w:csb0="0004001F" w:csb1="00000000"/>
  </w:font>
  <w:font w:name="Batang">
    <w:altName w:val="Malgun Gothic"/>
    <w:panose1 w:val="02030600000101010101"/>
    <w:charset w:val="81"/>
    <w:family w:val="roman"/>
    <w:pitch w:val="default"/>
    <w:sig w:usb0="00000000" w:usb1="00000000" w:usb2="00000030" w:usb3="00000000" w:csb0="0008009F" w:csb1="00000000"/>
  </w:font>
  <w:font w:name="香~??’c‘I">
    <w:altName w:val="Yu Gothic"/>
    <w:panose1 w:val="00000000000000000000"/>
    <w:charset w:val="80"/>
    <w:family w:val="auto"/>
    <w:pitch w:val="default"/>
    <w:sig w:usb0="00000000" w:usb1="00000000" w:usb2="00000010" w:usb3="00000000" w:csb0="00020000" w:csb1="00000000"/>
  </w:font>
  <w:font w:name="×–¾’©‘Ì">
    <w:altName w:val="Yu Gothic"/>
    <w:panose1 w:val="00000000000000000000"/>
    <w:charset w:val="80"/>
    <w:family w:val="auto"/>
    <w:pitch w:val="default"/>
    <w:sig w:usb0="00000000" w:usb1="00000000" w:usb2="00000010" w:usb3="00000000" w:csb0="00020001" w:csb1="00000000"/>
  </w:font>
  <w:font w:name="Tahoma">
    <w:panose1 w:val="020B0604030504040204"/>
    <w:charset w:val="00"/>
    <w:family w:val="swiss"/>
    <w:pitch w:val="default"/>
    <w:sig w:usb0="E1002EFF" w:usb1="C000605B" w:usb2="00000029" w:usb3="00000000" w:csb0="200101FF" w:csb1="20280000"/>
  </w:font>
  <w:font w:name="ヒラギノ角ゴ Pro W3">
    <w:altName w:val="Yu Gothic"/>
    <w:panose1 w:val="00000000000000000000"/>
    <w:charset w:val="80"/>
    <w:family w:val="roman"/>
    <w:pitch w:val="default"/>
    <w:sig w:usb0="00000000" w:usb1="00000000" w:usb2="00000010" w:usb3="00000000" w:csb0="00020000" w:csb1="00000000"/>
  </w:font>
  <w:font w:name="MingLiU">
    <w:altName w:val="PMingLiU-ExtB"/>
    <w:panose1 w:val="02010609000101010101"/>
    <w:charset w:val="88"/>
    <w:family w:val="modern"/>
    <w:pitch w:val="default"/>
    <w:sig w:usb0="00000000" w:usb1="00000000" w:usb2="00000016" w:usb3="00000000" w:csb0="00100001" w:csb1="00000000"/>
  </w:font>
  <w:font w:name="Osaka">
    <w:altName w:val="Yu Gothic"/>
    <w:panose1 w:val="00000000000000000000"/>
    <w:charset w:val="80"/>
    <w:family w:val="auto"/>
    <w:pitch w:val="default"/>
    <w:sig w:usb0="00000000" w:usb1="00000000" w:usb2="00000010" w:usb3="00000000" w:csb0="00020093" w:csb1="00000000"/>
  </w:font>
  <w:font w:name="Times">
    <w:altName w:val="Times New Roman"/>
    <w:panose1 w:val="02020603050405020304"/>
    <w:charset w:val="00"/>
    <w:family w:val="roman"/>
    <w:pitch w:val="default"/>
    <w:sig w:usb0="00000000" w:usb1="00000000" w:usb2="00000009" w:usb3="00000000" w:csb0="000001FF" w:csb1="00000000"/>
  </w:font>
  <w:font w:name="Cambria Math">
    <w:panose1 w:val="02040503050406030204"/>
    <w:charset w:val="00"/>
    <w:family w:val="roman"/>
    <w:pitch w:val="default"/>
    <w:sig w:usb0="E00006FF" w:usb1="420024FF" w:usb2="02000000" w:usb3="00000000" w:csb0="2000019F" w:csb1="00000000"/>
  </w:font>
  <w:font w:name="??">
    <w:altName w:val="Yu Gothic"/>
    <w:panose1 w:val="00000000000000000000"/>
    <w:charset w:val="80"/>
    <w:family w:val="roman"/>
    <w:pitch w:val="default"/>
    <w:sig w:usb0="00000000" w:usb1="00000000" w:usb2="00000010" w:usb3="00000000" w:csb0="00020000" w:csb1="00000000"/>
  </w:font>
  <w:font w:name="Microsoft JhengHei">
    <w:panose1 w:val="020B0604030504040204"/>
    <w:charset w:val="88"/>
    <w:family w:val="swiss"/>
    <w:pitch w:val="default"/>
    <w:sig w:usb0="000002A7" w:usb1="28CF4400" w:usb2="00000016" w:usb3="00000000" w:csb0="00100009" w:csb1="00000000"/>
  </w:font>
  <w:font w:name="?? ??">
    <w:altName w:val="Yu Gothic"/>
    <w:panose1 w:val="00000000000000000000"/>
    <w:charset w:val="80"/>
    <w:family w:val="roman"/>
    <w:pitch w:val="default"/>
    <w:sig w:usb0="00000000" w:usb1="00000000" w:usb2="00000010" w:usb3="00000000" w:csb0="00020000" w:csb1="00000000"/>
  </w:font>
  <w:font w:name="MS PGothic">
    <w:panose1 w:val="020B0600070205080204"/>
    <w:charset w:val="80"/>
    <w:family w:val="swiss"/>
    <w:pitch w:val="default"/>
    <w:sig w:usb0="E00002FF" w:usb1="6AC7FDFB" w:usb2="08000012" w:usb3="00000000" w:csb0="4002009F" w:csb1="DFD70000"/>
  </w:font>
  <w:font w:name="Microsoft JhengHei UI">
    <w:panose1 w:val="020B0604030504040204"/>
    <w:charset w:val="88"/>
    <w:family w:val="auto"/>
    <w:pitch w:val="default"/>
    <w:sig w:usb0="000002A7" w:usb1="28CF4400" w:usb2="00000016" w:usb3="00000000" w:csb0="00100009" w:csb1="0000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TS 36.521-4 V1.0.0 (2023-12)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0">
    <w:nsid w:val="2AF82D9B"/>
    <w:multiLevelType w:val="singleLevel"/>
    <w:tmpl w:val="2AF82D9B"/>
    <w:lvl w:ilvl="0" w:tentative="0">
      <w:start w:val="0"/>
      <w:numFmt w:val="bullet"/>
      <w:lvlText w:val="*"/>
      <w:lvlJc w:val="left"/>
    </w:lvl>
  </w:abstractNum>
  <w:abstractNum w:abstractNumId="11">
    <w:nsid w:val="7E3B5FB8"/>
    <w:multiLevelType w:val="multilevel"/>
    <w:tmpl w:val="7E3B5FB8"/>
    <w:lvl w:ilvl="0" w:tentative="0">
      <w:start w:val="8"/>
      <w:numFmt w:val="bullet"/>
      <w:lvlText w:val="-"/>
      <w:lvlJc w:val="left"/>
      <w:pPr>
        <w:ind w:left="928" w:hanging="360"/>
      </w:pPr>
      <w:rPr>
        <w:rFonts w:hint="default" w:ascii="Times New Roman" w:hAnsi="Times New Roman" w:eastAsia="Times New Roman" w:cs="Times New Roman"/>
      </w:rPr>
    </w:lvl>
    <w:lvl w:ilvl="1" w:tentative="0">
      <w:start w:val="1"/>
      <w:numFmt w:val="bullet"/>
      <w:lvlText w:val="o"/>
      <w:lvlJc w:val="left"/>
      <w:pPr>
        <w:ind w:left="1648" w:hanging="360"/>
      </w:pPr>
      <w:rPr>
        <w:rFonts w:hint="default" w:ascii="Courier New" w:hAnsi="Courier New" w:cs="Courier New"/>
      </w:rPr>
    </w:lvl>
    <w:lvl w:ilvl="2" w:tentative="0">
      <w:start w:val="1"/>
      <w:numFmt w:val="bullet"/>
      <w:lvlText w:val=""/>
      <w:lvlJc w:val="left"/>
      <w:pPr>
        <w:ind w:left="2368" w:hanging="360"/>
      </w:pPr>
      <w:rPr>
        <w:rFonts w:hint="default" w:ascii="Wingdings" w:hAnsi="Wingdings"/>
      </w:rPr>
    </w:lvl>
    <w:lvl w:ilvl="3" w:tentative="0">
      <w:start w:val="1"/>
      <w:numFmt w:val="bullet"/>
      <w:lvlText w:val=""/>
      <w:lvlJc w:val="left"/>
      <w:pPr>
        <w:ind w:left="3088" w:hanging="360"/>
      </w:pPr>
      <w:rPr>
        <w:rFonts w:hint="default" w:ascii="Symbol" w:hAnsi="Symbol"/>
      </w:rPr>
    </w:lvl>
    <w:lvl w:ilvl="4" w:tentative="0">
      <w:start w:val="1"/>
      <w:numFmt w:val="bullet"/>
      <w:lvlText w:val="o"/>
      <w:lvlJc w:val="left"/>
      <w:pPr>
        <w:ind w:left="3808" w:hanging="360"/>
      </w:pPr>
      <w:rPr>
        <w:rFonts w:hint="default" w:ascii="Courier New" w:hAnsi="Courier New" w:cs="Courier New"/>
      </w:rPr>
    </w:lvl>
    <w:lvl w:ilvl="5" w:tentative="0">
      <w:start w:val="1"/>
      <w:numFmt w:val="bullet"/>
      <w:lvlText w:val=""/>
      <w:lvlJc w:val="left"/>
      <w:pPr>
        <w:ind w:left="4528" w:hanging="360"/>
      </w:pPr>
      <w:rPr>
        <w:rFonts w:hint="default" w:ascii="Wingdings" w:hAnsi="Wingdings"/>
      </w:rPr>
    </w:lvl>
    <w:lvl w:ilvl="6" w:tentative="0">
      <w:start w:val="1"/>
      <w:numFmt w:val="bullet"/>
      <w:lvlText w:val=""/>
      <w:lvlJc w:val="left"/>
      <w:pPr>
        <w:ind w:left="5248" w:hanging="360"/>
      </w:pPr>
      <w:rPr>
        <w:rFonts w:hint="default" w:ascii="Symbol" w:hAnsi="Symbol"/>
      </w:rPr>
    </w:lvl>
    <w:lvl w:ilvl="7" w:tentative="0">
      <w:start w:val="1"/>
      <w:numFmt w:val="bullet"/>
      <w:lvlText w:val="o"/>
      <w:lvlJc w:val="left"/>
      <w:pPr>
        <w:ind w:left="5968" w:hanging="360"/>
      </w:pPr>
      <w:rPr>
        <w:rFonts w:hint="default" w:ascii="Courier New" w:hAnsi="Courier New" w:cs="Courier New"/>
      </w:rPr>
    </w:lvl>
    <w:lvl w:ilvl="8" w:tentative="0">
      <w:start w:val="1"/>
      <w:numFmt w:val="bullet"/>
      <w:lvlText w:val=""/>
      <w:lvlJc w:val="left"/>
      <w:pPr>
        <w:ind w:left="6688" w:hanging="360"/>
      </w:pPr>
      <w:rPr>
        <w:rFonts w:hint="default" w:ascii="Wingdings" w:hAnsi="Wingdings"/>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3"/>
    <w:lvlOverride w:ilvl="0">
      <w:startOverride w:val="1"/>
    </w:lvlOverride>
  </w:num>
  <w:num w:numId="12">
    <w:abstractNumId w:val="10"/>
    <w:lvlOverride w:ilvl="0">
      <w:lvl w:ilvl="0" w:tentative="1">
        <w:start w:val="1"/>
        <w:numFmt w:val="bullet"/>
        <w:lvlText w:val=""/>
        <w:legacy w:legacy="1" w:legacySpace="0" w:legacyIndent="283"/>
        <w:lvlJc w:val="left"/>
        <w:pPr>
          <w:ind w:left="850" w:hanging="283"/>
        </w:pPr>
        <w:rPr>
          <w:rFonts w:hint="default" w:ascii="Symbol" w:hAnsi="Symbol"/>
        </w:rPr>
      </w:lvl>
    </w:lvlOverride>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74"/>
    <w:rsid w:val="000105B7"/>
    <w:rsid w:val="000270B9"/>
    <w:rsid w:val="00027EC0"/>
    <w:rsid w:val="00033397"/>
    <w:rsid w:val="00033A17"/>
    <w:rsid w:val="00040095"/>
    <w:rsid w:val="00041B47"/>
    <w:rsid w:val="00051834"/>
    <w:rsid w:val="00054A22"/>
    <w:rsid w:val="00062023"/>
    <w:rsid w:val="000621F3"/>
    <w:rsid w:val="000655A6"/>
    <w:rsid w:val="00080512"/>
    <w:rsid w:val="00084D91"/>
    <w:rsid w:val="000A7DF8"/>
    <w:rsid w:val="000B2E10"/>
    <w:rsid w:val="000B7C53"/>
    <w:rsid w:val="000C47C3"/>
    <w:rsid w:val="000C537E"/>
    <w:rsid w:val="000D11DA"/>
    <w:rsid w:val="000D58AB"/>
    <w:rsid w:val="000D5DE4"/>
    <w:rsid w:val="000F27AB"/>
    <w:rsid w:val="0011380A"/>
    <w:rsid w:val="00133525"/>
    <w:rsid w:val="00133837"/>
    <w:rsid w:val="00145555"/>
    <w:rsid w:val="00173E3B"/>
    <w:rsid w:val="00174E78"/>
    <w:rsid w:val="00185639"/>
    <w:rsid w:val="001A4C42"/>
    <w:rsid w:val="001A7420"/>
    <w:rsid w:val="001B6637"/>
    <w:rsid w:val="001C21C3"/>
    <w:rsid w:val="001C7694"/>
    <w:rsid w:val="001D02C2"/>
    <w:rsid w:val="001D0B31"/>
    <w:rsid w:val="001E4B46"/>
    <w:rsid w:val="001E4EBD"/>
    <w:rsid w:val="001E5824"/>
    <w:rsid w:val="001F0C1D"/>
    <w:rsid w:val="001F0D1E"/>
    <w:rsid w:val="001F1132"/>
    <w:rsid w:val="001F168B"/>
    <w:rsid w:val="001F5405"/>
    <w:rsid w:val="00214C15"/>
    <w:rsid w:val="00214D0B"/>
    <w:rsid w:val="0021768B"/>
    <w:rsid w:val="002347A2"/>
    <w:rsid w:val="0023621E"/>
    <w:rsid w:val="002478B9"/>
    <w:rsid w:val="002675F0"/>
    <w:rsid w:val="002700E9"/>
    <w:rsid w:val="00274B39"/>
    <w:rsid w:val="002760EE"/>
    <w:rsid w:val="002A14CC"/>
    <w:rsid w:val="002B6339"/>
    <w:rsid w:val="002C5942"/>
    <w:rsid w:val="002D281E"/>
    <w:rsid w:val="002E00EE"/>
    <w:rsid w:val="00307CA3"/>
    <w:rsid w:val="00315B85"/>
    <w:rsid w:val="003172DC"/>
    <w:rsid w:val="00325B2B"/>
    <w:rsid w:val="00353E3B"/>
    <w:rsid w:val="0035462D"/>
    <w:rsid w:val="00356555"/>
    <w:rsid w:val="0035674B"/>
    <w:rsid w:val="00362E0F"/>
    <w:rsid w:val="003765B8"/>
    <w:rsid w:val="003816E2"/>
    <w:rsid w:val="003A3942"/>
    <w:rsid w:val="003C3971"/>
    <w:rsid w:val="003C431A"/>
    <w:rsid w:val="003E0918"/>
    <w:rsid w:val="003E17D6"/>
    <w:rsid w:val="003E1AE8"/>
    <w:rsid w:val="003F4313"/>
    <w:rsid w:val="00412AD8"/>
    <w:rsid w:val="00423334"/>
    <w:rsid w:val="004345EC"/>
    <w:rsid w:val="00451523"/>
    <w:rsid w:val="00457754"/>
    <w:rsid w:val="00463AB3"/>
    <w:rsid w:val="00465515"/>
    <w:rsid w:val="0047152A"/>
    <w:rsid w:val="00487255"/>
    <w:rsid w:val="004876AE"/>
    <w:rsid w:val="004921ED"/>
    <w:rsid w:val="0049751D"/>
    <w:rsid w:val="004A4A4C"/>
    <w:rsid w:val="004B5192"/>
    <w:rsid w:val="004C053E"/>
    <w:rsid w:val="004C30AC"/>
    <w:rsid w:val="004C3FA0"/>
    <w:rsid w:val="004D3578"/>
    <w:rsid w:val="004E213A"/>
    <w:rsid w:val="004F0988"/>
    <w:rsid w:val="004F3340"/>
    <w:rsid w:val="00527C99"/>
    <w:rsid w:val="0053388B"/>
    <w:rsid w:val="00535773"/>
    <w:rsid w:val="00543E6C"/>
    <w:rsid w:val="00545435"/>
    <w:rsid w:val="00565087"/>
    <w:rsid w:val="00566709"/>
    <w:rsid w:val="00577771"/>
    <w:rsid w:val="00591576"/>
    <w:rsid w:val="00597B11"/>
    <w:rsid w:val="005A637A"/>
    <w:rsid w:val="005C293B"/>
    <w:rsid w:val="005C55A4"/>
    <w:rsid w:val="005D2E01"/>
    <w:rsid w:val="005D7526"/>
    <w:rsid w:val="005E4BB2"/>
    <w:rsid w:val="005F3982"/>
    <w:rsid w:val="005F788A"/>
    <w:rsid w:val="00602AEA"/>
    <w:rsid w:val="00614FDF"/>
    <w:rsid w:val="00634285"/>
    <w:rsid w:val="0063543D"/>
    <w:rsid w:val="006444C7"/>
    <w:rsid w:val="00647114"/>
    <w:rsid w:val="006625AF"/>
    <w:rsid w:val="00664323"/>
    <w:rsid w:val="0067080B"/>
    <w:rsid w:val="00670CF4"/>
    <w:rsid w:val="006912E9"/>
    <w:rsid w:val="006A03AC"/>
    <w:rsid w:val="006A24EE"/>
    <w:rsid w:val="006A323F"/>
    <w:rsid w:val="006A4748"/>
    <w:rsid w:val="006B30D0"/>
    <w:rsid w:val="006B4AD4"/>
    <w:rsid w:val="006C3D95"/>
    <w:rsid w:val="006E5C86"/>
    <w:rsid w:val="006E6F1B"/>
    <w:rsid w:val="006F2CC2"/>
    <w:rsid w:val="007000D6"/>
    <w:rsid w:val="00701116"/>
    <w:rsid w:val="00701AD9"/>
    <w:rsid w:val="007024E6"/>
    <w:rsid w:val="0071174C"/>
    <w:rsid w:val="00713C44"/>
    <w:rsid w:val="00734A5B"/>
    <w:rsid w:val="0074026F"/>
    <w:rsid w:val="007429F6"/>
    <w:rsid w:val="00744E76"/>
    <w:rsid w:val="00746F6F"/>
    <w:rsid w:val="00765EA3"/>
    <w:rsid w:val="00774DA4"/>
    <w:rsid w:val="00781F0F"/>
    <w:rsid w:val="007B600E"/>
    <w:rsid w:val="007F0F4A"/>
    <w:rsid w:val="007F7DEF"/>
    <w:rsid w:val="008028A4"/>
    <w:rsid w:val="00830747"/>
    <w:rsid w:val="00830904"/>
    <w:rsid w:val="00842C5B"/>
    <w:rsid w:val="0086627E"/>
    <w:rsid w:val="00875AE8"/>
    <w:rsid w:val="008768CA"/>
    <w:rsid w:val="008A1EB8"/>
    <w:rsid w:val="008C384C"/>
    <w:rsid w:val="008C7B64"/>
    <w:rsid w:val="008D6FFC"/>
    <w:rsid w:val="008E2D68"/>
    <w:rsid w:val="008E6756"/>
    <w:rsid w:val="008F6B2E"/>
    <w:rsid w:val="0090271F"/>
    <w:rsid w:val="00902E23"/>
    <w:rsid w:val="009114D7"/>
    <w:rsid w:val="0091348E"/>
    <w:rsid w:val="00917456"/>
    <w:rsid w:val="00917CCB"/>
    <w:rsid w:val="0092796A"/>
    <w:rsid w:val="00933FB0"/>
    <w:rsid w:val="00942EC2"/>
    <w:rsid w:val="00954569"/>
    <w:rsid w:val="0095486C"/>
    <w:rsid w:val="00961316"/>
    <w:rsid w:val="009618C8"/>
    <w:rsid w:val="0096489B"/>
    <w:rsid w:val="00967F60"/>
    <w:rsid w:val="00975DAE"/>
    <w:rsid w:val="009E21CA"/>
    <w:rsid w:val="009E3DAB"/>
    <w:rsid w:val="009F37B7"/>
    <w:rsid w:val="009F74D3"/>
    <w:rsid w:val="00A03BF4"/>
    <w:rsid w:val="00A10F02"/>
    <w:rsid w:val="00A164B4"/>
    <w:rsid w:val="00A26956"/>
    <w:rsid w:val="00A26A06"/>
    <w:rsid w:val="00A27486"/>
    <w:rsid w:val="00A42ED7"/>
    <w:rsid w:val="00A53724"/>
    <w:rsid w:val="00A53D39"/>
    <w:rsid w:val="00A56066"/>
    <w:rsid w:val="00A73129"/>
    <w:rsid w:val="00A82346"/>
    <w:rsid w:val="00A92BA1"/>
    <w:rsid w:val="00A94633"/>
    <w:rsid w:val="00A95A32"/>
    <w:rsid w:val="00AB4A5D"/>
    <w:rsid w:val="00AC6BC6"/>
    <w:rsid w:val="00AD45A1"/>
    <w:rsid w:val="00AE6164"/>
    <w:rsid w:val="00AE65E2"/>
    <w:rsid w:val="00AF1460"/>
    <w:rsid w:val="00B04443"/>
    <w:rsid w:val="00B063BE"/>
    <w:rsid w:val="00B15449"/>
    <w:rsid w:val="00B21969"/>
    <w:rsid w:val="00B235DC"/>
    <w:rsid w:val="00B54A23"/>
    <w:rsid w:val="00B60DFE"/>
    <w:rsid w:val="00B64C82"/>
    <w:rsid w:val="00B660AE"/>
    <w:rsid w:val="00B712F0"/>
    <w:rsid w:val="00B7425F"/>
    <w:rsid w:val="00B75912"/>
    <w:rsid w:val="00B82168"/>
    <w:rsid w:val="00B93086"/>
    <w:rsid w:val="00BA19ED"/>
    <w:rsid w:val="00BA4B8D"/>
    <w:rsid w:val="00BC0F7D"/>
    <w:rsid w:val="00BC5FE4"/>
    <w:rsid w:val="00BD04D9"/>
    <w:rsid w:val="00BD1368"/>
    <w:rsid w:val="00BD7D31"/>
    <w:rsid w:val="00BE3255"/>
    <w:rsid w:val="00BF128E"/>
    <w:rsid w:val="00BF4921"/>
    <w:rsid w:val="00C0294D"/>
    <w:rsid w:val="00C074DD"/>
    <w:rsid w:val="00C14903"/>
    <w:rsid w:val="00C1496A"/>
    <w:rsid w:val="00C33079"/>
    <w:rsid w:val="00C45231"/>
    <w:rsid w:val="00C551FF"/>
    <w:rsid w:val="00C7156E"/>
    <w:rsid w:val="00C72833"/>
    <w:rsid w:val="00C80F1D"/>
    <w:rsid w:val="00C874AB"/>
    <w:rsid w:val="00C91962"/>
    <w:rsid w:val="00C93F40"/>
    <w:rsid w:val="00C96C87"/>
    <w:rsid w:val="00CA3D0C"/>
    <w:rsid w:val="00CC0370"/>
    <w:rsid w:val="00CD3C67"/>
    <w:rsid w:val="00D0324E"/>
    <w:rsid w:val="00D05F33"/>
    <w:rsid w:val="00D07E48"/>
    <w:rsid w:val="00D57972"/>
    <w:rsid w:val="00D675A9"/>
    <w:rsid w:val="00D67AC4"/>
    <w:rsid w:val="00D722A3"/>
    <w:rsid w:val="00D738D6"/>
    <w:rsid w:val="00D755EB"/>
    <w:rsid w:val="00D76048"/>
    <w:rsid w:val="00D82E6F"/>
    <w:rsid w:val="00D87E00"/>
    <w:rsid w:val="00D9045B"/>
    <w:rsid w:val="00D9134D"/>
    <w:rsid w:val="00DA7A03"/>
    <w:rsid w:val="00DA7EBA"/>
    <w:rsid w:val="00DA7F97"/>
    <w:rsid w:val="00DB1818"/>
    <w:rsid w:val="00DC309B"/>
    <w:rsid w:val="00DC4DA2"/>
    <w:rsid w:val="00DD0D08"/>
    <w:rsid w:val="00DD4C17"/>
    <w:rsid w:val="00DD74A5"/>
    <w:rsid w:val="00DF2B1F"/>
    <w:rsid w:val="00DF62CD"/>
    <w:rsid w:val="00E16509"/>
    <w:rsid w:val="00E44582"/>
    <w:rsid w:val="00E4618E"/>
    <w:rsid w:val="00E519A9"/>
    <w:rsid w:val="00E53D47"/>
    <w:rsid w:val="00E54264"/>
    <w:rsid w:val="00E77645"/>
    <w:rsid w:val="00E8743A"/>
    <w:rsid w:val="00E87A30"/>
    <w:rsid w:val="00EA15B0"/>
    <w:rsid w:val="00EA5EA7"/>
    <w:rsid w:val="00EA66BD"/>
    <w:rsid w:val="00EC4A25"/>
    <w:rsid w:val="00EF608C"/>
    <w:rsid w:val="00F025A2"/>
    <w:rsid w:val="00F04712"/>
    <w:rsid w:val="00F07C8F"/>
    <w:rsid w:val="00F13360"/>
    <w:rsid w:val="00F22AA7"/>
    <w:rsid w:val="00F22EC7"/>
    <w:rsid w:val="00F24F0C"/>
    <w:rsid w:val="00F3064C"/>
    <w:rsid w:val="00F30FC0"/>
    <w:rsid w:val="00F325C8"/>
    <w:rsid w:val="00F34834"/>
    <w:rsid w:val="00F44223"/>
    <w:rsid w:val="00F53847"/>
    <w:rsid w:val="00F653B8"/>
    <w:rsid w:val="00F8073F"/>
    <w:rsid w:val="00F86E08"/>
    <w:rsid w:val="00F9008D"/>
    <w:rsid w:val="00FA1266"/>
    <w:rsid w:val="00FB3BDA"/>
    <w:rsid w:val="00FC1192"/>
    <w:rsid w:val="00FD4B6C"/>
    <w:rsid w:val="013C6B23"/>
    <w:rsid w:val="0157680F"/>
    <w:rsid w:val="01A956DB"/>
    <w:rsid w:val="01DB3BA3"/>
    <w:rsid w:val="01EE2CA3"/>
    <w:rsid w:val="027836FB"/>
    <w:rsid w:val="02AE5458"/>
    <w:rsid w:val="02CD2C4F"/>
    <w:rsid w:val="03153BA0"/>
    <w:rsid w:val="03243C68"/>
    <w:rsid w:val="032F014C"/>
    <w:rsid w:val="03B731EB"/>
    <w:rsid w:val="03F972C6"/>
    <w:rsid w:val="04E11DD2"/>
    <w:rsid w:val="04F90C57"/>
    <w:rsid w:val="05E73E02"/>
    <w:rsid w:val="06311287"/>
    <w:rsid w:val="06B708F1"/>
    <w:rsid w:val="06D0542D"/>
    <w:rsid w:val="06E46012"/>
    <w:rsid w:val="07006622"/>
    <w:rsid w:val="076B3C60"/>
    <w:rsid w:val="07F44A3F"/>
    <w:rsid w:val="08007EF8"/>
    <w:rsid w:val="08A15D00"/>
    <w:rsid w:val="08A63C9D"/>
    <w:rsid w:val="08C45F4C"/>
    <w:rsid w:val="09294FF5"/>
    <w:rsid w:val="0A29059A"/>
    <w:rsid w:val="0A697D4E"/>
    <w:rsid w:val="0A6F5DBE"/>
    <w:rsid w:val="0ABF11BD"/>
    <w:rsid w:val="0BAA5B6F"/>
    <w:rsid w:val="0BCC2ECF"/>
    <w:rsid w:val="0BE00001"/>
    <w:rsid w:val="0C3A1908"/>
    <w:rsid w:val="0CB117D6"/>
    <w:rsid w:val="0CB14415"/>
    <w:rsid w:val="0D4D3563"/>
    <w:rsid w:val="0DDB799F"/>
    <w:rsid w:val="0DEF00E5"/>
    <w:rsid w:val="0E244676"/>
    <w:rsid w:val="0E455049"/>
    <w:rsid w:val="0EA24E8B"/>
    <w:rsid w:val="0ED75A5C"/>
    <w:rsid w:val="0FC97325"/>
    <w:rsid w:val="0FD0308B"/>
    <w:rsid w:val="10F249F3"/>
    <w:rsid w:val="1180779B"/>
    <w:rsid w:val="11AC7015"/>
    <w:rsid w:val="13203E9F"/>
    <w:rsid w:val="138907EE"/>
    <w:rsid w:val="15382631"/>
    <w:rsid w:val="15717932"/>
    <w:rsid w:val="15773D45"/>
    <w:rsid w:val="16617564"/>
    <w:rsid w:val="167F075B"/>
    <w:rsid w:val="16831A59"/>
    <w:rsid w:val="17B062DC"/>
    <w:rsid w:val="18322350"/>
    <w:rsid w:val="1842222C"/>
    <w:rsid w:val="18B57F73"/>
    <w:rsid w:val="19111B26"/>
    <w:rsid w:val="19283037"/>
    <w:rsid w:val="192E599F"/>
    <w:rsid w:val="19E303AA"/>
    <w:rsid w:val="1A1673A8"/>
    <w:rsid w:val="1A692981"/>
    <w:rsid w:val="1B0662E7"/>
    <w:rsid w:val="1B213C3E"/>
    <w:rsid w:val="1B865936"/>
    <w:rsid w:val="1CC32DC3"/>
    <w:rsid w:val="1CEA46A0"/>
    <w:rsid w:val="1D54432D"/>
    <w:rsid w:val="1D5D00D1"/>
    <w:rsid w:val="1DE515DD"/>
    <w:rsid w:val="1E353806"/>
    <w:rsid w:val="1E6A6AB8"/>
    <w:rsid w:val="1E81151C"/>
    <w:rsid w:val="1F72512B"/>
    <w:rsid w:val="20506966"/>
    <w:rsid w:val="206B1DC4"/>
    <w:rsid w:val="20A60C74"/>
    <w:rsid w:val="217C2017"/>
    <w:rsid w:val="228902EB"/>
    <w:rsid w:val="229A491D"/>
    <w:rsid w:val="22CD44A5"/>
    <w:rsid w:val="23BB5DD9"/>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AA360EC"/>
    <w:rsid w:val="2AE41D92"/>
    <w:rsid w:val="2B2B1925"/>
    <w:rsid w:val="2B2D5A4E"/>
    <w:rsid w:val="2B4B0E74"/>
    <w:rsid w:val="2BD568F6"/>
    <w:rsid w:val="2BE570D4"/>
    <w:rsid w:val="2C4A55CD"/>
    <w:rsid w:val="2C4D3308"/>
    <w:rsid w:val="2C636D1C"/>
    <w:rsid w:val="2CB3596E"/>
    <w:rsid w:val="2CBF096B"/>
    <w:rsid w:val="2D9029C1"/>
    <w:rsid w:val="2E483350"/>
    <w:rsid w:val="2EF12C10"/>
    <w:rsid w:val="2F4F0640"/>
    <w:rsid w:val="2F7704E9"/>
    <w:rsid w:val="303832C4"/>
    <w:rsid w:val="309F1409"/>
    <w:rsid w:val="30C67ED5"/>
    <w:rsid w:val="30EF1049"/>
    <w:rsid w:val="323727FA"/>
    <w:rsid w:val="32C63ACE"/>
    <w:rsid w:val="32D45B7B"/>
    <w:rsid w:val="32F276C0"/>
    <w:rsid w:val="331A5147"/>
    <w:rsid w:val="34412DE8"/>
    <w:rsid w:val="345779CF"/>
    <w:rsid w:val="34E42621"/>
    <w:rsid w:val="34F5254F"/>
    <w:rsid w:val="358B79D1"/>
    <w:rsid w:val="36CB7872"/>
    <w:rsid w:val="371B4E36"/>
    <w:rsid w:val="37926E72"/>
    <w:rsid w:val="3801510A"/>
    <w:rsid w:val="3A787566"/>
    <w:rsid w:val="3AB25EFB"/>
    <w:rsid w:val="3B1E0D79"/>
    <w:rsid w:val="3B2A7B87"/>
    <w:rsid w:val="3B4F40EB"/>
    <w:rsid w:val="3BB33BFE"/>
    <w:rsid w:val="3C0C667B"/>
    <w:rsid w:val="3CA431E5"/>
    <w:rsid w:val="3CC00741"/>
    <w:rsid w:val="3DE13F19"/>
    <w:rsid w:val="3EF32FC5"/>
    <w:rsid w:val="3FA5767C"/>
    <w:rsid w:val="40F06612"/>
    <w:rsid w:val="428222C6"/>
    <w:rsid w:val="44D10922"/>
    <w:rsid w:val="44F93DEF"/>
    <w:rsid w:val="45296A12"/>
    <w:rsid w:val="456123C9"/>
    <w:rsid w:val="45B771EB"/>
    <w:rsid w:val="46285AD8"/>
    <w:rsid w:val="471C0C80"/>
    <w:rsid w:val="479429AB"/>
    <w:rsid w:val="47E3301F"/>
    <w:rsid w:val="49A711F8"/>
    <w:rsid w:val="4A693F8E"/>
    <w:rsid w:val="4ABC3BAC"/>
    <w:rsid w:val="4ACF1CB2"/>
    <w:rsid w:val="4AF44CC2"/>
    <w:rsid w:val="4B0C3A10"/>
    <w:rsid w:val="4B596313"/>
    <w:rsid w:val="4B943BB6"/>
    <w:rsid w:val="4BAC6412"/>
    <w:rsid w:val="4BBB04B7"/>
    <w:rsid w:val="4BE51A15"/>
    <w:rsid w:val="4BF16221"/>
    <w:rsid w:val="4C016AB2"/>
    <w:rsid w:val="4C0D6CC7"/>
    <w:rsid w:val="4C5E2F58"/>
    <w:rsid w:val="4D0B6397"/>
    <w:rsid w:val="4D4F347D"/>
    <w:rsid w:val="4D80593E"/>
    <w:rsid w:val="4D8D54A9"/>
    <w:rsid w:val="4DAE3B7E"/>
    <w:rsid w:val="4DF949F4"/>
    <w:rsid w:val="4E1137D5"/>
    <w:rsid w:val="4E286491"/>
    <w:rsid w:val="4E64640A"/>
    <w:rsid w:val="4EAC01FC"/>
    <w:rsid w:val="4F71180B"/>
    <w:rsid w:val="4F910D05"/>
    <w:rsid w:val="4FAB0141"/>
    <w:rsid w:val="501157BC"/>
    <w:rsid w:val="502D0717"/>
    <w:rsid w:val="510373C4"/>
    <w:rsid w:val="51127D09"/>
    <w:rsid w:val="516707EB"/>
    <w:rsid w:val="51D81EB4"/>
    <w:rsid w:val="521456C3"/>
    <w:rsid w:val="52250A3C"/>
    <w:rsid w:val="523066EF"/>
    <w:rsid w:val="524E10DD"/>
    <w:rsid w:val="52B1453C"/>
    <w:rsid w:val="52EB3250"/>
    <w:rsid w:val="53302646"/>
    <w:rsid w:val="53B62918"/>
    <w:rsid w:val="547B3104"/>
    <w:rsid w:val="5497178B"/>
    <w:rsid w:val="54AB1F17"/>
    <w:rsid w:val="5503331F"/>
    <w:rsid w:val="56142E43"/>
    <w:rsid w:val="561465A0"/>
    <w:rsid w:val="56590A6E"/>
    <w:rsid w:val="566C5C56"/>
    <w:rsid w:val="569807E6"/>
    <w:rsid w:val="56BC2CFF"/>
    <w:rsid w:val="57163648"/>
    <w:rsid w:val="57500AEA"/>
    <w:rsid w:val="581820D3"/>
    <w:rsid w:val="5961613A"/>
    <w:rsid w:val="59A55771"/>
    <w:rsid w:val="59BB7D69"/>
    <w:rsid w:val="5BE0671B"/>
    <w:rsid w:val="5C385CA6"/>
    <w:rsid w:val="5C4A5884"/>
    <w:rsid w:val="5C69053A"/>
    <w:rsid w:val="5CEA0E69"/>
    <w:rsid w:val="5D5532E0"/>
    <w:rsid w:val="5DBB2A80"/>
    <w:rsid w:val="5DFE0740"/>
    <w:rsid w:val="5ECC17B3"/>
    <w:rsid w:val="5ED8128D"/>
    <w:rsid w:val="5FCA69CB"/>
    <w:rsid w:val="608337E2"/>
    <w:rsid w:val="60A17343"/>
    <w:rsid w:val="60A33833"/>
    <w:rsid w:val="60B724C2"/>
    <w:rsid w:val="6202734A"/>
    <w:rsid w:val="62246707"/>
    <w:rsid w:val="62541333"/>
    <w:rsid w:val="62715858"/>
    <w:rsid w:val="62834D5E"/>
    <w:rsid w:val="62A03320"/>
    <w:rsid w:val="62E33E4C"/>
    <w:rsid w:val="633B064F"/>
    <w:rsid w:val="63707CEE"/>
    <w:rsid w:val="63C84FDF"/>
    <w:rsid w:val="644E31DE"/>
    <w:rsid w:val="645164CF"/>
    <w:rsid w:val="649F4C26"/>
    <w:rsid w:val="65231BB2"/>
    <w:rsid w:val="65B46F20"/>
    <w:rsid w:val="65D9488E"/>
    <w:rsid w:val="6696276E"/>
    <w:rsid w:val="66EE2107"/>
    <w:rsid w:val="671856C2"/>
    <w:rsid w:val="675F5DAB"/>
    <w:rsid w:val="679A4C3E"/>
    <w:rsid w:val="67C20B43"/>
    <w:rsid w:val="680D1787"/>
    <w:rsid w:val="682B31E9"/>
    <w:rsid w:val="68780230"/>
    <w:rsid w:val="698748CE"/>
    <w:rsid w:val="69AB4C68"/>
    <w:rsid w:val="69B17418"/>
    <w:rsid w:val="69E26186"/>
    <w:rsid w:val="69FD16BE"/>
    <w:rsid w:val="6A001769"/>
    <w:rsid w:val="6A291E7B"/>
    <w:rsid w:val="6A374CC8"/>
    <w:rsid w:val="6A793A4D"/>
    <w:rsid w:val="6AB27AB2"/>
    <w:rsid w:val="6B4537F3"/>
    <w:rsid w:val="6BD24ACF"/>
    <w:rsid w:val="6E1D116D"/>
    <w:rsid w:val="6E202556"/>
    <w:rsid w:val="6E377E00"/>
    <w:rsid w:val="6E9C50E9"/>
    <w:rsid w:val="6F715EBA"/>
    <w:rsid w:val="6FA8302C"/>
    <w:rsid w:val="6FB87E3E"/>
    <w:rsid w:val="6FD3775A"/>
    <w:rsid w:val="701476F5"/>
    <w:rsid w:val="70C8781B"/>
    <w:rsid w:val="715C0692"/>
    <w:rsid w:val="71D67425"/>
    <w:rsid w:val="71D706A1"/>
    <w:rsid w:val="720D27B9"/>
    <w:rsid w:val="72187978"/>
    <w:rsid w:val="72242196"/>
    <w:rsid w:val="72560C6F"/>
    <w:rsid w:val="727B0289"/>
    <w:rsid w:val="72BD48CD"/>
    <w:rsid w:val="7376359C"/>
    <w:rsid w:val="73FD7F4C"/>
    <w:rsid w:val="74774DAC"/>
    <w:rsid w:val="749E03BF"/>
    <w:rsid w:val="74BD6524"/>
    <w:rsid w:val="75DD3560"/>
    <w:rsid w:val="77580E59"/>
    <w:rsid w:val="778D0DE2"/>
    <w:rsid w:val="779D4E08"/>
    <w:rsid w:val="77E52486"/>
    <w:rsid w:val="77FF6E2F"/>
    <w:rsid w:val="78D805FB"/>
    <w:rsid w:val="78D8348E"/>
    <w:rsid w:val="79697EBE"/>
    <w:rsid w:val="7A282199"/>
    <w:rsid w:val="7A760C0B"/>
    <w:rsid w:val="7AA71778"/>
    <w:rsid w:val="7AB651DC"/>
    <w:rsid w:val="7B59755A"/>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link w:val="180"/>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link w:val="181"/>
    <w:qFormat/>
    <w:uiPriority w:val="0"/>
    <w:pPr>
      <w:pBdr>
        <w:top w:val="none" w:color="auto" w:sz="0" w:space="0"/>
      </w:pBdr>
      <w:spacing w:before="180"/>
      <w:outlineLvl w:val="1"/>
    </w:pPr>
    <w:rPr>
      <w:sz w:val="32"/>
    </w:rPr>
  </w:style>
  <w:style w:type="paragraph" w:styleId="5">
    <w:name w:val="heading 3"/>
    <w:basedOn w:val="4"/>
    <w:next w:val="1"/>
    <w:link w:val="182"/>
    <w:qFormat/>
    <w:uiPriority w:val="0"/>
    <w:pPr>
      <w:spacing w:before="120"/>
      <w:outlineLvl w:val="2"/>
    </w:pPr>
    <w:rPr>
      <w:sz w:val="28"/>
    </w:rPr>
  </w:style>
  <w:style w:type="paragraph" w:styleId="6">
    <w:name w:val="heading 4"/>
    <w:basedOn w:val="5"/>
    <w:next w:val="1"/>
    <w:link w:val="197"/>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5"/>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link w:val="178"/>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semiHidden/>
    <w:qFormat/>
    <w:uiPriority w:val="0"/>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58"/>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7"/>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6"/>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3"/>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2"/>
    <w:qFormat/>
    <w:uiPriority w:val="0"/>
  </w:style>
  <w:style w:type="paragraph" w:styleId="40">
    <w:name w:val="Body Text 3"/>
    <w:basedOn w:val="1"/>
    <w:link w:val="136"/>
    <w:qFormat/>
    <w:uiPriority w:val="0"/>
    <w:pPr>
      <w:spacing w:after="120"/>
    </w:pPr>
    <w:rPr>
      <w:sz w:val="16"/>
      <w:szCs w:val="16"/>
    </w:rPr>
  </w:style>
  <w:style w:type="paragraph" w:styleId="41">
    <w:name w:val="Closing"/>
    <w:basedOn w:val="1"/>
    <w:link w:val="142"/>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4"/>
    <w:qFormat/>
    <w:uiPriority w:val="0"/>
    <w:pPr>
      <w:spacing w:after="120"/>
    </w:pPr>
  </w:style>
  <w:style w:type="paragraph" w:styleId="44">
    <w:name w:val="Body Text Indent"/>
    <w:basedOn w:val="1"/>
    <w:link w:val="138"/>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0"/>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59"/>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next w:val="1"/>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5"/>
    <w:qFormat/>
    <w:uiPriority w:val="0"/>
  </w:style>
  <w:style w:type="paragraph" w:styleId="57">
    <w:name w:val="Body Text Indent 2"/>
    <w:basedOn w:val="1"/>
    <w:link w:val="140"/>
    <w:qFormat/>
    <w:uiPriority w:val="0"/>
    <w:pPr>
      <w:spacing w:after="120" w:line="480" w:lineRule="auto"/>
      <w:ind w:left="283"/>
    </w:pPr>
  </w:style>
  <w:style w:type="paragraph" w:styleId="58">
    <w:name w:val="endnote text"/>
    <w:basedOn w:val="1"/>
    <w:link w:val="148"/>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2"/>
    <w:semiHidden/>
    <w:unhideWhenUsed/>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envelope return"/>
    <w:basedOn w:val="1"/>
    <w:qFormat/>
    <w:uiPriority w:val="0"/>
    <w:pPr>
      <w:spacing w:after="0"/>
    </w:pPr>
    <w:rPr>
      <w:rFonts w:asciiTheme="majorHAnsi" w:hAnsiTheme="majorHAnsi" w:eastAsiaTheme="majorEastAsia" w:cstheme="majorBidi"/>
    </w:rPr>
  </w:style>
  <w:style w:type="paragraph" w:styleId="64">
    <w:name w:val="Signature"/>
    <w:basedOn w:val="1"/>
    <w:link w:val="163"/>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4"/>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4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1"/>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next w:val="1"/>
    <w:qFormat/>
    <w:uiPriority w:val="39"/>
    <w:pPr>
      <w:ind w:left="1418" w:hanging="1418"/>
    </w:pPr>
  </w:style>
  <w:style w:type="paragraph" w:styleId="77">
    <w:name w:val="Body Text 2"/>
    <w:basedOn w:val="1"/>
    <w:link w:val="135"/>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6"/>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1"/>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4"/>
    <w:qFormat/>
    <w:uiPriority w:val="0"/>
    <w:rPr>
      <w:b/>
      <w:bCs/>
    </w:rPr>
  </w:style>
  <w:style w:type="paragraph" w:styleId="87">
    <w:name w:val="Body Text First Indent"/>
    <w:basedOn w:val="43"/>
    <w:link w:val="137"/>
    <w:qFormat/>
    <w:uiPriority w:val="0"/>
    <w:pPr>
      <w:spacing w:after="180"/>
      <w:ind w:firstLine="360"/>
    </w:pPr>
  </w:style>
  <w:style w:type="paragraph" w:styleId="88">
    <w:name w:val="Body Text First Indent 2"/>
    <w:basedOn w:val="44"/>
    <w:link w:val="139"/>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basedOn w:val="91"/>
    <w:qFormat/>
    <w:uiPriority w:val="0"/>
    <w:rPr>
      <w:sz w:val="18"/>
      <w:szCs w:val="18"/>
    </w:rPr>
  </w:style>
  <w:style w:type="paragraph" w:customStyle="1" w:styleId="95">
    <w:name w:val="EQ"/>
    <w:basedOn w:val="1"/>
    <w:next w:val="1"/>
    <w:link w:val="175"/>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link w:val="174"/>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83"/>
    <w:qFormat/>
    <w:uiPriority w:val="0"/>
    <w:pPr>
      <w:keepNext/>
      <w:keepLines/>
      <w:spacing w:after="0"/>
    </w:pPr>
    <w:rPr>
      <w:rFonts w:ascii="Arial" w:hAnsi="Arial"/>
      <w:sz w:val="18"/>
    </w:rPr>
  </w:style>
  <w:style w:type="paragraph" w:customStyle="1" w:styleId="104">
    <w:name w:val="TAH"/>
    <w:basedOn w:val="105"/>
    <w:link w:val="172"/>
    <w:qFormat/>
    <w:uiPriority w:val="0"/>
    <w:rPr>
      <w:b/>
    </w:rPr>
  </w:style>
  <w:style w:type="paragraph" w:customStyle="1" w:styleId="105">
    <w:name w:val="TAC"/>
    <w:basedOn w:val="103"/>
    <w:link w:val="171"/>
    <w:qFormat/>
    <w:uiPriority w:val="0"/>
    <w:pPr>
      <w:jc w:val="center"/>
    </w:pPr>
  </w:style>
  <w:style w:type="paragraph" w:customStyle="1" w:styleId="106">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7">
    <w:name w:val="EX"/>
    <w:basedOn w:val="1"/>
    <w:link w:val="168"/>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15"/>
    <w:link w:val="167"/>
    <w:qFormat/>
    <w:uiPriority w:val="0"/>
    <w:pPr>
      <w:ind w:left="568" w:hanging="284"/>
    </w:pPr>
  </w:style>
  <w:style w:type="paragraph" w:customStyle="1" w:styleId="112">
    <w:name w:val="Editor's Note"/>
    <w:basedOn w:val="100"/>
    <w:link w:val="177"/>
    <w:qFormat/>
    <w:uiPriority w:val="0"/>
    <w:pPr>
      <w:ind w:left="1418" w:hanging="1134"/>
    </w:pPr>
    <w:rPr>
      <w:color w:val="FF0000"/>
    </w:rPr>
  </w:style>
  <w:style w:type="paragraph" w:customStyle="1" w:styleId="113">
    <w:name w:val="TH"/>
    <w:basedOn w:val="1"/>
    <w:link w:val="131"/>
    <w:qFormat/>
    <w:uiPriority w:val="0"/>
    <w:pPr>
      <w:keepNext/>
      <w:keepLines/>
      <w:spacing w:before="60"/>
      <w:jc w:val="center"/>
    </w:pPr>
    <w:rPr>
      <w:rFonts w:ascii="Arial" w:hAnsi="Arial"/>
      <w:b/>
    </w:rPr>
  </w:style>
  <w:style w:type="paragraph" w:customStyle="1" w:styleId="114">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5">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6">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7">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8">
    <w:name w:val="TAN"/>
    <w:basedOn w:val="103"/>
    <w:link w:val="173"/>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0">
    <w:name w:val="TF"/>
    <w:basedOn w:val="113"/>
    <w:link w:val="195"/>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2">
    <w:name w:val="B2"/>
    <w:basedOn w:val="14"/>
    <w:link w:val="170"/>
    <w:qFormat/>
    <w:uiPriority w:val="0"/>
    <w:pPr>
      <w:ind w:left="851" w:hanging="284"/>
    </w:pPr>
  </w:style>
  <w:style w:type="paragraph" w:customStyle="1" w:styleId="123">
    <w:name w:val="B3"/>
    <w:basedOn w:val="13"/>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Unresolved Mention1"/>
    <w:semiHidden/>
    <w:unhideWhenUsed/>
    <w:qFormat/>
    <w:uiPriority w:val="99"/>
    <w:rPr>
      <w:color w:val="605E5C"/>
      <w:shd w:val="clear" w:color="auto" w:fill="E1DFDD"/>
    </w:rPr>
  </w:style>
  <w:style w:type="character" w:customStyle="1" w:styleId="131">
    <w:name w:val="TH Char"/>
    <w:link w:val="113"/>
    <w:qFormat/>
    <w:uiPriority w:val="0"/>
    <w:rPr>
      <w:rFonts w:ascii="Arial" w:hAnsi="Arial" w:eastAsia="Times New Roman"/>
      <w:b/>
      <w:lang w:eastAsia="en-US"/>
    </w:rPr>
  </w:style>
  <w:style w:type="character" w:customStyle="1" w:styleId="132">
    <w:name w:val="批注框文本 字符"/>
    <w:basedOn w:val="91"/>
    <w:link w:val="60"/>
    <w:semiHidden/>
    <w:qFormat/>
    <w:uiPriority w:val="0"/>
    <w:rPr>
      <w:rFonts w:ascii="Segoe UI" w:hAnsi="Segoe UI" w:eastAsia="Times New Roman" w:cs="Segoe UI"/>
      <w:sz w:val="18"/>
      <w:szCs w:val="18"/>
      <w:lang w:eastAsia="en-US"/>
    </w:rPr>
  </w:style>
  <w:style w:type="paragraph" w:customStyle="1" w:styleId="133">
    <w:name w:val="Bibliography1"/>
    <w:basedOn w:val="1"/>
    <w:next w:val="1"/>
    <w:semiHidden/>
    <w:unhideWhenUsed/>
    <w:qFormat/>
    <w:uiPriority w:val="37"/>
  </w:style>
  <w:style w:type="character" w:customStyle="1" w:styleId="134">
    <w:name w:val="正文文本 字符"/>
    <w:basedOn w:val="91"/>
    <w:link w:val="43"/>
    <w:qFormat/>
    <w:uiPriority w:val="0"/>
    <w:rPr>
      <w:rFonts w:eastAsia="Times New Roman"/>
      <w:lang w:eastAsia="en-US"/>
    </w:rPr>
  </w:style>
  <w:style w:type="character" w:customStyle="1" w:styleId="135">
    <w:name w:val="正文文本 2 字符"/>
    <w:basedOn w:val="91"/>
    <w:link w:val="77"/>
    <w:qFormat/>
    <w:uiPriority w:val="0"/>
    <w:rPr>
      <w:rFonts w:eastAsia="Times New Roman"/>
      <w:lang w:eastAsia="en-US"/>
    </w:rPr>
  </w:style>
  <w:style w:type="character" w:customStyle="1" w:styleId="136">
    <w:name w:val="正文文本 3 字符"/>
    <w:basedOn w:val="91"/>
    <w:link w:val="40"/>
    <w:qFormat/>
    <w:uiPriority w:val="0"/>
    <w:rPr>
      <w:rFonts w:eastAsia="Times New Roman"/>
      <w:sz w:val="16"/>
      <w:szCs w:val="16"/>
      <w:lang w:eastAsia="en-US"/>
    </w:rPr>
  </w:style>
  <w:style w:type="character" w:customStyle="1" w:styleId="137">
    <w:name w:val="正文文本首行缩进 字符"/>
    <w:basedOn w:val="134"/>
    <w:link w:val="87"/>
    <w:qFormat/>
    <w:uiPriority w:val="0"/>
    <w:rPr>
      <w:rFonts w:eastAsia="Times New Roman"/>
      <w:lang w:eastAsia="en-US"/>
    </w:rPr>
  </w:style>
  <w:style w:type="character" w:customStyle="1" w:styleId="138">
    <w:name w:val="正文文本缩进 字符"/>
    <w:basedOn w:val="91"/>
    <w:link w:val="44"/>
    <w:qFormat/>
    <w:uiPriority w:val="0"/>
    <w:rPr>
      <w:rFonts w:eastAsia="Times New Roman"/>
      <w:lang w:eastAsia="en-US"/>
    </w:rPr>
  </w:style>
  <w:style w:type="character" w:customStyle="1" w:styleId="139">
    <w:name w:val="正文文本首行缩进 2 字符"/>
    <w:basedOn w:val="138"/>
    <w:link w:val="88"/>
    <w:qFormat/>
    <w:uiPriority w:val="0"/>
    <w:rPr>
      <w:rFonts w:eastAsia="Times New Roman"/>
      <w:lang w:eastAsia="en-US"/>
    </w:rPr>
  </w:style>
  <w:style w:type="character" w:customStyle="1" w:styleId="140">
    <w:name w:val="正文文本缩进 2 字符"/>
    <w:basedOn w:val="91"/>
    <w:link w:val="57"/>
    <w:qFormat/>
    <w:uiPriority w:val="0"/>
    <w:rPr>
      <w:rFonts w:eastAsia="Times New Roman"/>
      <w:lang w:eastAsia="en-US"/>
    </w:rPr>
  </w:style>
  <w:style w:type="character" w:customStyle="1" w:styleId="141">
    <w:name w:val="正文文本缩进 3 字符"/>
    <w:basedOn w:val="91"/>
    <w:link w:val="72"/>
    <w:qFormat/>
    <w:uiPriority w:val="0"/>
    <w:rPr>
      <w:rFonts w:eastAsia="Times New Roman"/>
      <w:sz w:val="16"/>
      <w:szCs w:val="16"/>
      <w:lang w:eastAsia="en-US"/>
    </w:rPr>
  </w:style>
  <w:style w:type="character" w:customStyle="1" w:styleId="142">
    <w:name w:val="结束语 字符"/>
    <w:basedOn w:val="91"/>
    <w:link w:val="41"/>
    <w:qFormat/>
    <w:uiPriority w:val="0"/>
    <w:rPr>
      <w:rFonts w:eastAsia="Times New Roman"/>
      <w:lang w:eastAsia="en-US"/>
    </w:rPr>
  </w:style>
  <w:style w:type="character" w:customStyle="1" w:styleId="143">
    <w:name w:val="批注文字 字符"/>
    <w:basedOn w:val="91"/>
    <w:link w:val="37"/>
    <w:qFormat/>
    <w:uiPriority w:val="0"/>
    <w:rPr>
      <w:rFonts w:eastAsia="Times New Roman"/>
      <w:lang w:eastAsia="en-US"/>
    </w:rPr>
  </w:style>
  <w:style w:type="character" w:customStyle="1" w:styleId="144">
    <w:name w:val="批注主题 字符"/>
    <w:basedOn w:val="143"/>
    <w:link w:val="86"/>
    <w:qFormat/>
    <w:uiPriority w:val="0"/>
    <w:rPr>
      <w:rFonts w:eastAsia="Times New Roman"/>
      <w:b/>
      <w:bCs/>
      <w:lang w:eastAsia="en-US"/>
    </w:rPr>
  </w:style>
  <w:style w:type="character" w:customStyle="1" w:styleId="145">
    <w:name w:val="日期 字符"/>
    <w:basedOn w:val="91"/>
    <w:link w:val="56"/>
    <w:qFormat/>
    <w:uiPriority w:val="0"/>
    <w:rPr>
      <w:rFonts w:eastAsia="Times New Roman"/>
      <w:lang w:eastAsia="en-US"/>
    </w:rPr>
  </w:style>
  <w:style w:type="character" w:customStyle="1" w:styleId="146">
    <w:name w:val="文档结构图 字符"/>
    <w:basedOn w:val="91"/>
    <w:link w:val="35"/>
    <w:qFormat/>
    <w:uiPriority w:val="0"/>
    <w:rPr>
      <w:rFonts w:ascii="Segoe UI" w:hAnsi="Segoe UI" w:eastAsia="Times New Roman" w:cs="Segoe UI"/>
      <w:sz w:val="16"/>
      <w:szCs w:val="16"/>
      <w:lang w:eastAsia="en-US"/>
    </w:rPr>
  </w:style>
  <w:style w:type="character" w:customStyle="1" w:styleId="147">
    <w:name w:val="电子邮件签名 字符"/>
    <w:basedOn w:val="91"/>
    <w:link w:val="28"/>
    <w:qFormat/>
    <w:uiPriority w:val="0"/>
    <w:rPr>
      <w:rFonts w:eastAsia="Times New Roman"/>
      <w:lang w:eastAsia="en-US"/>
    </w:rPr>
  </w:style>
  <w:style w:type="character" w:customStyle="1" w:styleId="148">
    <w:name w:val="尾注文本 字符"/>
    <w:basedOn w:val="91"/>
    <w:link w:val="58"/>
    <w:qFormat/>
    <w:uiPriority w:val="0"/>
    <w:rPr>
      <w:rFonts w:eastAsia="Times New Roman"/>
      <w:lang w:eastAsia="en-US"/>
    </w:rPr>
  </w:style>
  <w:style w:type="character" w:customStyle="1" w:styleId="149">
    <w:name w:val="脚注文本 字符"/>
    <w:basedOn w:val="91"/>
    <w:link w:val="70"/>
    <w:qFormat/>
    <w:uiPriority w:val="0"/>
    <w:rPr>
      <w:rFonts w:eastAsia="Times New Roman"/>
      <w:lang w:eastAsia="en-US"/>
    </w:rPr>
  </w:style>
  <w:style w:type="character" w:customStyle="1" w:styleId="150">
    <w:name w:val="HTML 地址 字符"/>
    <w:basedOn w:val="91"/>
    <w:link w:val="49"/>
    <w:qFormat/>
    <w:uiPriority w:val="0"/>
    <w:rPr>
      <w:rFonts w:eastAsia="Times New Roman"/>
      <w:i/>
      <w:iCs/>
      <w:lang w:eastAsia="en-US"/>
    </w:rPr>
  </w:style>
  <w:style w:type="character" w:customStyle="1" w:styleId="151">
    <w:name w:val="HTML 预设格式 字符"/>
    <w:basedOn w:val="91"/>
    <w:link w:val="81"/>
    <w:qFormat/>
    <w:uiPriority w:val="0"/>
    <w:rPr>
      <w:rFonts w:ascii="Consolas" w:hAnsi="Consolas" w:eastAsia="Times New Roman"/>
      <w:lang w:eastAsia="en-US"/>
    </w:rPr>
  </w:style>
  <w:style w:type="paragraph" w:styleId="152">
    <w:name w:val="Intense Quote"/>
    <w:basedOn w:val="1"/>
    <w:next w:val="1"/>
    <w:link w:val="153"/>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3">
    <w:name w:val="明显引用 字符"/>
    <w:basedOn w:val="91"/>
    <w:link w:val="152"/>
    <w:qFormat/>
    <w:uiPriority w:val="30"/>
    <w:rPr>
      <w:rFonts w:eastAsia="Times New Roman"/>
      <w:i/>
      <w:iCs/>
      <w:color w:val="4472C4" w:themeColor="accent1"/>
      <w:lang w:eastAsia="en-US"/>
      <w14:textFill>
        <w14:solidFill>
          <w14:schemeClr w14:val="accent1"/>
        </w14:solidFill>
      </w14:textFill>
    </w:rPr>
  </w:style>
  <w:style w:type="paragraph" w:styleId="154">
    <w:name w:val="List Paragraph"/>
    <w:basedOn w:val="1"/>
    <w:qFormat/>
    <w:uiPriority w:val="34"/>
    <w:pPr>
      <w:ind w:left="720"/>
      <w:contextualSpacing/>
    </w:pPr>
  </w:style>
  <w:style w:type="character" w:customStyle="1" w:styleId="155">
    <w:name w:val="宏文本 字符"/>
    <w:basedOn w:val="91"/>
    <w:link w:val="2"/>
    <w:qFormat/>
    <w:uiPriority w:val="0"/>
    <w:rPr>
      <w:rFonts w:ascii="Consolas" w:hAnsi="Consolas" w:eastAsia="Times New Roman"/>
      <w:lang w:eastAsia="en-US"/>
    </w:rPr>
  </w:style>
  <w:style w:type="character" w:customStyle="1" w:styleId="156">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7">
    <w:name w:val="No Spacing"/>
    <w:qFormat/>
    <w:uiPriority w:val="1"/>
    <w:rPr>
      <w:rFonts w:ascii="Times New Roman" w:hAnsi="Times New Roman" w:eastAsia="Times New Roman" w:cs="Times New Roman"/>
      <w:lang w:val="en-GB" w:eastAsia="en-US" w:bidi="ar-SA"/>
    </w:rPr>
  </w:style>
  <w:style w:type="character" w:customStyle="1" w:styleId="158">
    <w:name w:val="注释标题 字符"/>
    <w:basedOn w:val="91"/>
    <w:link w:val="25"/>
    <w:qFormat/>
    <w:uiPriority w:val="0"/>
    <w:rPr>
      <w:rFonts w:eastAsia="Times New Roman"/>
      <w:lang w:eastAsia="en-US"/>
    </w:rPr>
  </w:style>
  <w:style w:type="character" w:customStyle="1" w:styleId="159">
    <w:name w:val="纯文本 字符"/>
    <w:basedOn w:val="91"/>
    <w:link w:val="51"/>
    <w:qFormat/>
    <w:uiPriority w:val="0"/>
    <w:rPr>
      <w:rFonts w:ascii="Consolas" w:hAnsi="Consolas" w:eastAsia="Times New Roman"/>
      <w:sz w:val="21"/>
      <w:szCs w:val="21"/>
      <w:lang w:eastAsia="en-US"/>
    </w:rPr>
  </w:style>
  <w:style w:type="paragraph" w:styleId="160">
    <w:name w:val="Quote"/>
    <w:basedOn w:val="1"/>
    <w:next w:val="1"/>
    <w:link w:val="161"/>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1">
    <w:name w:val="引用 字符"/>
    <w:basedOn w:val="91"/>
    <w:link w:val="160"/>
    <w:qFormat/>
    <w:uiPriority w:val="29"/>
    <w:rPr>
      <w:rFonts w:eastAsia="Times New Roman"/>
      <w:i/>
      <w:iCs/>
      <w:color w:val="404040" w:themeColor="text1" w:themeTint="BF"/>
      <w:lang w:eastAsia="en-US"/>
      <w14:textFill>
        <w14:solidFill>
          <w14:schemeClr w14:val="tx1">
            <w14:lumMod w14:val="75000"/>
            <w14:lumOff w14:val="25000"/>
          </w14:schemeClr>
        </w14:solidFill>
      </w14:textFill>
    </w:rPr>
  </w:style>
  <w:style w:type="character" w:customStyle="1" w:styleId="162">
    <w:name w:val="称呼 字符"/>
    <w:basedOn w:val="91"/>
    <w:link w:val="39"/>
    <w:qFormat/>
    <w:uiPriority w:val="0"/>
    <w:rPr>
      <w:rFonts w:eastAsia="Times New Roman"/>
      <w:lang w:eastAsia="en-US"/>
    </w:rPr>
  </w:style>
  <w:style w:type="character" w:customStyle="1" w:styleId="163">
    <w:name w:val="签名 字符"/>
    <w:basedOn w:val="91"/>
    <w:link w:val="64"/>
    <w:qFormat/>
    <w:uiPriority w:val="0"/>
    <w:rPr>
      <w:rFonts w:eastAsia="Times New Roman"/>
      <w:lang w:eastAsia="en-US"/>
    </w:rPr>
  </w:style>
  <w:style w:type="character" w:customStyle="1" w:styleId="164">
    <w:name w:val="副标题 字符"/>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5">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6">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7">
    <w:name w:val="B1 Zchn"/>
    <w:link w:val="111"/>
    <w:qFormat/>
    <w:locked/>
    <w:uiPriority w:val="0"/>
    <w:rPr>
      <w:rFonts w:eastAsia="Times New Roman"/>
      <w:lang w:eastAsia="en-US"/>
    </w:rPr>
  </w:style>
  <w:style w:type="character" w:customStyle="1" w:styleId="168">
    <w:name w:val="EX Char"/>
    <w:link w:val="107"/>
    <w:qFormat/>
    <w:locked/>
    <w:uiPriority w:val="0"/>
    <w:rPr>
      <w:rFonts w:eastAsia="Times New Roman"/>
      <w:lang w:eastAsia="en-US"/>
    </w:rPr>
  </w:style>
  <w:style w:type="paragraph" w:customStyle="1" w:styleId="169">
    <w:name w:val="Revision1"/>
    <w:hidden/>
    <w:semiHidden/>
    <w:qFormat/>
    <w:uiPriority w:val="99"/>
    <w:rPr>
      <w:rFonts w:ascii="Times New Roman" w:hAnsi="Times New Roman" w:eastAsia="Times New Roman" w:cs="Times New Roman"/>
      <w:lang w:val="en-GB" w:eastAsia="en-US" w:bidi="ar-SA"/>
    </w:rPr>
  </w:style>
  <w:style w:type="character" w:customStyle="1" w:styleId="170">
    <w:name w:val="B2 Char"/>
    <w:link w:val="122"/>
    <w:qFormat/>
    <w:uiPriority w:val="0"/>
    <w:rPr>
      <w:rFonts w:eastAsia="Times New Roman"/>
      <w:lang w:eastAsia="en-US"/>
    </w:rPr>
  </w:style>
  <w:style w:type="character" w:customStyle="1" w:styleId="171">
    <w:name w:val="TAC Car"/>
    <w:link w:val="105"/>
    <w:qFormat/>
    <w:locked/>
    <w:uiPriority w:val="0"/>
    <w:rPr>
      <w:rFonts w:ascii="Arial" w:hAnsi="Arial" w:eastAsia="Times New Roman"/>
      <w:sz w:val="18"/>
      <w:lang w:eastAsia="en-US"/>
    </w:rPr>
  </w:style>
  <w:style w:type="character" w:customStyle="1" w:styleId="172">
    <w:name w:val="TAH Car"/>
    <w:link w:val="104"/>
    <w:qFormat/>
    <w:locked/>
    <w:uiPriority w:val="0"/>
    <w:rPr>
      <w:rFonts w:ascii="Arial" w:hAnsi="Arial" w:eastAsia="Times New Roman"/>
      <w:b/>
      <w:sz w:val="18"/>
      <w:lang w:eastAsia="en-US"/>
    </w:rPr>
  </w:style>
  <w:style w:type="character" w:customStyle="1" w:styleId="173">
    <w:name w:val="TAN Char"/>
    <w:link w:val="118"/>
    <w:qFormat/>
    <w:uiPriority w:val="0"/>
    <w:rPr>
      <w:rFonts w:ascii="Arial" w:hAnsi="Arial" w:eastAsia="Times New Roman"/>
      <w:sz w:val="18"/>
      <w:lang w:eastAsia="en-US"/>
    </w:rPr>
  </w:style>
  <w:style w:type="character" w:customStyle="1" w:styleId="174">
    <w:name w:val="NO Char"/>
    <w:link w:val="100"/>
    <w:qFormat/>
    <w:locked/>
    <w:uiPriority w:val="0"/>
    <w:rPr>
      <w:rFonts w:eastAsia="Times New Roman"/>
      <w:lang w:eastAsia="en-US"/>
    </w:rPr>
  </w:style>
  <w:style w:type="character" w:customStyle="1" w:styleId="175">
    <w:name w:val="EQ Char"/>
    <w:link w:val="95"/>
    <w:qFormat/>
    <w:locked/>
    <w:uiPriority w:val="0"/>
    <w:rPr>
      <w:rFonts w:eastAsia="Times New Roman"/>
      <w:lang w:eastAsia="en-US"/>
    </w:rPr>
  </w:style>
  <w:style w:type="character" w:customStyle="1" w:styleId="176">
    <w:name w:val="B1 Char"/>
    <w:qFormat/>
    <w:locked/>
    <w:uiPriority w:val="0"/>
    <w:rPr>
      <w:rFonts w:ascii="Times New Roman" w:hAnsi="Times New Roman"/>
      <w:lang w:val="en-GB" w:eastAsia="en-US"/>
    </w:rPr>
  </w:style>
  <w:style w:type="character" w:customStyle="1" w:styleId="177">
    <w:name w:val="Editor's Note Car Car"/>
    <w:link w:val="112"/>
    <w:qFormat/>
    <w:uiPriority w:val="0"/>
    <w:rPr>
      <w:rFonts w:eastAsia="Times New Roman"/>
      <w:color w:val="FF0000"/>
      <w:lang w:eastAsia="en-US"/>
    </w:rPr>
  </w:style>
  <w:style w:type="character" w:customStyle="1" w:styleId="178">
    <w:name w:val="H6 Char"/>
    <w:link w:val="9"/>
    <w:qFormat/>
    <w:uiPriority w:val="0"/>
    <w:rPr>
      <w:rFonts w:ascii="Arial" w:hAnsi="Arial" w:eastAsia="Times New Roman"/>
      <w:lang w:eastAsia="en-US"/>
    </w:rPr>
  </w:style>
  <w:style w:type="character" w:customStyle="1" w:styleId="179">
    <w:name w:val="TAC Char"/>
    <w:qFormat/>
    <w:uiPriority w:val="0"/>
    <w:rPr>
      <w:rFonts w:ascii="Arial" w:hAnsi="Arial"/>
      <w:sz w:val="18"/>
      <w:lang w:val="en-GB" w:eastAsia="en-US"/>
    </w:rPr>
  </w:style>
  <w:style w:type="character" w:customStyle="1" w:styleId="180">
    <w:name w:val="标题 1 字符"/>
    <w:basedOn w:val="91"/>
    <w:link w:val="3"/>
    <w:qFormat/>
    <w:uiPriority w:val="0"/>
    <w:rPr>
      <w:rFonts w:ascii="Arial" w:hAnsi="Arial" w:eastAsia="Times New Roman"/>
      <w:sz w:val="36"/>
      <w:lang w:eastAsia="en-US"/>
    </w:rPr>
  </w:style>
  <w:style w:type="character" w:customStyle="1" w:styleId="181">
    <w:name w:val="标题 2 字符"/>
    <w:basedOn w:val="91"/>
    <w:link w:val="4"/>
    <w:qFormat/>
    <w:uiPriority w:val="0"/>
    <w:rPr>
      <w:rFonts w:ascii="Arial" w:hAnsi="Arial" w:eastAsia="Times New Roman"/>
      <w:sz w:val="32"/>
      <w:lang w:eastAsia="en-US"/>
    </w:rPr>
  </w:style>
  <w:style w:type="character" w:customStyle="1" w:styleId="182">
    <w:name w:val="标题 3 字符"/>
    <w:basedOn w:val="91"/>
    <w:link w:val="5"/>
    <w:qFormat/>
    <w:uiPriority w:val="0"/>
    <w:rPr>
      <w:rFonts w:ascii="Arial" w:hAnsi="Arial" w:eastAsia="Times New Roman"/>
      <w:sz w:val="28"/>
      <w:lang w:eastAsia="en-US"/>
    </w:rPr>
  </w:style>
  <w:style w:type="character" w:customStyle="1" w:styleId="183">
    <w:name w:val="TAL Car"/>
    <w:link w:val="103"/>
    <w:qFormat/>
    <w:uiPriority w:val="0"/>
    <w:rPr>
      <w:rFonts w:ascii="Arial" w:hAnsi="Arial" w:eastAsia="Times New Roman"/>
      <w:sz w:val="18"/>
      <w:lang w:eastAsia="en-US"/>
    </w:rPr>
  </w:style>
  <w:style w:type="paragraph" w:customStyle="1" w:styleId="184">
    <w:name w:val="FT"/>
    <w:basedOn w:val="1"/>
    <w:qFormat/>
    <w:uiPriority w:val="0"/>
    <w:pPr>
      <w:overflowPunct w:val="0"/>
      <w:autoSpaceDE w:val="0"/>
      <w:autoSpaceDN w:val="0"/>
      <w:adjustRightInd w:val="0"/>
      <w:spacing w:line="259" w:lineRule="auto"/>
      <w:textAlignment w:val="baseline"/>
    </w:pPr>
    <w:rPr>
      <w:rFonts w:ascii="Arial" w:hAnsi="Arial" w:cs="Arial" w:eastAsiaTheme="minorEastAsia"/>
      <w:b/>
      <w:lang w:eastAsia="ko-KR"/>
    </w:rPr>
  </w:style>
  <w:style w:type="paragraph" w:customStyle="1" w:styleId="185">
    <w:name w:val="TableText"/>
    <w:basedOn w:val="77"/>
    <w:qFormat/>
    <w:uiPriority w:val="0"/>
    <w:pPr>
      <w:keepNext/>
      <w:keepLines/>
      <w:overflowPunct w:val="0"/>
      <w:autoSpaceDE w:val="0"/>
      <w:autoSpaceDN w:val="0"/>
      <w:adjustRightInd w:val="0"/>
      <w:spacing w:after="180"/>
      <w:jc w:val="center"/>
      <w:textAlignment w:val="baseline"/>
    </w:pPr>
    <w:rPr>
      <w:rFonts w:eastAsia="Malgun Gothic"/>
      <w:snapToGrid w:val="0"/>
      <w:kern w:val="2"/>
    </w:rPr>
  </w:style>
  <w:style w:type="paragraph" w:customStyle="1" w:styleId="186">
    <w:name w:val="Revision2"/>
    <w:hidden/>
    <w:semiHidden/>
    <w:qFormat/>
    <w:uiPriority w:val="99"/>
    <w:rPr>
      <w:rFonts w:ascii="Times New Roman" w:hAnsi="Times New Roman" w:eastAsia="Times New Roman" w:cs="Times New Roman"/>
      <w:lang w:val="en-GB" w:eastAsia="en-US" w:bidi="ar-SA"/>
    </w:rPr>
  </w:style>
  <w:style w:type="paragraph" w:customStyle="1" w:styleId="187">
    <w:name w:val="Bibliography2"/>
    <w:basedOn w:val="1"/>
    <w:next w:val="1"/>
    <w:semiHidden/>
    <w:unhideWhenUsed/>
    <w:qFormat/>
    <w:uiPriority w:val="37"/>
  </w:style>
  <w:style w:type="paragraph" w:customStyle="1" w:styleId="188">
    <w:name w:val="TOC Heading2"/>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89">
    <w:name w:val="Normal1"/>
    <w:qFormat/>
    <w:uiPriority w:val="0"/>
    <w:pPr>
      <w:jc w:val="both"/>
    </w:pPr>
    <w:rPr>
      <w:rFonts w:ascii="Calibri" w:hAnsi="Calibri" w:eastAsia="宋体" w:cs="Calibri"/>
      <w:kern w:val="2"/>
      <w:sz w:val="21"/>
      <w:szCs w:val="21"/>
      <w:lang w:val="en-US" w:eastAsia="zh-CN" w:bidi="ar-SA"/>
    </w:rPr>
  </w:style>
  <w:style w:type="paragraph" w:customStyle="1" w:styleId="190">
    <w:name w:val="Revision3"/>
    <w:hidden/>
    <w:semiHidden/>
    <w:qFormat/>
    <w:uiPriority w:val="99"/>
    <w:rPr>
      <w:rFonts w:ascii="Times New Roman" w:hAnsi="Times New Roman" w:eastAsia="Times New Roman" w:cs="Times New Roman"/>
      <w:lang w:val="en-GB" w:eastAsia="en-US" w:bidi="ar-SA"/>
    </w:rPr>
  </w:style>
  <w:style w:type="paragraph" w:customStyle="1" w:styleId="191">
    <w:name w:val="修订1"/>
    <w:hidden/>
    <w:semiHidden/>
    <w:qFormat/>
    <w:uiPriority w:val="99"/>
    <w:rPr>
      <w:rFonts w:ascii="Times New Roman" w:hAnsi="Times New Roman" w:eastAsia="Times New Roman" w:cs="Times New Roman"/>
      <w:lang w:val="en-GB" w:eastAsia="en-US" w:bidi="ar-SA"/>
    </w:rPr>
  </w:style>
  <w:style w:type="character" w:customStyle="1" w:styleId="192">
    <w:name w:val="normaltextrun"/>
    <w:basedOn w:val="91"/>
    <w:qFormat/>
    <w:uiPriority w:val="0"/>
  </w:style>
  <w:style w:type="paragraph" w:customStyle="1" w:styleId="193">
    <w:name w:val="修订2"/>
    <w:hidden/>
    <w:semiHidden/>
    <w:qFormat/>
    <w:uiPriority w:val="99"/>
    <w:rPr>
      <w:rFonts w:ascii="Times New Roman" w:hAnsi="Times New Roman" w:eastAsia="Times New Roman" w:cs="Times New Roman"/>
      <w:lang w:val="en-GB" w:eastAsia="en-US" w:bidi="ar-SA"/>
    </w:rPr>
  </w:style>
  <w:style w:type="character" w:customStyle="1" w:styleId="194">
    <w:name w:val="TAL (文字)"/>
    <w:qFormat/>
    <w:uiPriority w:val="0"/>
    <w:rPr>
      <w:rFonts w:ascii="Arial" w:hAnsi="Arial" w:eastAsia="宋体"/>
      <w:sz w:val="18"/>
      <w:lang w:val="en-GB"/>
    </w:rPr>
  </w:style>
  <w:style w:type="character" w:customStyle="1" w:styleId="195">
    <w:name w:val="TF Char"/>
    <w:link w:val="120"/>
    <w:qFormat/>
    <w:uiPriority w:val="0"/>
    <w:rPr>
      <w:rFonts w:ascii="Arial" w:hAnsi="Arial" w:eastAsia="Times New Roman"/>
      <w:b/>
      <w:lang w:val="en-GB" w:eastAsia="en-US"/>
    </w:rPr>
  </w:style>
  <w:style w:type="paragraph" w:customStyle="1" w:styleId="196">
    <w:name w:val="Separation"/>
    <w:basedOn w:val="3"/>
    <w:next w:val="1"/>
    <w:qFormat/>
    <w:uiPriority w:val="0"/>
    <w:pPr>
      <w:pBdr>
        <w:top w:val="none" w:color="auto" w:sz="0" w:space="0"/>
      </w:pBdr>
      <w:overflowPunct w:val="0"/>
      <w:autoSpaceDE w:val="0"/>
      <w:autoSpaceDN w:val="0"/>
      <w:adjustRightInd w:val="0"/>
      <w:textAlignment w:val="baseline"/>
    </w:pPr>
    <w:rPr>
      <w:b/>
      <w:color w:val="0000FF"/>
      <w:lang w:eastAsia="zh-CN"/>
    </w:rPr>
  </w:style>
  <w:style w:type="character" w:customStyle="1" w:styleId="197">
    <w:name w:val="标题 4 字符"/>
    <w:basedOn w:val="91"/>
    <w:link w:val="6"/>
    <w:qFormat/>
    <w:uiPriority w:val="0"/>
    <w:rPr>
      <w:rFonts w:ascii="Arial" w:hAnsi="Arial" w:eastAsia="Times New Roman"/>
      <w:sz w:val="24"/>
      <w:lang w:val="en-GB" w:eastAsia="en-US"/>
    </w:rPr>
  </w:style>
  <w:style w:type="paragraph" w:customStyle="1" w:styleId="198">
    <w:name w:val="修订3"/>
    <w:hidden/>
    <w:semiHidden/>
    <w:qFormat/>
    <w:uiPriority w:val="99"/>
    <w:rPr>
      <w:rFonts w:ascii="Times New Roman" w:hAnsi="Times New Roman" w:eastAsia="Times New Roman" w:cs="Times New Roman"/>
      <w:lang w:val="en-GB" w:eastAsia="en-US" w:bidi="ar-SA"/>
    </w:rPr>
  </w:style>
  <w:style w:type="paragraph" w:customStyle="1" w:styleId="199">
    <w:name w:val="Revision"/>
    <w:hidden/>
    <w:unhideWhenUsed/>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oleObject" Target="embeddings/oleObject52.bin"/><Relationship Id="rId98" Type="http://schemas.openxmlformats.org/officeDocument/2006/relationships/oleObject" Target="embeddings/oleObject51.bin"/><Relationship Id="rId97" Type="http://schemas.openxmlformats.org/officeDocument/2006/relationships/oleObject" Target="embeddings/oleObject50.bin"/><Relationship Id="rId96" Type="http://schemas.openxmlformats.org/officeDocument/2006/relationships/oleObject" Target="embeddings/oleObject49.bin"/><Relationship Id="rId95" Type="http://schemas.openxmlformats.org/officeDocument/2006/relationships/oleObject" Target="embeddings/oleObject48.bin"/><Relationship Id="rId94" Type="http://schemas.openxmlformats.org/officeDocument/2006/relationships/oleObject" Target="embeddings/oleObject47.bin"/><Relationship Id="rId93" Type="http://schemas.openxmlformats.org/officeDocument/2006/relationships/oleObject" Target="embeddings/oleObject46.bin"/><Relationship Id="rId92" Type="http://schemas.openxmlformats.org/officeDocument/2006/relationships/oleObject" Target="embeddings/oleObject45.bin"/><Relationship Id="rId91" Type="http://schemas.openxmlformats.org/officeDocument/2006/relationships/image" Target="media/image35.wmf"/><Relationship Id="rId90" Type="http://schemas.openxmlformats.org/officeDocument/2006/relationships/oleObject" Target="embeddings/oleObject44.bin"/><Relationship Id="rId9" Type="http://schemas.openxmlformats.org/officeDocument/2006/relationships/footer" Target="footer3.xml"/><Relationship Id="rId89" Type="http://schemas.openxmlformats.org/officeDocument/2006/relationships/image" Target="media/image34.wmf"/><Relationship Id="rId88" Type="http://schemas.openxmlformats.org/officeDocument/2006/relationships/oleObject" Target="embeddings/oleObject43.bin"/><Relationship Id="rId87" Type="http://schemas.openxmlformats.org/officeDocument/2006/relationships/image" Target="media/image33.wmf"/><Relationship Id="rId86" Type="http://schemas.openxmlformats.org/officeDocument/2006/relationships/oleObject" Target="embeddings/oleObject42.bin"/><Relationship Id="rId85" Type="http://schemas.openxmlformats.org/officeDocument/2006/relationships/image" Target="media/image32.wmf"/><Relationship Id="rId84" Type="http://schemas.openxmlformats.org/officeDocument/2006/relationships/oleObject" Target="embeddings/oleObject41.bin"/><Relationship Id="rId83" Type="http://schemas.openxmlformats.org/officeDocument/2006/relationships/image" Target="media/image31.wmf"/><Relationship Id="rId82" Type="http://schemas.openxmlformats.org/officeDocument/2006/relationships/oleObject" Target="embeddings/oleObject40.bin"/><Relationship Id="rId81" Type="http://schemas.openxmlformats.org/officeDocument/2006/relationships/image" Target="media/image30.wmf"/><Relationship Id="rId80" Type="http://schemas.openxmlformats.org/officeDocument/2006/relationships/oleObject" Target="embeddings/oleObject39.bin"/><Relationship Id="rId8" Type="http://schemas.openxmlformats.org/officeDocument/2006/relationships/footer" Target="footer2.xml"/><Relationship Id="rId79" Type="http://schemas.openxmlformats.org/officeDocument/2006/relationships/image" Target="media/image29.wmf"/><Relationship Id="rId78" Type="http://schemas.openxmlformats.org/officeDocument/2006/relationships/oleObject" Target="embeddings/oleObject38.bin"/><Relationship Id="rId77" Type="http://schemas.openxmlformats.org/officeDocument/2006/relationships/image" Target="media/image28.wmf"/><Relationship Id="rId76" Type="http://schemas.openxmlformats.org/officeDocument/2006/relationships/oleObject" Target="embeddings/oleObject37.bin"/><Relationship Id="rId75" Type="http://schemas.openxmlformats.org/officeDocument/2006/relationships/image" Target="media/image27.wmf"/><Relationship Id="rId74" Type="http://schemas.openxmlformats.org/officeDocument/2006/relationships/oleObject" Target="embeddings/oleObject36.bin"/><Relationship Id="rId73" Type="http://schemas.openxmlformats.org/officeDocument/2006/relationships/oleObject" Target="embeddings/oleObject35.bin"/><Relationship Id="rId72" Type="http://schemas.openxmlformats.org/officeDocument/2006/relationships/oleObject" Target="embeddings/oleObject34.bin"/><Relationship Id="rId71" Type="http://schemas.openxmlformats.org/officeDocument/2006/relationships/oleObject" Target="embeddings/oleObject33.bin"/><Relationship Id="rId70" Type="http://schemas.openxmlformats.org/officeDocument/2006/relationships/image" Target="media/image26.emf"/><Relationship Id="rId7" Type="http://schemas.openxmlformats.org/officeDocument/2006/relationships/footer" Target="footer1.xml"/><Relationship Id="rId69" Type="http://schemas.openxmlformats.org/officeDocument/2006/relationships/oleObject" Target="embeddings/oleObject32.bin"/><Relationship Id="rId68" Type="http://schemas.openxmlformats.org/officeDocument/2006/relationships/oleObject" Target="embeddings/oleObject31.bin"/><Relationship Id="rId67" Type="http://schemas.openxmlformats.org/officeDocument/2006/relationships/oleObject" Target="embeddings/oleObject30.bin"/><Relationship Id="rId66" Type="http://schemas.openxmlformats.org/officeDocument/2006/relationships/oleObject" Target="embeddings/oleObject29.bin"/><Relationship Id="rId65" Type="http://schemas.openxmlformats.org/officeDocument/2006/relationships/oleObject" Target="embeddings/oleObject28.bin"/><Relationship Id="rId64" Type="http://schemas.openxmlformats.org/officeDocument/2006/relationships/oleObject" Target="embeddings/oleObject27.bin"/><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oleObject" Target="embeddings/oleObject24.bin"/><Relationship Id="rId60" Type="http://schemas.openxmlformats.org/officeDocument/2006/relationships/oleObject" Target="embeddings/oleObject23.bin"/><Relationship Id="rId6" Type="http://schemas.openxmlformats.org/officeDocument/2006/relationships/header" Target="header3.xml"/><Relationship Id="rId59" Type="http://schemas.openxmlformats.org/officeDocument/2006/relationships/oleObject" Target="embeddings/oleObject22.bin"/><Relationship Id="rId58" Type="http://schemas.openxmlformats.org/officeDocument/2006/relationships/image" Target="media/image25.wmf"/><Relationship Id="rId57" Type="http://schemas.openxmlformats.org/officeDocument/2006/relationships/oleObject" Target="embeddings/oleObject21.bin"/><Relationship Id="rId56" Type="http://schemas.openxmlformats.org/officeDocument/2006/relationships/image" Target="media/image24.wmf"/><Relationship Id="rId55" Type="http://schemas.openxmlformats.org/officeDocument/2006/relationships/oleObject" Target="embeddings/oleObject20.bin"/><Relationship Id="rId54" Type="http://schemas.openxmlformats.org/officeDocument/2006/relationships/image" Target="media/image23.wmf"/><Relationship Id="rId53" Type="http://schemas.openxmlformats.org/officeDocument/2006/relationships/oleObject" Target="embeddings/oleObject19.bin"/><Relationship Id="rId52" Type="http://schemas.openxmlformats.org/officeDocument/2006/relationships/image" Target="media/image22.wmf"/><Relationship Id="rId51" Type="http://schemas.openxmlformats.org/officeDocument/2006/relationships/oleObject" Target="embeddings/oleObject18.bin"/><Relationship Id="rId50" Type="http://schemas.openxmlformats.org/officeDocument/2006/relationships/image" Target="media/image21.wmf"/><Relationship Id="rId5" Type="http://schemas.openxmlformats.org/officeDocument/2006/relationships/header" Target="header2.xml"/><Relationship Id="rId49" Type="http://schemas.openxmlformats.org/officeDocument/2006/relationships/oleObject" Target="embeddings/oleObject17.bin"/><Relationship Id="rId48" Type="http://schemas.openxmlformats.org/officeDocument/2006/relationships/image" Target="media/image20.wmf"/><Relationship Id="rId47" Type="http://schemas.openxmlformats.org/officeDocument/2006/relationships/oleObject" Target="embeddings/oleObject16.bin"/><Relationship Id="rId46" Type="http://schemas.openxmlformats.org/officeDocument/2006/relationships/image" Target="media/image19.wmf"/><Relationship Id="rId45" Type="http://schemas.openxmlformats.org/officeDocument/2006/relationships/oleObject" Target="embeddings/oleObject15.bin"/><Relationship Id="rId44" Type="http://schemas.openxmlformats.org/officeDocument/2006/relationships/image" Target="media/image18.wmf"/><Relationship Id="rId43" Type="http://schemas.openxmlformats.org/officeDocument/2006/relationships/oleObject" Target="embeddings/oleObject14.bin"/><Relationship Id="rId42" Type="http://schemas.openxmlformats.org/officeDocument/2006/relationships/image" Target="media/image17.wmf"/><Relationship Id="rId41" Type="http://schemas.openxmlformats.org/officeDocument/2006/relationships/oleObject" Target="embeddings/oleObject13.bin"/><Relationship Id="rId40" Type="http://schemas.openxmlformats.org/officeDocument/2006/relationships/image" Target="media/image16.wmf"/><Relationship Id="rId4" Type="http://schemas.openxmlformats.org/officeDocument/2006/relationships/header" Target="header1.xml"/><Relationship Id="rId39" Type="http://schemas.openxmlformats.org/officeDocument/2006/relationships/oleObject" Target="embeddings/oleObject12.bin"/><Relationship Id="rId38" Type="http://schemas.openxmlformats.org/officeDocument/2006/relationships/oleObject" Target="embeddings/oleObject11.bin"/><Relationship Id="rId375" Type="http://schemas.openxmlformats.org/officeDocument/2006/relationships/fontTable" Target="fontTable.xml"/><Relationship Id="rId374" Type="http://schemas.microsoft.com/office/2006/relationships/keyMapCustomizations" Target="customizations.xml"/><Relationship Id="rId373" Type="http://schemas.openxmlformats.org/officeDocument/2006/relationships/customXml" Target="../customXml/item2.xml"/><Relationship Id="rId372" Type="http://schemas.openxmlformats.org/officeDocument/2006/relationships/numbering" Target="numbering.xml"/><Relationship Id="rId371" Type="http://schemas.openxmlformats.org/officeDocument/2006/relationships/customXml" Target="../customXml/item1.xml"/><Relationship Id="rId370" Type="http://schemas.openxmlformats.org/officeDocument/2006/relationships/image" Target="media/image135.wmf"/><Relationship Id="rId37" Type="http://schemas.openxmlformats.org/officeDocument/2006/relationships/oleObject" Target="embeddings/oleObject10.bin"/><Relationship Id="rId369" Type="http://schemas.openxmlformats.org/officeDocument/2006/relationships/oleObject" Target="embeddings/oleObject219.bin"/><Relationship Id="rId368" Type="http://schemas.openxmlformats.org/officeDocument/2006/relationships/image" Target="media/image134.emf"/><Relationship Id="rId367" Type="http://schemas.openxmlformats.org/officeDocument/2006/relationships/oleObject" Target="embeddings/Document4.doc"/><Relationship Id="rId366" Type="http://schemas.openxmlformats.org/officeDocument/2006/relationships/image" Target="media/image133.emf"/><Relationship Id="rId365" Type="http://schemas.openxmlformats.org/officeDocument/2006/relationships/oleObject" Target="embeddings/Document3.doc"/><Relationship Id="rId364" Type="http://schemas.openxmlformats.org/officeDocument/2006/relationships/image" Target="media/image132.wmf"/><Relationship Id="rId363" Type="http://schemas.openxmlformats.org/officeDocument/2006/relationships/oleObject" Target="embeddings/oleObject218.bin"/><Relationship Id="rId362" Type="http://schemas.openxmlformats.org/officeDocument/2006/relationships/image" Target="media/image131.wmf"/><Relationship Id="rId361" Type="http://schemas.openxmlformats.org/officeDocument/2006/relationships/oleObject" Target="embeddings/oleObject217.bin"/><Relationship Id="rId360" Type="http://schemas.openxmlformats.org/officeDocument/2006/relationships/image" Target="media/image130.wmf"/><Relationship Id="rId36" Type="http://schemas.openxmlformats.org/officeDocument/2006/relationships/image" Target="media/image15.wmf"/><Relationship Id="rId359" Type="http://schemas.openxmlformats.org/officeDocument/2006/relationships/oleObject" Target="embeddings/oleObject216.bin"/><Relationship Id="rId358" Type="http://schemas.openxmlformats.org/officeDocument/2006/relationships/oleObject" Target="embeddings/oleObject215.bin"/><Relationship Id="rId357" Type="http://schemas.openxmlformats.org/officeDocument/2006/relationships/oleObject" Target="embeddings/oleObject214.bin"/><Relationship Id="rId356" Type="http://schemas.openxmlformats.org/officeDocument/2006/relationships/image" Target="media/image129.wmf"/><Relationship Id="rId355" Type="http://schemas.openxmlformats.org/officeDocument/2006/relationships/oleObject" Target="embeddings/oleObject213.bin"/><Relationship Id="rId354" Type="http://schemas.openxmlformats.org/officeDocument/2006/relationships/image" Target="media/image128.wmf"/><Relationship Id="rId353" Type="http://schemas.openxmlformats.org/officeDocument/2006/relationships/oleObject" Target="embeddings/oleObject212.bin"/><Relationship Id="rId352" Type="http://schemas.openxmlformats.org/officeDocument/2006/relationships/image" Target="media/image127.wmf"/><Relationship Id="rId351" Type="http://schemas.openxmlformats.org/officeDocument/2006/relationships/oleObject" Target="embeddings/oleObject211.bin"/><Relationship Id="rId350" Type="http://schemas.openxmlformats.org/officeDocument/2006/relationships/oleObject" Target="embeddings/oleObject210.bin"/><Relationship Id="rId35" Type="http://schemas.openxmlformats.org/officeDocument/2006/relationships/oleObject" Target="embeddings/oleObject9.bin"/><Relationship Id="rId349" Type="http://schemas.openxmlformats.org/officeDocument/2006/relationships/oleObject" Target="embeddings/oleObject209.bin"/><Relationship Id="rId348" Type="http://schemas.openxmlformats.org/officeDocument/2006/relationships/image" Target="media/image126.wmf"/><Relationship Id="rId347" Type="http://schemas.openxmlformats.org/officeDocument/2006/relationships/oleObject" Target="embeddings/oleObject208.bin"/><Relationship Id="rId346" Type="http://schemas.openxmlformats.org/officeDocument/2006/relationships/oleObject" Target="embeddings/oleObject207.bin"/><Relationship Id="rId345" Type="http://schemas.openxmlformats.org/officeDocument/2006/relationships/oleObject" Target="embeddings/oleObject206.bin"/><Relationship Id="rId344" Type="http://schemas.openxmlformats.org/officeDocument/2006/relationships/image" Target="media/image125.wmf"/><Relationship Id="rId343" Type="http://schemas.openxmlformats.org/officeDocument/2006/relationships/oleObject" Target="embeddings/oleObject205.bin"/><Relationship Id="rId342" Type="http://schemas.openxmlformats.org/officeDocument/2006/relationships/image" Target="media/image124.wmf"/><Relationship Id="rId341" Type="http://schemas.openxmlformats.org/officeDocument/2006/relationships/oleObject" Target="embeddings/oleObject204.bin"/><Relationship Id="rId340" Type="http://schemas.openxmlformats.org/officeDocument/2006/relationships/image" Target="media/image123.wmf"/><Relationship Id="rId34" Type="http://schemas.openxmlformats.org/officeDocument/2006/relationships/image" Target="media/image14.emf"/><Relationship Id="rId339" Type="http://schemas.openxmlformats.org/officeDocument/2006/relationships/oleObject" Target="embeddings/oleObject203.bin"/><Relationship Id="rId338" Type="http://schemas.openxmlformats.org/officeDocument/2006/relationships/oleObject" Target="embeddings/oleObject202.bin"/><Relationship Id="rId337" Type="http://schemas.openxmlformats.org/officeDocument/2006/relationships/oleObject" Target="embeddings/oleObject201.bin"/><Relationship Id="rId336" Type="http://schemas.openxmlformats.org/officeDocument/2006/relationships/image" Target="media/image122.wmf"/><Relationship Id="rId335" Type="http://schemas.openxmlformats.org/officeDocument/2006/relationships/oleObject" Target="embeddings/oleObject200.bin"/><Relationship Id="rId334" Type="http://schemas.openxmlformats.org/officeDocument/2006/relationships/oleObject" Target="embeddings/oleObject199.bin"/><Relationship Id="rId333" Type="http://schemas.openxmlformats.org/officeDocument/2006/relationships/oleObject" Target="embeddings/oleObject198.bin"/><Relationship Id="rId332" Type="http://schemas.openxmlformats.org/officeDocument/2006/relationships/oleObject" Target="embeddings/oleObject197.bin"/><Relationship Id="rId331" Type="http://schemas.openxmlformats.org/officeDocument/2006/relationships/image" Target="media/image121.png"/><Relationship Id="rId330" Type="http://schemas.openxmlformats.org/officeDocument/2006/relationships/oleObject" Target="embeddings/oleObject196.bin"/><Relationship Id="rId33" Type="http://schemas.openxmlformats.org/officeDocument/2006/relationships/oleObject" Target="embeddings/oleObject8.bin"/><Relationship Id="rId329" Type="http://schemas.openxmlformats.org/officeDocument/2006/relationships/oleObject" Target="embeddings/oleObject195.bin"/><Relationship Id="rId328" Type="http://schemas.openxmlformats.org/officeDocument/2006/relationships/image" Target="media/image120.wmf"/><Relationship Id="rId327" Type="http://schemas.openxmlformats.org/officeDocument/2006/relationships/oleObject" Target="embeddings/oleObject194.bin"/><Relationship Id="rId326" Type="http://schemas.openxmlformats.org/officeDocument/2006/relationships/oleObject" Target="embeddings/oleObject193.bin"/><Relationship Id="rId325" Type="http://schemas.openxmlformats.org/officeDocument/2006/relationships/oleObject" Target="embeddings/oleObject192.bin"/><Relationship Id="rId324" Type="http://schemas.openxmlformats.org/officeDocument/2006/relationships/oleObject" Target="embeddings/oleObject191.bin"/><Relationship Id="rId323" Type="http://schemas.openxmlformats.org/officeDocument/2006/relationships/oleObject" Target="embeddings/oleObject190.bin"/><Relationship Id="rId322" Type="http://schemas.openxmlformats.org/officeDocument/2006/relationships/oleObject" Target="embeddings/oleObject189.bin"/><Relationship Id="rId321" Type="http://schemas.openxmlformats.org/officeDocument/2006/relationships/oleObject" Target="embeddings/oleObject188.bin"/><Relationship Id="rId320" Type="http://schemas.openxmlformats.org/officeDocument/2006/relationships/oleObject" Target="embeddings/oleObject187.bin"/><Relationship Id="rId32" Type="http://schemas.openxmlformats.org/officeDocument/2006/relationships/image" Target="media/image13.emf"/><Relationship Id="rId319" Type="http://schemas.openxmlformats.org/officeDocument/2006/relationships/oleObject" Target="embeddings/oleObject186.bin"/><Relationship Id="rId318" Type="http://schemas.openxmlformats.org/officeDocument/2006/relationships/oleObject" Target="embeddings/oleObject185.bin"/><Relationship Id="rId317" Type="http://schemas.openxmlformats.org/officeDocument/2006/relationships/oleObject" Target="embeddings/oleObject184.bin"/><Relationship Id="rId316" Type="http://schemas.openxmlformats.org/officeDocument/2006/relationships/oleObject" Target="embeddings/oleObject183.bin"/><Relationship Id="rId315" Type="http://schemas.openxmlformats.org/officeDocument/2006/relationships/image" Target="media/image119.wmf"/><Relationship Id="rId314" Type="http://schemas.openxmlformats.org/officeDocument/2006/relationships/oleObject" Target="embeddings/oleObject182.bin"/><Relationship Id="rId313" Type="http://schemas.openxmlformats.org/officeDocument/2006/relationships/oleObject" Target="embeddings/oleObject181.bin"/><Relationship Id="rId312" Type="http://schemas.openxmlformats.org/officeDocument/2006/relationships/image" Target="media/image118.wmf"/><Relationship Id="rId311" Type="http://schemas.openxmlformats.org/officeDocument/2006/relationships/oleObject" Target="embeddings/oleObject180.bin"/><Relationship Id="rId310" Type="http://schemas.openxmlformats.org/officeDocument/2006/relationships/image" Target="media/image117.wmf"/><Relationship Id="rId31" Type="http://schemas.openxmlformats.org/officeDocument/2006/relationships/oleObject" Target="embeddings/oleObject7.bin"/><Relationship Id="rId309" Type="http://schemas.openxmlformats.org/officeDocument/2006/relationships/oleObject" Target="embeddings/oleObject179.bin"/><Relationship Id="rId308" Type="http://schemas.openxmlformats.org/officeDocument/2006/relationships/image" Target="media/image116.wmf"/><Relationship Id="rId307" Type="http://schemas.openxmlformats.org/officeDocument/2006/relationships/oleObject" Target="embeddings/oleObject178.bin"/><Relationship Id="rId306" Type="http://schemas.openxmlformats.org/officeDocument/2006/relationships/oleObject" Target="embeddings/oleObject177.bin"/><Relationship Id="rId305" Type="http://schemas.openxmlformats.org/officeDocument/2006/relationships/oleObject" Target="embeddings/oleObject176.bin"/><Relationship Id="rId304" Type="http://schemas.openxmlformats.org/officeDocument/2006/relationships/image" Target="media/image115.wmf"/><Relationship Id="rId303" Type="http://schemas.openxmlformats.org/officeDocument/2006/relationships/oleObject" Target="embeddings/oleObject175.bin"/><Relationship Id="rId302" Type="http://schemas.openxmlformats.org/officeDocument/2006/relationships/oleObject" Target="embeddings/oleObject174.bin"/><Relationship Id="rId301" Type="http://schemas.openxmlformats.org/officeDocument/2006/relationships/oleObject" Target="embeddings/oleObject173.bin"/><Relationship Id="rId300" Type="http://schemas.openxmlformats.org/officeDocument/2006/relationships/oleObject" Target="embeddings/oleObject172.bin"/><Relationship Id="rId30" Type="http://schemas.openxmlformats.org/officeDocument/2006/relationships/image" Target="media/image12.emf"/><Relationship Id="rId3" Type="http://schemas.openxmlformats.org/officeDocument/2006/relationships/footnotes" Target="footnotes.xml"/><Relationship Id="rId299" Type="http://schemas.openxmlformats.org/officeDocument/2006/relationships/oleObject" Target="embeddings/oleObject171.bin"/><Relationship Id="rId298" Type="http://schemas.openxmlformats.org/officeDocument/2006/relationships/image" Target="media/image114.wmf"/><Relationship Id="rId297" Type="http://schemas.openxmlformats.org/officeDocument/2006/relationships/oleObject" Target="embeddings/oleObject170.bin"/><Relationship Id="rId296" Type="http://schemas.openxmlformats.org/officeDocument/2006/relationships/image" Target="media/image113.wmf"/><Relationship Id="rId295" Type="http://schemas.openxmlformats.org/officeDocument/2006/relationships/oleObject" Target="embeddings/oleObject169.bin"/><Relationship Id="rId294" Type="http://schemas.openxmlformats.org/officeDocument/2006/relationships/image" Target="media/image112.wmf"/><Relationship Id="rId293" Type="http://schemas.openxmlformats.org/officeDocument/2006/relationships/oleObject" Target="embeddings/oleObject168.bin"/><Relationship Id="rId292" Type="http://schemas.openxmlformats.org/officeDocument/2006/relationships/oleObject" Target="embeddings/oleObject167.bin"/><Relationship Id="rId291" Type="http://schemas.openxmlformats.org/officeDocument/2006/relationships/oleObject" Target="embeddings/oleObject166.bin"/><Relationship Id="rId290" Type="http://schemas.openxmlformats.org/officeDocument/2006/relationships/image" Target="media/image111.wmf"/><Relationship Id="rId29" Type="http://schemas.openxmlformats.org/officeDocument/2006/relationships/image" Target="media/image11.png"/><Relationship Id="rId289" Type="http://schemas.openxmlformats.org/officeDocument/2006/relationships/oleObject" Target="embeddings/oleObject165.bin"/><Relationship Id="rId288" Type="http://schemas.openxmlformats.org/officeDocument/2006/relationships/oleObject" Target="embeddings/oleObject164.bin"/><Relationship Id="rId287" Type="http://schemas.openxmlformats.org/officeDocument/2006/relationships/image" Target="media/image110.wmf"/><Relationship Id="rId286" Type="http://schemas.openxmlformats.org/officeDocument/2006/relationships/image" Target="media/image109.wmf"/><Relationship Id="rId285" Type="http://schemas.openxmlformats.org/officeDocument/2006/relationships/oleObject" Target="embeddings/oleObject163.bin"/><Relationship Id="rId284" Type="http://schemas.openxmlformats.org/officeDocument/2006/relationships/image" Target="media/image108.wmf"/><Relationship Id="rId283" Type="http://schemas.openxmlformats.org/officeDocument/2006/relationships/oleObject" Target="embeddings/oleObject162.bin"/><Relationship Id="rId282" Type="http://schemas.openxmlformats.org/officeDocument/2006/relationships/oleObject" Target="embeddings/oleObject161.bin"/><Relationship Id="rId281" Type="http://schemas.openxmlformats.org/officeDocument/2006/relationships/oleObject" Target="embeddings/oleObject160.bin"/><Relationship Id="rId280" Type="http://schemas.openxmlformats.org/officeDocument/2006/relationships/image" Target="media/image107.wmf"/><Relationship Id="rId28" Type="http://schemas.openxmlformats.org/officeDocument/2006/relationships/image" Target="media/image10.png"/><Relationship Id="rId279" Type="http://schemas.openxmlformats.org/officeDocument/2006/relationships/oleObject" Target="embeddings/oleObject159.bin"/><Relationship Id="rId278" Type="http://schemas.openxmlformats.org/officeDocument/2006/relationships/image" Target="media/image106.wmf"/><Relationship Id="rId277" Type="http://schemas.openxmlformats.org/officeDocument/2006/relationships/oleObject" Target="embeddings/oleObject158.bin"/><Relationship Id="rId276" Type="http://schemas.openxmlformats.org/officeDocument/2006/relationships/oleObject" Target="embeddings/oleObject157.bin"/><Relationship Id="rId275" Type="http://schemas.openxmlformats.org/officeDocument/2006/relationships/oleObject" Target="embeddings/oleObject156.bin"/><Relationship Id="rId274" Type="http://schemas.openxmlformats.org/officeDocument/2006/relationships/image" Target="media/image105.wmf"/><Relationship Id="rId273" Type="http://schemas.openxmlformats.org/officeDocument/2006/relationships/oleObject" Target="embeddings/oleObject155.bin"/><Relationship Id="rId272" Type="http://schemas.openxmlformats.org/officeDocument/2006/relationships/image" Target="media/image104.emf"/><Relationship Id="rId271" Type="http://schemas.openxmlformats.org/officeDocument/2006/relationships/oleObject" Target="embeddings/Document2.doc"/><Relationship Id="rId270" Type="http://schemas.openxmlformats.org/officeDocument/2006/relationships/oleObject" Target="embeddings/oleObject154.bin"/><Relationship Id="rId27" Type="http://schemas.openxmlformats.org/officeDocument/2006/relationships/image" Target="media/image9.emf"/><Relationship Id="rId269" Type="http://schemas.openxmlformats.org/officeDocument/2006/relationships/oleObject" Target="embeddings/oleObject153.bin"/><Relationship Id="rId268" Type="http://schemas.openxmlformats.org/officeDocument/2006/relationships/image" Target="media/image103.wmf"/><Relationship Id="rId267" Type="http://schemas.openxmlformats.org/officeDocument/2006/relationships/oleObject" Target="embeddings/oleObject152.bin"/><Relationship Id="rId266" Type="http://schemas.openxmlformats.org/officeDocument/2006/relationships/image" Target="media/image102.wmf"/><Relationship Id="rId265" Type="http://schemas.openxmlformats.org/officeDocument/2006/relationships/oleObject" Target="embeddings/oleObject151.bin"/><Relationship Id="rId264" Type="http://schemas.openxmlformats.org/officeDocument/2006/relationships/image" Target="media/image101.wmf"/><Relationship Id="rId263" Type="http://schemas.openxmlformats.org/officeDocument/2006/relationships/oleObject" Target="embeddings/oleObject150.bin"/><Relationship Id="rId262" Type="http://schemas.openxmlformats.org/officeDocument/2006/relationships/image" Target="media/image100.wmf"/><Relationship Id="rId261" Type="http://schemas.openxmlformats.org/officeDocument/2006/relationships/oleObject" Target="embeddings/oleObject149.bin"/><Relationship Id="rId260" Type="http://schemas.openxmlformats.org/officeDocument/2006/relationships/image" Target="media/image99.wmf"/><Relationship Id="rId26" Type="http://schemas.openxmlformats.org/officeDocument/2006/relationships/oleObject" Target="embeddings/oleObject6.bin"/><Relationship Id="rId259" Type="http://schemas.openxmlformats.org/officeDocument/2006/relationships/oleObject" Target="embeddings/oleObject148.bin"/><Relationship Id="rId258" Type="http://schemas.openxmlformats.org/officeDocument/2006/relationships/image" Target="media/image98.wmf"/><Relationship Id="rId257" Type="http://schemas.openxmlformats.org/officeDocument/2006/relationships/oleObject" Target="embeddings/oleObject147.bin"/><Relationship Id="rId256" Type="http://schemas.openxmlformats.org/officeDocument/2006/relationships/oleObject" Target="embeddings/oleObject146.bin"/><Relationship Id="rId255" Type="http://schemas.openxmlformats.org/officeDocument/2006/relationships/image" Target="media/image97.wmf"/><Relationship Id="rId254" Type="http://schemas.openxmlformats.org/officeDocument/2006/relationships/oleObject" Target="embeddings/oleObject145.bin"/><Relationship Id="rId253" Type="http://schemas.openxmlformats.org/officeDocument/2006/relationships/image" Target="media/image96.wmf"/><Relationship Id="rId252" Type="http://schemas.openxmlformats.org/officeDocument/2006/relationships/oleObject" Target="embeddings/oleObject144.bin"/><Relationship Id="rId251" Type="http://schemas.openxmlformats.org/officeDocument/2006/relationships/image" Target="media/image95.wmf"/><Relationship Id="rId250" Type="http://schemas.openxmlformats.org/officeDocument/2006/relationships/oleObject" Target="embeddings/oleObject143.bin"/><Relationship Id="rId25" Type="http://schemas.openxmlformats.org/officeDocument/2006/relationships/image" Target="media/image8.emf"/><Relationship Id="rId249" Type="http://schemas.openxmlformats.org/officeDocument/2006/relationships/oleObject" Target="embeddings/oleObject142.bin"/><Relationship Id="rId248" Type="http://schemas.openxmlformats.org/officeDocument/2006/relationships/image" Target="media/image94.wmf"/><Relationship Id="rId247" Type="http://schemas.openxmlformats.org/officeDocument/2006/relationships/oleObject" Target="embeddings/oleObject141.bin"/><Relationship Id="rId246" Type="http://schemas.openxmlformats.org/officeDocument/2006/relationships/image" Target="media/image93.wmf"/><Relationship Id="rId245" Type="http://schemas.openxmlformats.org/officeDocument/2006/relationships/oleObject" Target="embeddings/oleObject140.bin"/><Relationship Id="rId244" Type="http://schemas.openxmlformats.org/officeDocument/2006/relationships/image" Target="media/image92.wmf"/><Relationship Id="rId243" Type="http://schemas.openxmlformats.org/officeDocument/2006/relationships/oleObject" Target="embeddings/oleObject139.bin"/><Relationship Id="rId242" Type="http://schemas.openxmlformats.org/officeDocument/2006/relationships/image" Target="media/image91.wmf"/><Relationship Id="rId241" Type="http://schemas.openxmlformats.org/officeDocument/2006/relationships/oleObject" Target="embeddings/oleObject138.bin"/><Relationship Id="rId240" Type="http://schemas.openxmlformats.org/officeDocument/2006/relationships/image" Target="media/image90.wmf"/><Relationship Id="rId24" Type="http://schemas.openxmlformats.org/officeDocument/2006/relationships/oleObject" Target="embeddings/oleObject5.bin"/><Relationship Id="rId239" Type="http://schemas.openxmlformats.org/officeDocument/2006/relationships/oleObject" Target="embeddings/oleObject137.bin"/><Relationship Id="rId238" Type="http://schemas.openxmlformats.org/officeDocument/2006/relationships/image" Target="media/image89.wmf"/><Relationship Id="rId237" Type="http://schemas.openxmlformats.org/officeDocument/2006/relationships/oleObject" Target="embeddings/oleObject136.bin"/><Relationship Id="rId236" Type="http://schemas.openxmlformats.org/officeDocument/2006/relationships/image" Target="media/image88.wmf"/><Relationship Id="rId235" Type="http://schemas.openxmlformats.org/officeDocument/2006/relationships/oleObject" Target="embeddings/oleObject135.bin"/><Relationship Id="rId234" Type="http://schemas.openxmlformats.org/officeDocument/2006/relationships/image" Target="media/image87.wmf"/><Relationship Id="rId233" Type="http://schemas.openxmlformats.org/officeDocument/2006/relationships/oleObject" Target="embeddings/oleObject134.bin"/><Relationship Id="rId232" Type="http://schemas.openxmlformats.org/officeDocument/2006/relationships/image" Target="media/image86.wmf"/><Relationship Id="rId231" Type="http://schemas.openxmlformats.org/officeDocument/2006/relationships/oleObject" Target="embeddings/oleObject133.bin"/><Relationship Id="rId230" Type="http://schemas.openxmlformats.org/officeDocument/2006/relationships/oleObject" Target="embeddings/oleObject132.bin"/><Relationship Id="rId23" Type="http://schemas.openxmlformats.org/officeDocument/2006/relationships/image" Target="media/image7.emf"/><Relationship Id="rId229" Type="http://schemas.openxmlformats.org/officeDocument/2006/relationships/oleObject" Target="embeddings/oleObject131.bin"/><Relationship Id="rId228" Type="http://schemas.openxmlformats.org/officeDocument/2006/relationships/oleObject" Target="embeddings/oleObject130.bin"/><Relationship Id="rId227" Type="http://schemas.openxmlformats.org/officeDocument/2006/relationships/image" Target="media/image85.wmf"/><Relationship Id="rId226" Type="http://schemas.openxmlformats.org/officeDocument/2006/relationships/oleObject" Target="embeddings/oleObject129.bin"/><Relationship Id="rId225" Type="http://schemas.openxmlformats.org/officeDocument/2006/relationships/image" Target="media/image84.wmf"/><Relationship Id="rId224" Type="http://schemas.openxmlformats.org/officeDocument/2006/relationships/oleObject" Target="embeddings/oleObject128.bin"/><Relationship Id="rId223" Type="http://schemas.openxmlformats.org/officeDocument/2006/relationships/image" Target="media/image83.wmf"/><Relationship Id="rId222" Type="http://schemas.openxmlformats.org/officeDocument/2006/relationships/oleObject" Target="embeddings/oleObject127.bin"/><Relationship Id="rId221" Type="http://schemas.openxmlformats.org/officeDocument/2006/relationships/oleObject" Target="embeddings/oleObject126.bin"/><Relationship Id="rId220" Type="http://schemas.openxmlformats.org/officeDocument/2006/relationships/image" Target="media/image82.wmf"/><Relationship Id="rId22" Type="http://schemas.openxmlformats.org/officeDocument/2006/relationships/oleObject" Target="embeddings/oleObject4.bin"/><Relationship Id="rId219" Type="http://schemas.openxmlformats.org/officeDocument/2006/relationships/image" Target="media/image81.wmf"/><Relationship Id="rId218" Type="http://schemas.openxmlformats.org/officeDocument/2006/relationships/image" Target="media/image80.wmf"/><Relationship Id="rId217" Type="http://schemas.openxmlformats.org/officeDocument/2006/relationships/oleObject" Target="embeddings/oleObject125.bin"/><Relationship Id="rId216" Type="http://schemas.openxmlformats.org/officeDocument/2006/relationships/oleObject" Target="embeddings/oleObject124.bin"/><Relationship Id="rId215" Type="http://schemas.openxmlformats.org/officeDocument/2006/relationships/oleObject" Target="embeddings/oleObject123.bin"/><Relationship Id="rId214" Type="http://schemas.openxmlformats.org/officeDocument/2006/relationships/oleObject" Target="embeddings/oleObject122.bin"/><Relationship Id="rId213" Type="http://schemas.openxmlformats.org/officeDocument/2006/relationships/oleObject" Target="embeddings/oleObject121.bin"/><Relationship Id="rId212" Type="http://schemas.openxmlformats.org/officeDocument/2006/relationships/image" Target="media/image79.wmf"/><Relationship Id="rId211" Type="http://schemas.openxmlformats.org/officeDocument/2006/relationships/oleObject" Target="embeddings/oleObject120.bin"/><Relationship Id="rId210" Type="http://schemas.openxmlformats.org/officeDocument/2006/relationships/image" Target="media/image78.wmf"/><Relationship Id="rId21" Type="http://schemas.openxmlformats.org/officeDocument/2006/relationships/image" Target="media/image6.emf"/><Relationship Id="rId209" Type="http://schemas.openxmlformats.org/officeDocument/2006/relationships/oleObject" Target="embeddings/oleObject119.bin"/><Relationship Id="rId208" Type="http://schemas.openxmlformats.org/officeDocument/2006/relationships/image" Target="media/image77.wmf"/><Relationship Id="rId207" Type="http://schemas.openxmlformats.org/officeDocument/2006/relationships/oleObject" Target="embeddings/oleObject118.bin"/><Relationship Id="rId206" Type="http://schemas.openxmlformats.org/officeDocument/2006/relationships/oleObject" Target="embeddings/oleObject117.bin"/><Relationship Id="rId205" Type="http://schemas.openxmlformats.org/officeDocument/2006/relationships/image" Target="media/image76.wmf"/><Relationship Id="rId204" Type="http://schemas.openxmlformats.org/officeDocument/2006/relationships/oleObject" Target="embeddings/oleObject116.bin"/><Relationship Id="rId203" Type="http://schemas.openxmlformats.org/officeDocument/2006/relationships/image" Target="media/image75.wmf"/><Relationship Id="rId202" Type="http://schemas.openxmlformats.org/officeDocument/2006/relationships/oleObject" Target="embeddings/oleObject115.bin"/><Relationship Id="rId201" Type="http://schemas.openxmlformats.org/officeDocument/2006/relationships/oleObject" Target="embeddings/oleObject114.bin"/><Relationship Id="rId200" Type="http://schemas.openxmlformats.org/officeDocument/2006/relationships/oleObject" Target="embeddings/oleObject113.bin"/><Relationship Id="rId20" Type="http://schemas.openxmlformats.org/officeDocument/2006/relationships/oleObject" Target="embeddings/oleObject3.bin"/><Relationship Id="rId2" Type="http://schemas.openxmlformats.org/officeDocument/2006/relationships/settings" Target="settings.xml"/><Relationship Id="rId199" Type="http://schemas.openxmlformats.org/officeDocument/2006/relationships/image" Target="media/image74.wmf"/><Relationship Id="rId198" Type="http://schemas.openxmlformats.org/officeDocument/2006/relationships/oleObject" Target="embeddings/oleObject112.bin"/><Relationship Id="rId197" Type="http://schemas.openxmlformats.org/officeDocument/2006/relationships/oleObject" Target="embeddings/oleObject111.bin"/><Relationship Id="rId196" Type="http://schemas.openxmlformats.org/officeDocument/2006/relationships/oleObject" Target="embeddings/oleObject110.bin"/><Relationship Id="rId195" Type="http://schemas.openxmlformats.org/officeDocument/2006/relationships/oleObject" Target="embeddings/oleObject109.bin"/><Relationship Id="rId194" Type="http://schemas.openxmlformats.org/officeDocument/2006/relationships/oleObject" Target="embeddings/oleObject108.bin"/><Relationship Id="rId193" Type="http://schemas.openxmlformats.org/officeDocument/2006/relationships/oleObject" Target="embeddings/oleObject107.bin"/><Relationship Id="rId192" Type="http://schemas.openxmlformats.org/officeDocument/2006/relationships/oleObject" Target="embeddings/oleObject106.bin"/><Relationship Id="rId191" Type="http://schemas.openxmlformats.org/officeDocument/2006/relationships/oleObject" Target="embeddings/oleObject105.bin"/><Relationship Id="rId190" Type="http://schemas.openxmlformats.org/officeDocument/2006/relationships/oleObject" Target="embeddings/oleObject104.bin"/><Relationship Id="rId19" Type="http://schemas.openxmlformats.org/officeDocument/2006/relationships/image" Target="media/image5.emf"/><Relationship Id="rId189" Type="http://schemas.openxmlformats.org/officeDocument/2006/relationships/oleObject" Target="embeddings/oleObject103.bin"/><Relationship Id="rId188" Type="http://schemas.openxmlformats.org/officeDocument/2006/relationships/image" Target="media/image73.wmf"/><Relationship Id="rId187" Type="http://schemas.openxmlformats.org/officeDocument/2006/relationships/oleObject" Target="embeddings/oleObject102.bin"/><Relationship Id="rId186" Type="http://schemas.openxmlformats.org/officeDocument/2006/relationships/image" Target="media/image72.emf"/><Relationship Id="rId185" Type="http://schemas.openxmlformats.org/officeDocument/2006/relationships/image" Target="media/image71.emf"/><Relationship Id="rId184" Type="http://schemas.openxmlformats.org/officeDocument/2006/relationships/oleObject" Target="embeddings/oleObject101.bin"/><Relationship Id="rId183" Type="http://schemas.openxmlformats.org/officeDocument/2006/relationships/image" Target="media/image70.wmf"/><Relationship Id="rId182" Type="http://schemas.openxmlformats.org/officeDocument/2006/relationships/oleObject" Target="embeddings/oleObject100.bin"/><Relationship Id="rId181" Type="http://schemas.openxmlformats.org/officeDocument/2006/relationships/image" Target="media/image69.wmf"/><Relationship Id="rId180" Type="http://schemas.openxmlformats.org/officeDocument/2006/relationships/oleObject" Target="embeddings/oleObject99.bin"/><Relationship Id="rId18" Type="http://schemas.openxmlformats.org/officeDocument/2006/relationships/image" Target="media/image4.png"/><Relationship Id="rId179" Type="http://schemas.openxmlformats.org/officeDocument/2006/relationships/oleObject" Target="embeddings/oleObject98.bin"/><Relationship Id="rId178" Type="http://schemas.openxmlformats.org/officeDocument/2006/relationships/oleObject" Target="embeddings/oleObject97.bin"/><Relationship Id="rId177" Type="http://schemas.openxmlformats.org/officeDocument/2006/relationships/oleObject" Target="embeddings/oleObject96.bin"/><Relationship Id="rId176" Type="http://schemas.openxmlformats.org/officeDocument/2006/relationships/image" Target="media/image68.wmf"/><Relationship Id="rId175" Type="http://schemas.openxmlformats.org/officeDocument/2006/relationships/oleObject" Target="embeddings/oleObject95.bin"/><Relationship Id="rId174" Type="http://schemas.openxmlformats.org/officeDocument/2006/relationships/oleObject" Target="embeddings/oleObject94.bin"/><Relationship Id="rId173" Type="http://schemas.openxmlformats.org/officeDocument/2006/relationships/image" Target="media/image67.wmf"/><Relationship Id="rId172" Type="http://schemas.openxmlformats.org/officeDocument/2006/relationships/oleObject" Target="embeddings/oleObject93.bin"/><Relationship Id="rId171" Type="http://schemas.openxmlformats.org/officeDocument/2006/relationships/image" Target="media/image66.wmf"/><Relationship Id="rId170" Type="http://schemas.openxmlformats.org/officeDocument/2006/relationships/oleObject" Target="embeddings/oleObject92.bin"/><Relationship Id="rId17" Type="http://schemas.openxmlformats.org/officeDocument/2006/relationships/image" Target="media/image3.emf"/><Relationship Id="rId169" Type="http://schemas.openxmlformats.org/officeDocument/2006/relationships/image" Target="media/image65.wmf"/><Relationship Id="rId168" Type="http://schemas.openxmlformats.org/officeDocument/2006/relationships/oleObject" Target="embeddings/oleObject91.bin"/><Relationship Id="rId167" Type="http://schemas.openxmlformats.org/officeDocument/2006/relationships/oleObject" Target="embeddings/oleObject90.bin"/><Relationship Id="rId166" Type="http://schemas.openxmlformats.org/officeDocument/2006/relationships/oleObject" Target="embeddings/oleObject89.bin"/><Relationship Id="rId165" Type="http://schemas.openxmlformats.org/officeDocument/2006/relationships/image" Target="media/image64.wmf"/><Relationship Id="rId164" Type="http://schemas.openxmlformats.org/officeDocument/2006/relationships/oleObject" Target="embeddings/oleObject88.bin"/><Relationship Id="rId163" Type="http://schemas.openxmlformats.org/officeDocument/2006/relationships/oleObject" Target="embeddings/oleObject87.bin"/><Relationship Id="rId162" Type="http://schemas.openxmlformats.org/officeDocument/2006/relationships/oleObject" Target="embeddings/oleObject86.bin"/><Relationship Id="rId161" Type="http://schemas.openxmlformats.org/officeDocument/2006/relationships/image" Target="media/image63.wmf"/><Relationship Id="rId160" Type="http://schemas.openxmlformats.org/officeDocument/2006/relationships/oleObject" Target="embeddings/oleObject85.bin"/><Relationship Id="rId16" Type="http://schemas.openxmlformats.org/officeDocument/2006/relationships/image" Target="media/image2.emf"/><Relationship Id="rId159" Type="http://schemas.openxmlformats.org/officeDocument/2006/relationships/image" Target="media/image62.wmf"/><Relationship Id="rId158" Type="http://schemas.openxmlformats.org/officeDocument/2006/relationships/oleObject" Target="embeddings/oleObject84.bin"/><Relationship Id="rId157" Type="http://schemas.openxmlformats.org/officeDocument/2006/relationships/image" Target="media/image61.wmf"/><Relationship Id="rId156" Type="http://schemas.openxmlformats.org/officeDocument/2006/relationships/oleObject" Target="embeddings/oleObject83.bin"/><Relationship Id="rId155" Type="http://schemas.openxmlformats.org/officeDocument/2006/relationships/image" Target="media/image60.wmf"/><Relationship Id="rId154" Type="http://schemas.openxmlformats.org/officeDocument/2006/relationships/oleObject" Target="embeddings/oleObject82.bin"/><Relationship Id="rId153" Type="http://schemas.openxmlformats.org/officeDocument/2006/relationships/image" Target="media/image59.wmf"/><Relationship Id="rId152" Type="http://schemas.openxmlformats.org/officeDocument/2006/relationships/oleObject" Target="embeddings/oleObject81.bin"/><Relationship Id="rId151" Type="http://schemas.openxmlformats.org/officeDocument/2006/relationships/image" Target="media/image58.wmf"/><Relationship Id="rId150" Type="http://schemas.openxmlformats.org/officeDocument/2006/relationships/oleObject" Target="embeddings/oleObject80.bin"/><Relationship Id="rId15" Type="http://schemas.openxmlformats.org/officeDocument/2006/relationships/oleObject" Target="embeddings/oleObject2.bin"/><Relationship Id="rId149" Type="http://schemas.openxmlformats.org/officeDocument/2006/relationships/oleObject" Target="embeddings/oleObject79.bin"/><Relationship Id="rId148" Type="http://schemas.openxmlformats.org/officeDocument/2006/relationships/oleObject" Target="embeddings/oleObject78.bin"/><Relationship Id="rId147" Type="http://schemas.openxmlformats.org/officeDocument/2006/relationships/image" Target="media/image57.wmf"/><Relationship Id="rId146" Type="http://schemas.openxmlformats.org/officeDocument/2006/relationships/oleObject" Target="embeddings/oleObject77.bin"/><Relationship Id="rId145" Type="http://schemas.openxmlformats.org/officeDocument/2006/relationships/oleObject" Target="embeddings/oleObject76.bin"/><Relationship Id="rId144" Type="http://schemas.openxmlformats.org/officeDocument/2006/relationships/image" Target="media/image56.emf"/><Relationship Id="rId143" Type="http://schemas.openxmlformats.org/officeDocument/2006/relationships/oleObject" Target="embeddings/Document1.doc"/><Relationship Id="rId142" Type="http://schemas.openxmlformats.org/officeDocument/2006/relationships/oleObject" Target="embeddings/oleObject75.bin"/><Relationship Id="rId141" Type="http://schemas.openxmlformats.org/officeDocument/2006/relationships/oleObject" Target="embeddings/oleObject74.bin"/><Relationship Id="rId140" Type="http://schemas.openxmlformats.org/officeDocument/2006/relationships/image" Target="media/image55.wmf"/><Relationship Id="rId14" Type="http://schemas.openxmlformats.org/officeDocument/2006/relationships/image" Target="media/image1.emf"/><Relationship Id="rId139" Type="http://schemas.openxmlformats.org/officeDocument/2006/relationships/oleObject" Target="embeddings/oleObject73.bin"/><Relationship Id="rId138" Type="http://schemas.openxmlformats.org/officeDocument/2006/relationships/image" Target="media/image54.wmf"/><Relationship Id="rId137" Type="http://schemas.openxmlformats.org/officeDocument/2006/relationships/oleObject" Target="embeddings/oleObject72.bin"/><Relationship Id="rId136" Type="http://schemas.openxmlformats.org/officeDocument/2006/relationships/image" Target="media/image53.wmf"/><Relationship Id="rId135" Type="http://schemas.openxmlformats.org/officeDocument/2006/relationships/oleObject" Target="embeddings/oleObject71.bin"/><Relationship Id="rId134" Type="http://schemas.openxmlformats.org/officeDocument/2006/relationships/image" Target="media/image52.wmf"/><Relationship Id="rId133" Type="http://schemas.openxmlformats.org/officeDocument/2006/relationships/oleObject" Target="embeddings/oleObject70.bin"/><Relationship Id="rId132" Type="http://schemas.openxmlformats.org/officeDocument/2006/relationships/image" Target="media/image51.emf"/><Relationship Id="rId131" Type="http://schemas.openxmlformats.org/officeDocument/2006/relationships/oleObject" Target="embeddings/oleObject69.bin"/><Relationship Id="rId130" Type="http://schemas.openxmlformats.org/officeDocument/2006/relationships/oleObject" Target="embeddings/oleObject68.bin"/><Relationship Id="rId13" Type="http://schemas.openxmlformats.org/officeDocument/2006/relationships/oleObject" Target="embeddings/oleObject1.bin"/><Relationship Id="rId129" Type="http://schemas.openxmlformats.org/officeDocument/2006/relationships/oleObject" Target="embeddings/oleObject67.bin"/><Relationship Id="rId128" Type="http://schemas.openxmlformats.org/officeDocument/2006/relationships/oleObject" Target="embeddings/oleObject66.bin"/><Relationship Id="rId127" Type="http://schemas.openxmlformats.org/officeDocument/2006/relationships/image" Target="media/image50.wmf"/><Relationship Id="rId126" Type="http://schemas.openxmlformats.org/officeDocument/2006/relationships/oleObject" Target="embeddings/oleObject65.bin"/><Relationship Id="rId125" Type="http://schemas.openxmlformats.org/officeDocument/2006/relationships/oleObject" Target="embeddings/oleObject64.bin"/><Relationship Id="rId124" Type="http://schemas.openxmlformats.org/officeDocument/2006/relationships/oleObject" Target="embeddings/oleObject63.bin"/><Relationship Id="rId123" Type="http://schemas.openxmlformats.org/officeDocument/2006/relationships/image" Target="media/image49.wmf"/><Relationship Id="rId122" Type="http://schemas.openxmlformats.org/officeDocument/2006/relationships/oleObject" Target="embeddings/oleObject62.bin"/><Relationship Id="rId121" Type="http://schemas.openxmlformats.org/officeDocument/2006/relationships/image" Target="media/image48.wmf"/><Relationship Id="rId120" Type="http://schemas.openxmlformats.org/officeDocument/2006/relationships/oleObject" Target="embeddings/oleObject61.bin"/><Relationship Id="rId12" Type="http://schemas.openxmlformats.org/officeDocument/2006/relationships/theme" Target="theme/theme1.xml"/><Relationship Id="rId119" Type="http://schemas.openxmlformats.org/officeDocument/2006/relationships/image" Target="media/image47.wmf"/><Relationship Id="rId118" Type="http://schemas.openxmlformats.org/officeDocument/2006/relationships/image" Target="media/image46.wmf"/><Relationship Id="rId117" Type="http://schemas.openxmlformats.org/officeDocument/2006/relationships/image" Target="media/image45.wmf"/><Relationship Id="rId116" Type="http://schemas.openxmlformats.org/officeDocument/2006/relationships/image" Target="media/image44.wmf"/><Relationship Id="rId115" Type="http://schemas.openxmlformats.org/officeDocument/2006/relationships/oleObject" Target="embeddings/oleObject60.bin"/><Relationship Id="rId114" Type="http://schemas.openxmlformats.org/officeDocument/2006/relationships/image" Target="media/image43.wmf"/><Relationship Id="rId113" Type="http://schemas.openxmlformats.org/officeDocument/2006/relationships/oleObject" Target="embeddings/oleObject59.bin"/><Relationship Id="rId112" Type="http://schemas.openxmlformats.org/officeDocument/2006/relationships/image" Target="media/image42.wmf"/><Relationship Id="rId111" Type="http://schemas.openxmlformats.org/officeDocument/2006/relationships/oleObject" Target="embeddings/oleObject58.bin"/><Relationship Id="rId110" Type="http://schemas.openxmlformats.org/officeDocument/2006/relationships/image" Target="media/image41.wmf"/><Relationship Id="rId11" Type="http://schemas.openxmlformats.org/officeDocument/2006/relationships/footer" Target="footer4.xml"/><Relationship Id="rId109" Type="http://schemas.openxmlformats.org/officeDocument/2006/relationships/oleObject" Target="embeddings/oleObject57.bin"/><Relationship Id="rId108" Type="http://schemas.openxmlformats.org/officeDocument/2006/relationships/image" Target="media/image40.wmf"/><Relationship Id="rId107" Type="http://schemas.openxmlformats.org/officeDocument/2006/relationships/oleObject" Target="embeddings/oleObject56.bin"/><Relationship Id="rId106" Type="http://schemas.openxmlformats.org/officeDocument/2006/relationships/image" Target="media/image39.wmf"/><Relationship Id="rId105" Type="http://schemas.openxmlformats.org/officeDocument/2006/relationships/oleObject" Target="embeddings/oleObject55.bin"/><Relationship Id="rId104" Type="http://schemas.openxmlformats.org/officeDocument/2006/relationships/image" Target="media/image38.wmf"/><Relationship Id="rId103" Type="http://schemas.openxmlformats.org/officeDocument/2006/relationships/oleObject" Target="embeddings/oleObject54.bin"/><Relationship Id="rId102" Type="http://schemas.openxmlformats.org/officeDocument/2006/relationships/image" Target="media/image37.emf"/><Relationship Id="rId101" Type="http://schemas.openxmlformats.org/officeDocument/2006/relationships/image" Target="media/image36.png"/><Relationship Id="rId100" Type="http://schemas.openxmlformats.org/officeDocument/2006/relationships/oleObject" Target="embeddings/oleObject53.bin"/><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1</Pages>
  <Words>118718</Words>
  <Characters>676699</Characters>
  <Lines>5639</Lines>
  <Paragraphs>1587</Paragraphs>
  <TotalTime>2</TotalTime>
  <ScaleCrop>false</ScaleCrop>
  <LinksUpToDate>false</LinksUpToDate>
  <CharactersWithSpaces>793830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2023-08-28T05:36:00Z</dcterms:created>
  <dc:creator>MCC Support</dc:creator>
  <cp:keywords>&lt;keyword[, keyword, ]&gt;</cp:keywords>
  <cp:lastModifiedBy>Danni SONG(CMCC)</cp:lastModifiedBy>
  <cp:lastPrinted>2019-02-25T14:05:00Z</cp:lastPrinted>
  <dcterms:modified xsi:type="dcterms:W3CDTF">2023-11-29T15:49:18Z</dcterms:modified>
  <dc:subject>&lt;Title 1; Title 2&gt; (Release 14 | 13 |12)</dc:subject>
  <dc:title>3GPP TS ab.cde</dc:title>
  <cp:revision>51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29A9099A5F8D407DB3930E27790FFB9C</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